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26E1" w14:textId="77777777" w:rsidR="00B72103" w:rsidRDefault="00B72103" w:rsidP="00B72103">
      <w:pPr>
        <w:widowControl w:val="0"/>
        <w:pBdr>
          <w:top w:val="nil"/>
          <w:left w:val="nil"/>
          <w:bottom w:val="nil"/>
          <w:right w:val="nil"/>
          <w:between w:val="nil"/>
        </w:pBdr>
        <w:spacing w:after="0" w:line="276" w:lineRule="auto"/>
      </w:pPr>
    </w:p>
    <w:p w14:paraId="4FD753D0" w14:textId="0896BB36" w:rsidR="00B72103" w:rsidRPr="00397271" w:rsidRDefault="000778A7" w:rsidP="00B72103">
      <w:pPr>
        <w:jc w:val="center"/>
        <w:rPr>
          <w:b/>
          <w:sz w:val="32"/>
          <w:szCs w:val="32"/>
        </w:rPr>
      </w:pPr>
      <w:r>
        <w:rPr>
          <w:b/>
          <w:sz w:val="32"/>
          <w:szCs w:val="32"/>
        </w:rPr>
        <w:t xml:space="preserve">Supplement to - </w:t>
      </w:r>
      <w:r w:rsidR="00B72103" w:rsidRPr="00397271">
        <w:rPr>
          <w:b/>
          <w:sz w:val="32"/>
          <w:szCs w:val="32"/>
        </w:rPr>
        <w:t>Association</w:t>
      </w:r>
      <w:r w:rsidR="00B72103">
        <w:rPr>
          <w:b/>
          <w:sz w:val="32"/>
          <w:szCs w:val="32"/>
        </w:rPr>
        <w:t>s</w:t>
      </w:r>
      <w:r w:rsidR="00B72103" w:rsidRPr="00397271">
        <w:rPr>
          <w:b/>
          <w:sz w:val="32"/>
          <w:szCs w:val="32"/>
        </w:rPr>
        <w:t xml:space="preserve"> between antipsychotic use, substance use and relapse</w:t>
      </w:r>
      <w:r w:rsidR="00B72103">
        <w:rPr>
          <w:b/>
          <w:sz w:val="32"/>
          <w:szCs w:val="32"/>
        </w:rPr>
        <w:t xml:space="preserve"> risk</w:t>
      </w:r>
      <w:r w:rsidR="00B72103" w:rsidRPr="00397271">
        <w:rPr>
          <w:b/>
          <w:sz w:val="32"/>
          <w:szCs w:val="32"/>
        </w:rPr>
        <w:t>s in patients with schizophrenia</w:t>
      </w:r>
    </w:p>
    <w:p w14:paraId="12B736BF" w14:textId="77777777" w:rsidR="00B72103" w:rsidRPr="00BC1168" w:rsidRDefault="00B72103" w:rsidP="00B72103">
      <w:pPr>
        <w:pStyle w:val="Lijstalinea"/>
        <w:numPr>
          <w:ilvl w:val="0"/>
          <w:numId w:val="1"/>
        </w:numPr>
        <w:jc w:val="center"/>
        <w:rPr>
          <w:sz w:val="24"/>
          <w:szCs w:val="24"/>
        </w:rPr>
      </w:pPr>
      <w:r w:rsidRPr="00BC1168">
        <w:rPr>
          <w:b/>
          <w:sz w:val="24"/>
          <w:szCs w:val="24"/>
        </w:rPr>
        <w:t>real-world evidence from two national cohorts</w:t>
      </w:r>
    </w:p>
    <w:p w14:paraId="19BBEB3F" w14:textId="77777777" w:rsidR="00B72103" w:rsidRPr="0037466F" w:rsidRDefault="00B72103" w:rsidP="00B72103">
      <w:pPr>
        <w:widowControl w:val="0"/>
        <w:pBdr>
          <w:top w:val="nil"/>
          <w:left w:val="nil"/>
          <w:bottom w:val="nil"/>
          <w:right w:val="nil"/>
          <w:between w:val="nil"/>
        </w:pBdr>
        <w:spacing w:after="0" w:line="276" w:lineRule="auto"/>
        <w:rPr>
          <w:b/>
        </w:rPr>
      </w:pPr>
    </w:p>
    <w:p w14:paraId="593C89A8" w14:textId="32642F4E" w:rsidR="00B72103" w:rsidRPr="00AA1530" w:rsidRDefault="00B72103" w:rsidP="00B72103">
      <w:r w:rsidRPr="00AA1530">
        <w:t>Markku Lähteenvuo</w:t>
      </w:r>
      <w:r w:rsidR="00D5083C">
        <w:t>,</w:t>
      </w:r>
      <w:r w:rsidRPr="00AA1530">
        <w:t xml:space="preserve"> MD, PhD*</w:t>
      </w:r>
      <w:r>
        <w:rPr>
          <w:vertAlign w:val="superscript"/>
        </w:rPr>
        <w:t>1</w:t>
      </w:r>
      <w:r w:rsidRPr="00AA1530">
        <w:t xml:space="preserve">, Jurjen </w:t>
      </w:r>
      <w:r>
        <w:t xml:space="preserve">J. </w:t>
      </w:r>
      <w:r w:rsidRPr="00AA1530">
        <w:t>Luykx, MD, PhD *</w:t>
      </w:r>
      <w:r>
        <w:rPr>
          <w:vertAlign w:val="superscript"/>
        </w:rPr>
        <w:t>2,3,4</w:t>
      </w:r>
      <w:r w:rsidRPr="00AA1530">
        <w:t xml:space="preserve"> Heidi Taipale, PhD</w:t>
      </w:r>
      <w:r>
        <w:rPr>
          <w:vertAlign w:val="superscript"/>
        </w:rPr>
        <w:t>1,5,6</w:t>
      </w:r>
      <w:r w:rsidRPr="00AA1530">
        <w:t>, Ellenor Mittendorfer-Rutz,</w:t>
      </w:r>
      <w:r>
        <w:t xml:space="preserve"> PhD</w:t>
      </w:r>
      <w:r>
        <w:rPr>
          <w:vertAlign w:val="superscript"/>
        </w:rPr>
        <w:t>5</w:t>
      </w:r>
      <w:r>
        <w:t>,</w:t>
      </w:r>
      <w:r w:rsidRPr="00AA1530">
        <w:t xml:space="preserve"> Antti Tanskanen, </w:t>
      </w:r>
      <w:r>
        <w:t>PhD</w:t>
      </w:r>
      <w:r>
        <w:rPr>
          <w:vertAlign w:val="superscript"/>
        </w:rPr>
        <w:t>1,5</w:t>
      </w:r>
      <w:r>
        <w:t xml:space="preserve">, </w:t>
      </w:r>
      <w:r w:rsidRPr="00AA1530">
        <w:t xml:space="preserve">Albert Batalla, </w:t>
      </w:r>
      <w:r>
        <w:t>PhD</w:t>
      </w:r>
      <w:r>
        <w:rPr>
          <w:vertAlign w:val="superscript"/>
        </w:rPr>
        <w:t>2</w:t>
      </w:r>
      <w:r>
        <w:t xml:space="preserve">, </w:t>
      </w:r>
      <w:r w:rsidRPr="00AA1530">
        <w:t>Jari Tiihonen, MD, PhD</w:t>
      </w:r>
      <w:r>
        <w:rPr>
          <w:vertAlign w:val="superscript"/>
        </w:rPr>
        <w:t>1,5,7</w:t>
      </w:r>
      <w:r w:rsidRPr="00AA1530">
        <w:t xml:space="preserve"> </w:t>
      </w:r>
    </w:p>
    <w:p w14:paraId="0279CD99" w14:textId="77777777" w:rsidR="00B72103" w:rsidRDefault="00B72103" w:rsidP="00B72103">
      <w:pPr>
        <w:rPr>
          <w:highlight w:val="white"/>
        </w:rPr>
      </w:pPr>
      <w:r>
        <w:rPr>
          <w:highlight w:val="white"/>
        </w:rPr>
        <w:t>*equal contribution</w:t>
      </w:r>
    </w:p>
    <w:p w14:paraId="15D118B6" w14:textId="77777777" w:rsidR="00B72103" w:rsidRDefault="00B72103" w:rsidP="00B72103">
      <w:pPr>
        <w:jc w:val="both"/>
      </w:pPr>
    </w:p>
    <w:p w14:paraId="11ADC574" w14:textId="77777777" w:rsidR="00B72103" w:rsidRPr="005652C3" w:rsidRDefault="00B72103" w:rsidP="00B72103">
      <w:pPr>
        <w:rPr>
          <w:lang w:val="en-GB"/>
        </w:rPr>
      </w:pPr>
      <w:r w:rsidRPr="005652C3">
        <w:rPr>
          <w:vertAlign w:val="superscript"/>
          <w:lang w:val="en-GB"/>
        </w:rPr>
        <w:t>1</w:t>
      </w:r>
      <w:r w:rsidRPr="005652C3">
        <w:rPr>
          <w:lang w:val="en-GB"/>
        </w:rPr>
        <w:t xml:space="preserve">Department of Forensic Psychiatry, University of Eastern Finland, </w:t>
      </w:r>
      <w:proofErr w:type="spellStart"/>
      <w:r w:rsidRPr="005652C3">
        <w:rPr>
          <w:lang w:val="en-GB"/>
        </w:rPr>
        <w:t>Niuvanniemi</w:t>
      </w:r>
      <w:proofErr w:type="spellEnd"/>
      <w:r w:rsidRPr="005652C3">
        <w:rPr>
          <w:lang w:val="en-GB"/>
        </w:rPr>
        <w:t xml:space="preserve"> Hospital, </w:t>
      </w:r>
      <w:proofErr w:type="spellStart"/>
      <w:r w:rsidRPr="005652C3">
        <w:rPr>
          <w:lang w:val="en-GB"/>
        </w:rPr>
        <w:t>Niuvankuja</w:t>
      </w:r>
      <w:proofErr w:type="spellEnd"/>
      <w:r w:rsidRPr="005652C3">
        <w:rPr>
          <w:lang w:val="en-GB"/>
        </w:rPr>
        <w:t xml:space="preserve"> 65, 70240, Kuopio, Finland.</w:t>
      </w:r>
    </w:p>
    <w:p w14:paraId="527CBA9F" w14:textId="77777777" w:rsidR="00B72103" w:rsidRPr="005652C3" w:rsidRDefault="00B72103" w:rsidP="00B72103">
      <w:pPr>
        <w:rPr>
          <w:lang w:val="en-GB"/>
        </w:rPr>
      </w:pPr>
      <w:r w:rsidRPr="005652C3">
        <w:rPr>
          <w:vertAlign w:val="superscript"/>
          <w:lang w:val="en-GB"/>
        </w:rPr>
        <w:t>2</w:t>
      </w:r>
      <w:r w:rsidRPr="005652C3">
        <w:rPr>
          <w:lang w:val="en-GB"/>
        </w:rPr>
        <w:t>Department of Psychiatry, UMC Utrecht Brain Center, University Medical Center Utrecht, Utrecht University, Utrecht, The Netherlands.</w:t>
      </w:r>
    </w:p>
    <w:p w14:paraId="16104A8B" w14:textId="77777777" w:rsidR="00B72103" w:rsidRPr="005652C3" w:rsidRDefault="00B72103" w:rsidP="00B72103">
      <w:pPr>
        <w:rPr>
          <w:lang w:val="en-GB"/>
        </w:rPr>
      </w:pPr>
      <w:r w:rsidRPr="005652C3">
        <w:rPr>
          <w:vertAlign w:val="superscript"/>
          <w:lang w:val="en-GB"/>
        </w:rPr>
        <w:t>3</w:t>
      </w:r>
      <w:r w:rsidRPr="005652C3">
        <w:rPr>
          <w:lang w:val="en-GB"/>
        </w:rPr>
        <w:t>Department of Translational Neuroscience, UMC Utrecht Brain Center, University Medical Center</w:t>
      </w:r>
    </w:p>
    <w:p w14:paraId="0A0875BD" w14:textId="77777777" w:rsidR="00B72103" w:rsidRPr="002B1D44" w:rsidRDefault="00B72103" w:rsidP="00B72103">
      <w:pPr>
        <w:rPr>
          <w:lang w:val="nl-NL"/>
        </w:rPr>
      </w:pPr>
      <w:r w:rsidRPr="002B1D44">
        <w:rPr>
          <w:lang w:val="nl-NL"/>
        </w:rPr>
        <w:t>Utrecht, Utrecht University, Utrecht, The Netherlands.</w:t>
      </w:r>
    </w:p>
    <w:p w14:paraId="019992D4" w14:textId="77777777" w:rsidR="00B72103" w:rsidRPr="005652C3" w:rsidRDefault="00B72103" w:rsidP="00B72103">
      <w:pPr>
        <w:rPr>
          <w:lang w:val="en-GB"/>
        </w:rPr>
      </w:pPr>
      <w:r w:rsidRPr="005652C3">
        <w:rPr>
          <w:vertAlign w:val="superscript"/>
          <w:lang w:val="en-GB"/>
        </w:rPr>
        <w:t>4</w:t>
      </w:r>
      <w:r>
        <w:rPr>
          <w:lang w:val="en-GB"/>
        </w:rPr>
        <w:t>S</w:t>
      </w:r>
      <w:r w:rsidRPr="005652C3">
        <w:rPr>
          <w:lang w:val="en-GB"/>
        </w:rPr>
        <w:t>econd opinion</w:t>
      </w:r>
      <w:r>
        <w:rPr>
          <w:lang w:val="en-GB"/>
        </w:rPr>
        <w:t xml:space="preserve"> outpatient</w:t>
      </w:r>
      <w:r w:rsidRPr="005652C3">
        <w:rPr>
          <w:lang w:val="en-GB"/>
        </w:rPr>
        <w:t xml:space="preserve"> clinic, GGNet Mental Health, </w:t>
      </w:r>
      <w:proofErr w:type="spellStart"/>
      <w:r w:rsidRPr="005652C3">
        <w:rPr>
          <w:lang w:val="en-GB"/>
        </w:rPr>
        <w:t>Warnsveld</w:t>
      </w:r>
      <w:proofErr w:type="spellEnd"/>
      <w:r w:rsidRPr="005652C3">
        <w:rPr>
          <w:lang w:val="en-GB"/>
        </w:rPr>
        <w:t>, The Netherlands.</w:t>
      </w:r>
    </w:p>
    <w:p w14:paraId="7BA28735" w14:textId="77777777" w:rsidR="00B72103" w:rsidRPr="005652C3" w:rsidRDefault="00B72103" w:rsidP="00B72103">
      <w:pPr>
        <w:rPr>
          <w:lang w:val="en-GB"/>
        </w:rPr>
      </w:pPr>
      <w:r w:rsidRPr="005652C3">
        <w:rPr>
          <w:vertAlign w:val="superscript"/>
          <w:lang w:val="en-GB"/>
        </w:rPr>
        <w:t>5</w:t>
      </w:r>
      <w:r w:rsidRPr="005652C3">
        <w:rPr>
          <w:lang w:val="en-GB"/>
        </w:rPr>
        <w:t xml:space="preserve">Karolinska </w:t>
      </w:r>
      <w:proofErr w:type="spellStart"/>
      <w:r w:rsidRPr="005652C3">
        <w:rPr>
          <w:lang w:val="en-GB"/>
        </w:rPr>
        <w:t>Institutet</w:t>
      </w:r>
      <w:proofErr w:type="spellEnd"/>
      <w:r w:rsidRPr="005652C3">
        <w:rPr>
          <w:lang w:val="en-GB"/>
        </w:rPr>
        <w:t xml:space="preserve">, Department of Clinical Neuroscience, </w:t>
      </w:r>
      <w:r>
        <w:rPr>
          <w:lang w:val="en-GB"/>
        </w:rPr>
        <w:t xml:space="preserve">Division of Insurance Medicine, Berzelius </w:t>
      </w:r>
      <w:proofErr w:type="spellStart"/>
      <w:r>
        <w:rPr>
          <w:lang w:val="en-GB"/>
        </w:rPr>
        <w:t>väg</w:t>
      </w:r>
      <w:proofErr w:type="spellEnd"/>
      <w:r>
        <w:rPr>
          <w:lang w:val="en-GB"/>
        </w:rPr>
        <w:t xml:space="preserve"> 3. </w:t>
      </w:r>
      <w:r w:rsidRPr="005652C3">
        <w:rPr>
          <w:lang w:val="en-GB"/>
        </w:rPr>
        <w:t xml:space="preserve"> 171 77 Stockholm, Sweden</w:t>
      </w:r>
    </w:p>
    <w:p w14:paraId="252A054D" w14:textId="77777777" w:rsidR="00B72103" w:rsidRDefault="00B72103" w:rsidP="00B72103">
      <w:pPr>
        <w:rPr>
          <w:lang w:val="en-GB"/>
        </w:rPr>
      </w:pPr>
      <w:r>
        <w:rPr>
          <w:vertAlign w:val="superscript"/>
          <w:lang w:val="en-GB"/>
        </w:rPr>
        <w:t>6</w:t>
      </w:r>
      <w:r w:rsidRPr="005652C3">
        <w:rPr>
          <w:lang w:val="en-GB"/>
        </w:rPr>
        <w:t xml:space="preserve">University of Eastern Finland, School of Pharmacy, </w:t>
      </w:r>
      <w:proofErr w:type="spellStart"/>
      <w:r w:rsidRPr="005652C3">
        <w:rPr>
          <w:lang w:val="en-GB"/>
        </w:rPr>
        <w:t>Yliopistonranta</w:t>
      </w:r>
      <w:proofErr w:type="spellEnd"/>
      <w:r w:rsidRPr="005652C3">
        <w:rPr>
          <w:lang w:val="en-GB"/>
        </w:rPr>
        <w:t xml:space="preserve"> 1, 70210, Kuopio, Finland.</w:t>
      </w:r>
    </w:p>
    <w:p w14:paraId="581A2287" w14:textId="77777777" w:rsidR="00B72103" w:rsidRPr="005652C3" w:rsidRDefault="00B72103" w:rsidP="00B72103">
      <w:pPr>
        <w:rPr>
          <w:lang w:val="en-GB"/>
        </w:rPr>
      </w:pPr>
      <w:r>
        <w:rPr>
          <w:vertAlign w:val="superscript"/>
          <w:lang w:val="en-GB"/>
        </w:rPr>
        <w:t>7</w:t>
      </w:r>
      <w:r w:rsidRPr="00711C5A">
        <w:rPr>
          <w:lang w:val="en-GB"/>
        </w:rPr>
        <w:t>Center for Psychiatry Resea</w:t>
      </w:r>
      <w:r>
        <w:rPr>
          <w:lang w:val="en-GB"/>
        </w:rPr>
        <w:t>r</w:t>
      </w:r>
      <w:r w:rsidRPr="00711C5A">
        <w:rPr>
          <w:lang w:val="en-GB"/>
        </w:rPr>
        <w:t xml:space="preserve">ch, </w:t>
      </w:r>
      <w:proofErr w:type="spellStart"/>
      <w:r w:rsidRPr="00711C5A">
        <w:rPr>
          <w:lang w:val="en-GB"/>
        </w:rPr>
        <w:t>Norra</w:t>
      </w:r>
      <w:proofErr w:type="spellEnd"/>
      <w:r w:rsidRPr="00711C5A">
        <w:rPr>
          <w:lang w:val="en-GB"/>
        </w:rPr>
        <w:t xml:space="preserve"> </w:t>
      </w:r>
      <w:proofErr w:type="spellStart"/>
      <w:r w:rsidRPr="00711C5A">
        <w:rPr>
          <w:lang w:val="en-GB"/>
        </w:rPr>
        <w:t>Stationsgatan</w:t>
      </w:r>
      <w:proofErr w:type="spellEnd"/>
      <w:r w:rsidRPr="00711C5A">
        <w:rPr>
          <w:lang w:val="en-GB"/>
        </w:rPr>
        <w:t xml:space="preserve"> 69, 11364 Stockholm, Sweden</w:t>
      </w:r>
      <w:r w:rsidRPr="005652C3">
        <w:rPr>
          <w:lang w:val="en-GB"/>
        </w:rPr>
        <w:t>.</w:t>
      </w:r>
    </w:p>
    <w:p w14:paraId="7DAB80C9" w14:textId="77777777" w:rsidR="00B72103" w:rsidRDefault="00B72103" w:rsidP="00B72103">
      <w:pPr>
        <w:widowControl w:val="0"/>
        <w:pBdr>
          <w:top w:val="nil"/>
          <w:left w:val="nil"/>
          <w:bottom w:val="nil"/>
          <w:right w:val="nil"/>
          <w:between w:val="nil"/>
        </w:pBdr>
        <w:spacing w:after="0" w:line="276" w:lineRule="auto"/>
      </w:pPr>
    </w:p>
    <w:p w14:paraId="3778A6DE" w14:textId="77777777" w:rsidR="00B72103" w:rsidRDefault="00B72103" w:rsidP="00B72103">
      <w:pPr>
        <w:rPr>
          <w:rFonts w:ascii="Times New Roman" w:hAnsi="Times New Roman" w:cs="Times New Roman"/>
          <w:b/>
          <w:bCs/>
          <w:sz w:val="24"/>
          <w:szCs w:val="24"/>
        </w:rPr>
      </w:pPr>
      <w:r>
        <w:rPr>
          <w:rFonts w:ascii="Times New Roman" w:hAnsi="Times New Roman" w:cs="Times New Roman"/>
          <w:b/>
          <w:bCs/>
          <w:sz w:val="24"/>
          <w:szCs w:val="24"/>
        </w:rPr>
        <w:br w:type="page"/>
      </w:r>
    </w:p>
    <w:p w14:paraId="2AA65244" w14:textId="38B0DB0F" w:rsidR="00B72103" w:rsidRPr="006A08F6" w:rsidRDefault="000778A7" w:rsidP="00B72103">
      <w:pPr>
        <w:rPr>
          <w:rFonts w:ascii="Times New Roman" w:hAnsi="Times New Roman" w:cs="Times New Roman"/>
          <w:sz w:val="24"/>
          <w:szCs w:val="24"/>
        </w:rPr>
      </w:pPr>
      <w:r>
        <w:rPr>
          <w:rFonts w:ascii="Times New Roman" w:hAnsi="Times New Roman" w:cs="Times New Roman"/>
          <w:b/>
          <w:bCs/>
          <w:sz w:val="24"/>
          <w:szCs w:val="24"/>
        </w:rPr>
        <w:lastRenderedPageBreak/>
        <w:t xml:space="preserve">Supplemental </w:t>
      </w:r>
      <w:r w:rsidR="00B72103" w:rsidRPr="006A08F6">
        <w:rPr>
          <w:rFonts w:ascii="Times New Roman" w:hAnsi="Times New Roman" w:cs="Times New Roman"/>
          <w:b/>
          <w:bCs/>
          <w:sz w:val="24"/>
          <w:szCs w:val="24"/>
        </w:rPr>
        <w:t>Methods</w:t>
      </w:r>
    </w:p>
    <w:p w14:paraId="64060A02" w14:textId="3DC4645C" w:rsidR="00A30E4B" w:rsidRDefault="00A30E4B" w:rsidP="007216A3">
      <w:pPr>
        <w:jc w:val="both"/>
        <w:rPr>
          <w:rFonts w:ascii="Times New Roman" w:hAnsi="Times New Roman" w:cs="Times New Roman"/>
          <w:sz w:val="20"/>
          <w:szCs w:val="20"/>
        </w:rPr>
      </w:pPr>
    </w:p>
    <w:p w14:paraId="4E963E49" w14:textId="77777777" w:rsidR="00B72103" w:rsidRPr="00207175" w:rsidRDefault="00B72103" w:rsidP="00B72103">
      <w:pPr>
        <w:spacing w:line="240" w:lineRule="auto"/>
        <w:jc w:val="both"/>
        <w:rPr>
          <w:rFonts w:asciiTheme="minorHAnsi" w:hAnsiTheme="minorHAnsi" w:cstheme="minorHAnsi"/>
        </w:rPr>
      </w:pPr>
      <w:r w:rsidRPr="00207175">
        <w:rPr>
          <w:rFonts w:asciiTheme="minorHAnsi" w:hAnsiTheme="minorHAnsi" w:cstheme="minorHAnsi"/>
          <w:b/>
          <w:bCs/>
        </w:rPr>
        <w:t>Data-analyses</w:t>
      </w:r>
    </w:p>
    <w:p w14:paraId="74E05B12" w14:textId="19C102D5" w:rsidR="00B72103" w:rsidRPr="00207175" w:rsidRDefault="00EA3A6B" w:rsidP="00B72103">
      <w:pPr>
        <w:spacing w:line="240" w:lineRule="auto"/>
        <w:jc w:val="both"/>
        <w:rPr>
          <w:rFonts w:asciiTheme="minorHAnsi" w:hAnsiTheme="minorHAnsi" w:cstheme="minorHAnsi"/>
          <w:vertAlign w:val="superscript"/>
        </w:rPr>
      </w:pPr>
      <w:r w:rsidRPr="00207175">
        <w:rPr>
          <w:rFonts w:asciiTheme="minorHAnsi" w:hAnsiTheme="minorHAnsi" w:cstheme="minorHAnsi"/>
        </w:rPr>
        <w:t xml:space="preserve">Within-individual design was </w:t>
      </w:r>
      <w:r w:rsidR="007C5E3E">
        <w:rPr>
          <w:rFonts w:asciiTheme="minorHAnsi" w:hAnsiTheme="minorHAnsi" w:cstheme="minorHAnsi"/>
        </w:rPr>
        <w:t>applied</w:t>
      </w:r>
      <w:r w:rsidRPr="00207175">
        <w:rPr>
          <w:rFonts w:asciiTheme="minorHAnsi" w:hAnsiTheme="minorHAnsi" w:cstheme="minorHAnsi"/>
        </w:rPr>
        <w:t xml:space="preserve"> by using a stratified Cox model where each individual forms his/her own stratum. Within each stratum, time was </w:t>
      </w:r>
      <w:proofErr w:type="spellStart"/>
      <w:r w:rsidRPr="00207175">
        <w:rPr>
          <w:rFonts w:asciiTheme="minorHAnsi" w:hAnsiTheme="minorHAnsi" w:cstheme="minorHAnsi"/>
        </w:rPr>
        <w:t>resetted</w:t>
      </w:r>
      <w:proofErr w:type="spellEnd"/>
      <w:r w:rsidRPr="00207175">
        <w:rPr>
          <w:rFonts w:asciiTheme="minorHAnsi" w:hAnsiTheme="minorHAnsi" w:cstheme="minorHAnsi"/>
        </w:rPr>
        <w:t xml:space="preserve"> after each outcome event. Time-varying exposure was modelled as exposed to antipsychotics or not exposed to antipsychotics. After resetting, time periods from the same individual were used in comparisons in the same way as different individuals are compared in a traditional Cox model</w:t>
      </w:r>
      <w:r w:rsidR="0007539C">
        <w:rPr>
          <w:rFonts w:asciiTheme="minorHAnsi" w:hAnsiTheme="minorHAnsi" w:cstheme="minorHAnsi"/>
        </w:rPr>
        <w:t xml:space="preserve"> (see main text)</w:t>
      </w:r>
      <w:r w:rsidRPr="00207175">
        <w:rPr>
          <w:rFonts w:asciiTheme="minorHAnsi" w:hAnsiTheme="minorHAnsi" w:cstheme="minorHAnsi"/>
        </w:rPr>
        <w:t xml:space="preserve">. </w:t>
      </w:r>
      <w:r w:rsidR="00BA07B6">
        <w:rPr>
          <w:rFonts w:asciiTheme="minorHAnsi" w:hAnsiTheme="minorHAnsi" w:cstheme="minorHAnsi"/>
        </w:rPr>
        <w:t xml:space="preserve">The </w:t>
      </w:r>
      <w:r w:rsidR="007C5E3E">
        <w:rPr>
          <w:rFonts w:asciiTheme="minorHAnsi" w:hAnsiTheme="minorHAnsi" w:cstheme="minorHAnsi"/>
        </w:rPr>
        <w:t xml:space="preserve">results of these </w:t>
      </w:r>
      <w:r w:rsidR="00BA07B6">
        <w:rPr>
          <w:rFonts w:asciiTheme="minorHAnsi" w:hAnsiTheme="minorHAnsi" w:cstheme="minorHAnsi"/>
        </w:rPr>
        <w:t xml:space="preserve">analyses are described in Supplementary Figure 1 and 2. </w:t>
      </w:r>
      <w:r w:rsidR="00A16966" w:rsidRPr="00207175">
        <w:rPr>
          <w:rFonts w:asciiTheme="minorHAnsi" w:hAnsiTheme="minorHAnsi" w:cstheme="minorHAnsi"/>
        </w:rPr>
        <w:t>The w</w:t>
      </w:r>
      <w:r w:rsidR="00E73072" w:rsidRPr="00207175">
        <w:rPr>
          <w:rFonts w:asciiTheme="minorHAnsi" w:hAnsiTheme="minorHAnsi" w:cstheme="minorHAnsi"/>
        </w:rPr>
        <w:t>ithin-individual analyses utilized here are described in more detail elsewhere</w:t>
      </w:r>
      <w:r w:rsidR="00983EC5" w:rsidRPr="00207175">
        <w:rPr>
          <w:rFonts w:asciiTheme="minorHAnsi" w:hAnsiTheme="minorHAnsi" w:cstheme="minorHAnsi"/>
        </w:rPr>
        <w:t>.</w:t>
      </w:r>
      <w:r w:rsidR="00983EC5" w:rsidRPr="00207175">
        <w:rPr>
          <w:rFonts w:asciiTheme="minorHAnsi" w:hAnsiTheme="minorHAnsi" w:cstheme="minorHAnsi"/>
        </w:rPr>
        <w:fldChar w:fldCharType="begin" w:fldLock="1"/>
      </w:r>
      <w:r w:rsidR="00983EC5" w:rsidRPr="00207175">
        <w:rPr>
          <w:rFonts w:asciiTheme="minorHAnsi" w:hAnsiTheme="minorHAnsi" w:cstheme="minorHAnsi"/>
        </w:rPr>
        <w:instrText>ADDIN CSL_CITATION {"citationItems":[{"id":"ITEM-1","itemData":{"DOI":"10.1056/nejmoa1203241","ISSN":"0028-4793","PMID":"23171097","abstract":"BACKGROUND: Attention deficit-hyperactivity disorder (ADHD) is a common disorder that has been associated with criminal behavior in some studies. Pharmacologic treatment is available for ADHD and may reduce the risk of criminality. METHODS: Using Swedish national registers, we gathered information on 25,656 patients with a diagnosis of ADHD, their pharmacologic treatment, and subsequent criminal convictions in Sweden from 2006 through 2009. We used stratified Cox regression analyses to compare the rate of criminality while the patients were receiving ADHD medication, as compared with the rate for the same patients while not receiving medication. RESULTS: As compared with nonmedication periods, among patients receiving ADHD medication, there was a significant reduction of 32% in the criminality rate for men (adjusted hazard ratio, 0.68; 95% confidence interval [CI], 0.63 to 0.73) and 41% for women (hazard ratio, 0.59; 95% CI, 0.50 to 0.70). The rate reduction remained between 17% and 46% in sensitivity analyses among men, with factors that included different types of drugs (e.g., stimulant vs. nonstimulant) and outcomes (e.g., type of crime). CONCLUSIONS: Among patients with ADHD, rates of criminality were lower during periods when they were receiving ADHD medication. These findings raise the possibility that the use of medication reduces the risk of criminality among patients with ADHD. (Funded by the Swedish Research Council and others.) Copyright © 2012 Massachusetts Medical Society.","author":[{"dropping-particle":"","family":"Lichtenstein","given":"Paul","non-dropping-particle":"","parse-names":false,"suffix":""},{"dropping-particle":"","family":"Halldner","given":"Linda","non-dropping-particle":"","parse-names":false,"suffix":""},{"dropping-particle":"","family":"Zetterqvist","given":"Johan","non-dropping-particle":"","parse-names":false,"suffix":""},{"dropping-particle":"","family":"Sjölander","given":"Arvid","non-dropping-particle":"","parse-names":false,"suffix":""},{"dropping-particle":"","family":"Serlachius","given":"Eva","non-dropping-particle":"","parse-names":false,"suffix":""},{"dropping-particle":"","family":"Fazel","given":"Seena","non-dropping-particle":"","parse-names":false,"suffix":""},{"dropping-particle":"","family":"Långström","given":"Niklas","non-dropping-particle":"","parse-names":false,"suffix":""},{"dropping-particle":"","family":"Larsson","given":"Henrik","non-dropping-particle":"","parse-names":false,"suffix":""}],"container-title":"New England Journal of Medicine","id":"ITEM-1","issue":"21","issued":{"date-parts":[["2012"]]},"page":"2006-2014","title":"Medication for Attention Deficit–Hyperactivity Disorder and Criminality","type":"article-journal","volume":"367"},"uris":["http://www.mendeley.com/documents/?uuid=dee97380-21ed-456f-87e5-dfd68d51538a"]}],"mendeley":{"formattedCitation":"&lt;sup&gt;1&lt;/sup&gt;","plainTextFormattedCitation":"1","previouslyFormattedCitation":"&lt;sup&gt;1&lt;/sup&gt;"},"properties":{"noteIndex":0},"schema":"https://github.com/citation-style-language/schema/raw/master/csl-citation.json"}</w:instrText>
      </w:r>
      <w:r w:rsidR="00983EC5" w:rsidRPr="00207175">
        <w:rPr>
          <w:rFonts w:asciiTheme="minorHAnsi" w:hAnsiTheme="minorHAnsi" w:cstheme="minorHAnsi"/>
        </w:rPr>
        <w:fldChar w:fldCharType="separate"/>
      </w:r>
      <w:r w:rsidR="00983EC5" w:rsidRPr="00207175">
        <w:rPr>
          <w:rFonts w:asciiTheme="minorHAnsi" w:hAnsiTheme="minorHAnsi" w:cstheme="minorHAnsi"/>
          <w:noProof/>
          <w:vertAlign w:val="superscript"/>
        </w:rPr>
        <w:t>1</w:t>
      </w:r>
      <w:r w:rsidR="00983EC5" w:rsidRPr="00207175">
        <w:rPr>
          <w:rFonts w:asciiTheme="minorHAnsi" w:hAnsiTheme="minorHAnsi" w:cstheme="minorHAnsi"/>
        </w:rPr>
        <w:fldChar w:fldCharType="end"/>
      </w:r>
    </w:p>
    <w:p w14:paraId="0F40B78D" w14:textId="77777777" w:rsidR="00B72103" w:rsidRPr="00207175" w:rsidRDefault="00B72103" w:rsidP="00B72103">
      <w:pPr>
        <w:spacing w:line="240" w:lineRule="auto"/>
        <w:jc w:val="both"/>
        <w:rPr>
          <w:rFonts w:asciiTheme="minorHAnsi" w:hAnsiTheme="minorHAnsi" w:cstheme="minorHAnsi"/>
          <w:b/>
          <w:bCs/>
        </w:rPr>
      </w:pPr>
      <w:r w:rsidRPr="00207175">
        <w:rPr>
          <w:rFonts w:asciiTheme="minorHAnsi" w:hAnsiTheme="minorHAnsi" w:cstheme="minorHAnsi"/>
          <w:b/>
          <w:bCs/>
        </w:rPr>
        <w:t>Sensitivity analyses</w:t>
      </w:r>
    </w:p>
    <w:p w14:paraId="6614E4A2" w14:textId="1C967016" w:rsidR="00983EC5" w:rsidRPr="00207175" w:rsidRDefault="00B72103" w:rsidP="00B72103">
      <w:pPr>
        <w:spacing w:line="240" w:lineRule="auto"/>
        <w:jc w:val="both"/>
        <w:rPr>
          <w:rFonts w:asciiTheme="minorHAnsi" w:hAnsiTheme="minorHAnsi" w:cstheme="minorHAnsi"/>
        </w:rPr>
      </w:pPr>
      <w:r w:rsidRPr="00207175">
        <w:rPr>
          <w:rFonts w:asciiTheme="minorHAnsi" w:hAnsiTheme="minorHAnsi" w:cstheme="minorHAnsi"/>
        </w:rPr>
        <w:t>As sensitivity analyses, first the risk of initial development of SUD was analyzed by censoring the first 30 days of exposure time from the beginning of each exposure period as this may represent a time period of sub-optimal pharmacological effect, thus correcting for protopathic bias. Second, the risk of first SUD was also analyzed by excluding persons with disorganized/hebephrenic schizophrenia (ICD-10 code F20.1) ever during the follow-up, because those patients may sometimes be too ill to acquire substances of abuse or develop SUD, but are often treated with clozapine, which might have resulted in clozapine seeming more favorable than the other treatment regimens.</w:t>
      </w:r>
      <w:r w:rsidR="00E73072" w:rsidRPr="00207175">
        <w:rPr>
          <w:rFonts w:asciiTheme="minorHAnsi" w:hAnsiTheme="minorHAnsi" w:cstheme="minorHAnsi"/>
        </w:rPr>
        <w:t xml:space="preserve"> Third, the analyses on the risk of initial development of SUD was restricted to persons ever using olanzapine (N=7755 in the Finnish cohort and N=3718 in the Swedish cohort) and head-to-head analyses were conducted with olanzapine use as the reference. Head-to-head analyses aim to inform about the risk in reference to most commonly prescribed antipsychotic, allowing between-drug comparisons.</w:t>
      </w:r>
    </w:p>
    <w:p w14:paraId="362FA2CD" w14:textId="105ADE42" w:rsidR="00983EC5" w:rsidRPr="00207175" w:rsidRDefault="00983EC5" w:rsidP="00983EC5">
      <w:pPr>
        <w:rPr>
          <w:rFonts w:asciiTheme="minorHAnsi" w:hAnsiTheme="minorHAnsi" w:cstheme="minorHAnsi"/>
          <w:b/>
          <w:bCs/>
        </w:rPr>
      </w:pPr>
      <w:r w:rsidRPr="00207175">
        <w:rPr>
          <w:rFonts w:asciiTheme="minorHAnsi" w:hAnsiTheme="minorHAnsi" w:cstheme="minorHAnsi"/>
          <w:b/>
          <w:bCs/>
        </w:rPr>
        <w:t>Supplemental Discussion</w:t>
      </w:r>
    </w:p>
    <w:p w14:paraId="2EA25C7A" w14:textId="352B144A" w:rsidR="00983EC5" w:rsidRPr="00207175" w:rsidRDefault="00983EC5" w:rsidP="00983EC5">
      <w:pPr>
        <w:spacing w:line="240" w:lineRule="auto"/>
        <w:jc w:val="both"/>
        <w:rPr>
          <w:rFonts w:asciiTheme="minorHAnsi" w:hAnsiTheme="minorHAnsi" w:cstheme="minorHAnsi"/>
        </w:rPr>
      </w:pPr>
      <w:r w:rsidRPr="00207175">
        <w:rPr>
          <w:rFonts w:asciiTheme="minorHAnsi" w:hAnsiTheme="minorHAnsi" w:cstheme="minorHAnsi"/>
        </w:rPr>
        <w:t>A previous study highlights that patients receiving LAIs, both with and without SUD comorbidity, experience less treatment failures and longer time to treatment failure than patients using oral antipsychotics</w:t>
      </w:r>
      <w:r w:rsidR="00D26DFA" w:rsidRPr="00207175">
        <w:rPr>
          <w:rFonts w:asciiTheme="minorHAnsi" w:hAnsiTheme="minorHAnsi" w:cstheme="minorHAnsi"/>
        </w:rPr>
        <w:fldChar w:fldCharType="begin" w:fldLock="1"/>
      </w:r>
      <w:r w:rsidR="00D26DFA" w:rsidRPr="00207175">
        <w:rPr>
          <w:rFonts w:asciiTheme="minorHAnsi" w:hAnsiTheme="minorHAnsi" w:cstheme="minorHAnsi"/>
        </w:rPr>
        <w:instrText>ADDIN CSL_CITATION {"citationItems":[{"id":"ITEM-1","itemData":{"DOI":"10.1016/j.schres.2017.05.005","ISSN":"15732509","PMID":"28601497","abstract":"Introduction: Comorbid substance abuse is known to blunt response to treatment for underlying psychiatric disorders, but it has not been investigated in schizophrenia when comparing the effects of long-acting injectable antipsychotics with those of oral antipsychotics. Methods: This exploratory analysis compared once-monthly paliperidone palmitate (PP1M) with daily oral antipsychotics on time to treatment failure in patients with schizophrenia and a history of incarceration. Subjects were stratified into substance abuse (reported substance or alcohol misuse in the past 30 days on the baseline Addiction Severity Index–Lite Version and/or met criteria for a current MINI diagnosis of a substance abuse disorder) and nonabuse cohorts. Results: In the substance abuse cohort, treatment failure was observed in 56.2% (73/130) and 64.2% (86/134) of subjects in the PP1M and oral antipsychotic groups, respectively. For the nonabuse cohort, treatment failure was observed in 36.5% (35/96) and 53.6% (45/84) of subjects in the PP1M and oral antipsychotic groups, respectively. Median (95% confidence interval [CI]) time to first treatment failure was 291 (179–428) days and 186 (94–296) days in the PP1M and oral antipsychotic groups, respectively. Median (95% CI) time to first treatment failure was &gt; 450 and 284 (147 to &gt; 450) days in the respective treatment groups. Conclusion: Greater treatment effects were evident with PP1M compared with oral antipsychotics in both cohorts. The observed beneficial effect of PP1M was attenuated in the substance-abuse cohort, further reinforcing both the need for and value of continued research to optimize patient care in these complex patient populations.","author":[{"dropping-particle":"","family":"Lynn Starr","given":"H.","non-dropping-particle":"","parse-names":false,"suffix":""},{"dropping-particle":"","family":"Bermak","given":"Jason","non-dropping-particle":"","parse-names":false,"suffix":""},{"dropping-particle":"","family":"Mao","given":"Lian","non-dropping-particle":"","parse-names":false,"suffix":""},{"dropping-particle":"","family":"Rodriguez","given":"Steve","non-dropping-particle":"","parse-names":false,"suffix":""},{"dropping-particle":"","family":"Alphs","given":"Larry","non-dropping-particle":"","parse-names":false,"suffix":""}],"container-title":"Schizophrenia Research","id":"ITEM-1","issued":{"date-parts":[["2018"]]},"page":"39-46","title":"Comparison of long-acting and oral antipsychotic treatment effects in patients with schizophrenia, comorbid substance abuse, and a history of recent incarceration: An exploratory analysis of the PRIDE study","type":"article-journal","volume":"194"},"uris":["http://www.mendeley.com/documents/?uuid=7463f1be-3385-4191-9de1-ef39c5807b53"]}],"mendeley":{"formattedCitation":"&lt;sup&gt;2&lt;/sup&gt;","plainTextFormattedCitation":"2","previouslyFormattedCitation":"&lt;sup&gt;2&lt;/sup&gt;"},"properties":{"noteIndex":0},"schema":"https://github.com/citation-style-language/schema/raw/master/csl-citation.json"}</w:instrText>
      </w:r>
      <w:r w:rsidR="00D26DFA" w:rsidRPr="00207175">
        <w:rPr>
          <w:rFonts w:asciiTheme="minorHAnsi" w:hAnsiTheme="minorHAnsi" w:cstheme="minorHAnsi"/>
        </w:rPr>
        <w:fldChar w:fldCharType="separate"/>
      </w:r>
      <w:r w:rsidR="00D26DFA" w:rsidRPr="00207175">
        <w:rPr>
          <w:rFonts w:asciiTheme="minorHAnsi" w:hAnsiTheme="minorHAnsi" w:cstheme="minorHAnsi"/>
          <w:noProof/>
          <w:vertAlign w:val="superscript"/>
        </w:rPr>
        <w:t>2</w:t>
      </w:r>
      <w:r w:rsidR="00D26DFA" w:rsidRPr="00207175">
        <w:rPr>
          <w:rFonts w:asciiTheme="minorHAnsi" w:hAnsiTheme="minorHAnsi" w:cstheme="minorHAnsi"/>
        </w:rPr>
        <w:fldChar w:fldCharType="end"/>
      </w:r>
      <w:r w:rsidRPr="00207175">
        <w:rPr>
          <w:rFonts w:asciiTheme="minorHAnsi" w:hAnsiTheme="minorHAnsi" w:cstheme="minorHAnsi"/>
        </w:rPr>
        <w:t>. Furthermore, first-episode patients with comorbid SUDs treated with LAIs experience fewer relapses than those treated with oral counterparts, even though they carried worse prognostic factors, such as history of homelessness</w:t>
      </w:r>
      <w:r w:rsidR="00D26DFA" w:rsidRPr="00207175">
        <w:rPr>
          <w:rFonts w:asciiTheme="minorHAnsi" w:hAnsiTheme="minorHAnsi" w:cstheme="minorHAnsi"/>
        </w:rPr>
        <w:fldChar w:fldCharType="begin" w:fldLock="1"/>
      </w:r>
      <w:r w:rsidR="00D26DFA" w:rsidRPr="00207175">
        <w:rPr>
          <w:rFonts w:asciiTheme="minorHAnsi" w:hAnsiTheme="minorHAnsi" w:cstheme="minorHAnsi"/>
        </w:rPr>
        <w:instrText>ADDIN CSL_CITATION {"citationItems":[{"id":"ITEM-1","itemData":{"DOI":"10.1111/eip.12826","ISSN":"17517893","PMID":"31125513","abstract":"Aim: Substance use disorder (SUD) is highly prevalent among patients with first-episode psychosis (FEP) and associated with poor adherence and worst treatment outcomes. Although relapses are frequent in FEP, current literature on long-acting injectable antipsychotics (LAI-AP) use in FEP is scarce and studies often exclude patients with SUD. Objectives: To determine the impact of LAI-AP as first-line treatment on psychotic relapses or rehospitalizations in FEP patients with comorbid SUD (FEP-SUD). Methods: This is a naturalistic, longitudinal, 3-year prospective and retrospective study on 237 FEP-SUD admitted in two EIS in Montreal, between 2005 and 2012. The patients were divided on the basis of first-line medication introduced, either oral antipsychotics (OAP, n = 206) or LAI-AP (n = 31). Baseline characteristics were compared using χ² test and analysis of variance, and Kaplan-Meier survival analysis was performed on relapse and rehospitalization. Results: Compared to the OAP group, patients in the LAI-AP group presented worse prognostic factors (eg, history of homelessness). Despite this, the LAI-AP group presented a lower relapse rate (67.7% vs 76.7%), higher relapse-free survival time (694 vs 447 days, P = 0.008 in Kaplan-Meier analysis), and trends for reduced rehospitalization rates (48.4% vs 57.3%) and hospitalization-free survival time (813 vs 619 days, P = 0.065 Kaplan-Meier analysis). Of those receiving OAP as first-line, 41.3% were eventually switched to LAI-AP and displayed worst outcome in relapse and rehospitalization. Conclusion: LAI-AP should be strongly considered as first-line treatment of FEP-SUD patients since this pharmacological option reduces the risk of relapse and rehospitalization even in the individuals with poor prognostic factors.","author":[{"dropping-particle":"","family":"Abdel-Baki","given":"Amal","non-dropping-particle":"","parse-names":false,"suffix":""},{"dropping-particle":"","family":"Thibault","given":"Dominic","non-dropping-particle":"","parse-names":false,"suffix":""},{"dropping-particle":"","family":"Medrano","given":"Sofia","non-dropping-particle":"","parse-names":false,"suffix":""},{"dropping-particle":"","family":"Stip","given":"Emmanuel","non-dropping-particle":"","parse-names":false,"suffix":""},{"dropping-particle":"","family":"Ladouceur","given":"Martin","non-dropping-particle":"","parse-names":false,"suffix":""},{"dropping-particle":"","family":"Tahir","given":"Ramzan","non-dropping-particle":"","parse-names":false,"suffix":""},{"dropping-particle":"","family":"Potvin","given":"Stephane","non-dropping-particle":"","parse-names":false,"suffix":""}],"container-title":"Early Intervention in Psychiatry","id":"ITEM-1","issue":"1","issued":{"date-parts":[["2020"]]},"page":"69-79","title":"Long-acting antipsychotic medication as first-line treatment of first-episode psychosis with comorbid substance use disorder","type":"article-journal","volume":"14"},"uris":["http://www.mendeley.com/documents/?uuid=41d0861e-4dcf-46bb-a52b-12cd10bf9495"]}],"mendeley":{"formattedCitation":"&lt;sup&gt;3&lt;/sup&gt;","plainTextFormattedCitation":"3","previouslyFormattedCitation":"&lt;sup&gt;3&lt;/sup&gt;"},"properties":{"noteIndex":0},"schema":"https://github.com/citation-style-language/schema/raw/master/csl-citation.json"}</w:instrText>
      </w:r>
      <w:r w:rsidR="00D26DFA" w:rsidRPr="00207175">
        <w:rPr>
          <w:rFonts w:asciiTheme="minorHAnsi" w:hAnsiTheme="minorHAnsi" w:cstheme="minorHAnsi"/>
        </w:rPr>
        <w:fldChar w:fldCharType="separate"/>
      </w:r>
      <w:r w:rsidR="00D26DFA" w:rsidRPr="00207175">
        <w:rPr>
          <w:rFonts w:asciiTheme="minorHAnsi" w:hAnsiTheme="minorHAnsi" w:cstheme="minorHAnsi"/>
          <w:noProof/>
          <w:vertAlign w:val="superscript"/>
        </w:rPr>
        <w:t>3</w:t>
      </w:r>
      <w:r w:rsidR="00D26DFA" w:rsidRPr="00207175">
        <w:rPr>
          <w:rFonts w:asciiTheme="minorHAnsi" w:hAnsiTheme="minorHAnsi" w:cstheme="minorHAnsi"/>
        </w:rPr>
        <w:fldChar w:fldCharType="end"/>
      </w:r>
      <w:r w:rsidRPr="00207175">
        <w:rPr>
          <w:rFonts w:asciiTheme="minorHAnsi" w:hAnsiTheme="minorHAnsi" w:cstheme="minorHAnsi"/>
        </w:rPr>
        <w:t xml:space="preserve">. </w:t>
      </w:r>
      <w:r w:rsidR="005E7602" w:rsidRPr="00207175">
        <w:rPr>
          <w:rFonts w:asciiTheme="minorHAnsi" w:hAnsiTheme="minorHAnsi" w:cstheme="minorHAnsi"/>
        </w:rPr>
        <w:t xml:space="preserve">This may be due to patients with </w:t>
      </w:r>
      <w:proofErr w:type="spellStart"/>
      <w:r w:rsidR="005E7602" w:rsidRPr="00207175">
        <w:rPr>
          <w:rFonts w:asciiTheme="minorHAnsi" w:hAnsiTheme="minorHAnsi" w:cstheme="minorHAnsi"/>
        </w:rPr>
        <w:t>schz</w:t>
      </w:r>
      <w:proofErr w:type="spellEnd"/>
      <w:r w:rsidR="005E7602" w:rsidRPr="00207175">
        <w:rPr>
          <w:rFonts w:asciiTheme="minorHAnsi" w:hAnsiTheme="minorHAnsi" w:cstheme="minorHAnsi"/>
        </w:rPr>
        <w:t>-SUD having lower adherence towards antipsychotic medications</w:t>
      </w:r>
      <w:r w:rsidR="005E7602" w:rsidRPr="00207175">
        <w:rPr>
          <w:rFonts w:asciiTheme="minorHAnsi" w:hAnsiTheme="minorHAnsi" w:cstheme="minorHAnsi"/>
        </w:rPr>
        <w:fldChar w:fldCharType="begin" w:fldLock="1"/>
      </w:r>
      <w:r w:rsidR="00F965A7" w:rsidRPr="00207175">
        <w:rPr>
          <w:rFonts w:asciiTheme="minorHAnsi" w:hAnsiTheme="minorHAnsi" w:cstheme="minorHAnsi"/>
        </w:rPr>
        <w:instrText>ADDIN CSL_CITATION {"citationItems":[{"id":"ITEM-1","itemData":{"DOI":"10.4088/JCP.v63n1007","ISSN":"01606689","PMID":"12416599","abstract":"Objective: Nonadherence to prescribed antipsychotic medications places patients with schizophrenia at a greatly increased risk of illness exacerbation and rehospitalization. Identification of risk factors for nonadherence is an initial step toward designing effective interventions. This article reviews recent literature on the prevalence of and risk factors for medication nonadherence in patients with schizophrenia. Data Sources: We searched the MEDLINE/HealthSTAR and PsycINFO databases using combinations of the keywords risk factor(s), adherence, compliance, antipsychotic, neuroleptic, schizophrenia, and psychosis for articles published since 1980 that identified risk factors for medication nonadherence in schizophrenia patients. We included reports that (1) were published in English and (2) specifically examined risk factors for medication nonadherence. Thirty-nine articles met our selection criteria. Data Synthesis: Among the 10 reports that met a strict set of study inclusion criteria, we found a mean rate of nonadherence of 41.2%; the 5 reports that met a stricter set of inclusion criteria had a mean nonadherence rate of 49.5%. In the 39 articles reviewed, factors most consistently associated with nonadherence included poor insight, negative attitude or subjective response toward medication, previous nonadherence, substance abuse, shorter illness duration, inadequate discharge planning or aftercare environment, and poorer therapeutic alliance. Findings regarding an association between adherence and medication type were inconclusive, although few studies explored this relationship. Other factors such as age, gender, ethnicity, marital status, education level, neurocognitive impairment, severity of psychotic symptoms, severity of medication side effects, higher antipsychotic dose, presence of mood symptoms, route of medication administration, and family involvement were not found to be consistent predictors of nonadherence. Limitations of the published literature are discussed. Conclusion: Efforts to improve medication adherence in patients with schizophrenia should target relevant risk factors.","author":[{"dropping-particle":"","family":"Lacro","given":"Jonathan P.","non-dropping-particle":"","parse-names":false,"suffix":""},{"dropping-particle":"","family":"Dunn","given":"Laura B.","non-dropping-particle":"","parse-names":false,"suffix":""},{"dropping-particle":"","family":"Dolder","given":"Christian R.","non-dropping-particle":"","parse-names":false,"suffix":""},{"dropping-particle":"","family":"Leckband","given":"Susan G.","non-dropping-particle":"","parse-names":false,"suffix":""},{"dropping-particle":"V.","family":"Jeste","given":"Dilip","non-dropping-particle":"","parse-names":false,"suffix":""}],"container-title":"Journal of Clinical Psychiatry","id":"ITEM-1","issue":"10","issued":{"date-parts":[["2002"]]},"page":"892-909","title":"Prevalence of and risk factors for medication nonadherence in patients with schizophrenia: A comprehensive review of recent literature","type":"article","volume":"63"},"uris":["http://www.mendeley.com/documents/?uuid=5d8a5a27-6d26-481d-8bf8-67e1e6abca0e"]}],"mendeley":{"formattedCitation":"&lt;sup&gt;4&lt;/sup&gt;","plainTextFormattedCitation":"4","previouslyFormattedCitation":"&lt;sup&gt;4&lt;/sup&gt;"},"properties":{"noteIndex":0},"schema":"https://github.com/citation-style-language/schema/raw/master/csl-citation.json"}</w:instrText>
      </w:r>
      <w:r w:rsidR="005E7602" w:rsidRPr="00207175">
        <w:rPr>
          <w:rFonts w:asciiTheme="minorHAnsi" w:hAnsiTheme="minorHAnsi" w:cstheme="minorHAnsi"/>
        </w:rPr>
        <w:fldChar w:fldCharType="separate"/>
      </w:r>
      <w:r w:rsidR="005E7602" w:rsidRPr="00207175">
        <w:rPr>
          <w:rFonts w:asciiTheme="minorHAnsi" w:hAnsiTheme="minorHAnsi" w:cstheme="minorHAnsi"/>
          <w:noProof/>
          <w:vertAlign w:val="superscript"/>
        </w:rPr>
        <w:t>4</w:t>
      </w:r>
      <w:r w:rsidR="005E7602" w:rsidRPr="00207175">
        <w:rPr>
          <w:rFonts w:asciiTheme="minorHAnsi" w:hAnsiTheme="minorHAnsi" w:cstheme="minorHAnsi"/>
        </w:rPr>
        <w:fldChar w:fldCharType="end"/>
      </w:r>
      <w:r w:rsidR="00F965A7" w:rsidRPr="00207175">
        <w:rPr>
          <w:rFonts w:asciiTheme="minorHAnsi" w:hAnsiTheme="minorHAnsi" w:cstheme="minorHAnsi"/>
        </w:rPr>
        <w:fldChar w:fldCharType="begin" w:fldLock="1"/>
      </w:r>
      <w:r w:rsidR="00F965A7" w:rsidRPr="00207175">
        <w:rPr>
          <w:rFonts w:asciiTheme="minorHAnsi" w:hAnsiTheme="minorHAnsi" w:cstheme="minorHAnsi"/>
        </w:rPr>
        <w:instrText>ADDIN CSL_CITATION {"citationItems":[{"id":"ITEM-1","itemData":{"DOI":"10.1002/wps.20060","ISSN":"17238617","abstract":"Although non-adherence is common across all branches of medicine, psychotic disorders pose additional challenges that increase its risk. Despite the importance of non-adherence, clinicians generally spend too little time on assessing and addressing adherence attitudes and behaviors. Importantly, how adherence is measured significantly impacts the findings, and the most frequently employed methods of asking patients or judging adherence indirectly based on efficacy or tolerability information have poor validity. Novel technologies are being developed that directly assess adherence and that can also be used to both provide real-time feedback to clinicians and serve as an intervention with patients. Several treatments are available that can positively impact adherence. Among psychosocial interventions, those combining multiple approaches and involving multiple domains seem to be most effective. Although long-acting injectable antipsychotics are theoretically a very powerful tool to assure adherence and signal non-adherence, recent results from randomized controlled trials failed to show superiority compared to oral antipsychotics. These data are in contrast to nationwide cohort studies and mirror-image studies, which arguably include more representative patients receiving long-acting antipsychotics in clinical practice. This disconnect suggests that traditional randomized controlled trials are not necessarily the best way to study interventions that are thought to work via reducing non-adherence. Clearly, non-adherence is likely to remain a major public health problem despite treatment advances. However, increasing knowledge about factors affecting adherence and leveraging novel technologies can enhance its early assessment and adequate management, particularly in patients with psychotic disorders. Copyright © 2013 World Psychiatric Association.","author":[{"dropping-particle":"","family":"Kane","given":"John M.","non-dropping-particle":"","parse-names":false,"suffix":""},{"dropping-particle":"","family":"Kishimoto","given":"Taishiro","non-dropping-particle":"","parse-names":false,"suffix":""},{"dropping-particle":"","family":"Correll","given":"Christoph U.","non-dropping-particle":"","parse-names":false,"suffix":""}],"container-title":"World Psychiatry","id":"ITEM-1","issue":"3","issued":{"date-parts":[["2013"]]},"page":"216-226","title":"Non-adherence to medication in patients with psychotic disorders: Epidemiology, contributing factors and management strategies","type":"article-journal","volume":"12"},"uris":["http://www.mendeley.com/documents/?uuid=b39845bc-5440-47f9-bc81-5bcdd1d5ea27"]},{"id":"ITEM-2","itemData":{"DOI":"10.4088/JCP.v63n1007","ISSN":"01606689","PMID":"12416599","abstract":"Objective: Nonadherence to prescribed antipsychotic medications places patients with schizophrenia at a greatly increased risk of illness exacerbation and rehospitalization. Identification of risk factors for nonadherence is an initial step toward designing effective interventions. This article reviews recent literature on the prevalence of and risk factors for medication nonadherence in patients with schizophrenia. Data Sources: We searched the MEDLINE/HealthSTAR and PsycINFO databases using combinations of the keywords risk factor(s), adherence, compliance, antipsychotic, neuroleptic, schizophrenia, and psychosis for articles published since 1980 that identified risk factors for medication nonadherence in schizophrenia patients. We included reports that (1) were published in English and (2) specifically examined risk factors for medication nonadherence. Thirty-nine articles met our selection criteria. Data Synthesis: Among the 10 reports that met a strict set of study inclusion criteria, we found a mean rate of nonadherence of 41.2%; the 5 reports that met a stricter set of inclusion criteria had a mean nonadherence rate of 49.5%. In the 39 articles reviewed, factors most consistently associated with nonadherence included poor insight, negative attitude or subjective response toward medication, previous nonadherence, substance abuse, shorter illness duration, inadequate discharge planning or aftercare environment, and poorer therapeutic alliance. Findings regarding an association between adherence and medication type were inconclusive, although few studies explored this relationship. Other factors such as age, gender, ethnicity, marital status, education level, neurocognitive impairment, severity of psychotic symptoms, severity of medication side effects, higher antipsychotic dose, presence of mood symptoms, route of medication administration, and family involvement were not found to be consistent predictors of nonadherence. Limitations of the published literature are discussed. Conclusion: Efforts to improve medication adherence in patients with schizophrenia should target relevant risk factors.","author":[{"dropping-particle":"","family":"Lacro","given":"Jonathan P.","non-dropping-particle":"","parse-names":false,"suffix":""},{"dropping-particle":"","family":"Dunn","given":"Laura B.","non-dropping-particle":"","parse-names":false,"suffix":""},{"dropping-particle":"","family":"Dolder","given":"Christian R.","non-dropping-particle":"","parse-names":false,"suffix":""},{"dropping-particle":"","family":"Leckband","given":"Susan G.","non-dropping-particle":"","parse-names":false,"suffix":""},{"dropping-particle":"V.","family":"Jeste","given":"Dilip","non-dropping-particle":"","parse-names":false,"suffix":""}],"container-title":"Journal of Clinical Psychiatry","id":"ITEM-2","issue":"10","issued":{"date-parts":[["2002"]]},"page":"892-909","title":"Prevalence of and risk factors for medication nonadherence in patients with schizophrenia: A comprehensive review of recent literature","type":"article","volume":"63"},"uris":["http://www.mendeley.com/documents/?uuid=5d8a5a27-6d26-481d-8bf8-67e1e6abca0e"]}],"mendeley":{"formattedCitation":"&lt;sup&gt;4,5&lt;/sup&gt;","plainTextFormattedCitation":"4,5"},"properties":{"noteIndex":0},"schema":"https://github.com/citation-style-language/schema/raw/master/csl-citation.json"}</w:instrText>
      </w:r>
      <w:r w:rsidR="00F965A7" w:rsidRPr="00207175">
        <w:rPr>
          <w:rFonts w:asciiTheme="minorHAnsi" w:hAnsiTheme="minorHAnsi" w:cstheme="minorHAnsi"/>
        </w:rPr>
        <w:fldChar w:fldCharType="separate"/>
      </w:r>
      <w:r w:rsidR="00F965A7" w:rsidRPr="00207175">
        <w:rPr>
          <w:rFonts w:asciiTheme="minorHAnsi" w:hAnsiTheme="minorHAnsi" w:cstheme="minorHAnsi"/>
          <w:noProof/>
          <w:vertAlign w:val="superscript"/>
        </w:rPr>
        <w:t>,5</w:t>
      </w:r>
      <w:r w:rsidR="00F965A7" w:rsidRPr="00207175">
        <w:rPr>
          <w:rFonts w:asciiTheme="minorHAnsi" w:hAnsiTheme="minorHAnsi" w:cstheme="minorHAnsi"/>
        </w:rPr>
        <w:fldChar w:fldCharType="end"/>
      </w:r>
      <w:r w:rsidR="005E7602" w:rsidRPr="00207175">
        <w:rPr>
          <w:rFonts w:asciiTheme="minorHAnsi" w:hAnsiTheme="minorHAnsi" w:cstheme="minorHAnsi"/>
        </w:rPr>
        <w:t xml:space="preserve"> and LAIs improving adherence. </w:t>
      </w:r>
      <w:r w:rsidRPr="00207175">
        <w:rPr>
          <w:rFonts w:asciiTheme="minorHAnsi" w:hAnsiTheme="minorHAnsi" w:cstheme="minorHAnsi"/>
        </w:rPr>
        <w:t>Thus, the reduced risk of hospitalization during use of LAIs observed in this study is mostly in line with previous literature. However, meta-analyses of randomized clinical trials in patients with schizophrenia have failed to observe a beneficial effect of LAIs over their oral counterparts</w:t>
      </w:r>
      <w:r w:rsidR="00D26DFA" w:rsidRPr="00207175">
        <w:rPr>
          <w:rFonts w:asciiTheme="minorHAnsi" w:hAnsiTheme="minorHAnsi" w:cstheme="minorHAnsi"/>
        </w:rPr>
        <w:fldChar w:fldCharType="begin" w:fldLock="1"/>
      </w:r>
      <w:r w:rsidR="00F965A7" w:rsidRPr="00207175">
        <w:rPr>
          <w:rFonts w:asciiTheme="minorHAnsi" w:hAnsiTheme="minorHAnsi" w:cstheme="minorHAnsi"/>
        </w:rPr>
        <w:instrText>ADDIN CSL_CITATION {"citationItems":[{"id":"ITEM-1","itemData":{"DOI":"10.1093/schbul/sbs150","ISSN":"17451701","PMID":"23256986","abstract":"Background: While long-acting injectable antipsychotics (LAIs) are hoped to reduce high relapse rates in schizophrenia, recent randomized controlled trials (RCTs) challenged the benefits of LAIs over oral antipsychotics (OAPs). Methods: Systematic review/meta-analysis of RCTs that lasted ≥6 months comparing LAIs and OAPs. Primary outcome was study-defined relapse at the longest time point; secondary outcomes included relapse at 3, 6, 12, 18, and 24 months, all-cause discontinuation, discontinuation due to adverse events, drug inefficacy (ie, relapse + discontinuation due to inefficacy), hospitalization, and nonadherence. Results: Across 21 RCTs (n = 5176), LAIs were similar to OAPs for relapse prevention at the longest time point (studies = 21, n = 4950, relative risk [RR] = 0.93, 95% confidence interval [CI]: 0.80-1.08, P =. 35). The finding was confirmed restricting the analysis to outpatient studies lasting ≥1 year (studies = 12, RR = 0.93, 95% CI:0.71-1.07, P =. 31). However, studies using first-generation antipsychotic (FGA)-LAIs (studies = 10, RR = 0.82, 95% CI:0.69-0.97, P =. 02) and those published ≤1991 (consisting exclusively of all 8 fluphenazine-LAI studies; RR = 0.79, 95% CI: 0.65-0.96, P = 0.02) were superior to OAPs regarding the primary outcome. Pooled LAIs also did not separate from OAPs regarding any secondary outcomes. Again, studies using FGA-LAIs and those published ≤1991 were associated with LAI superiority over OAPs, eg, hospitalization and drug inefficacy. Conclusions: In RCTs, which are less representative of real-world patients than naturalistic studies, pooled LAIs did not reduce relapse compared with OAPs in schizophrenia patients. The exceptions were FGA-LAIs, mostly consisting of fluphenazine-LAI studies, which were all conducted through 1991. Because this finding is vulnerable to a cohort bias, studies comparing FGA-LAI vs second-generation antipsychotics-LAI and LAI vs OAP RCTs in real-world patients are needed. © 2012 The Author.","author":[{"dropping-particle":"","family":"Kishimoto","given":"Taishiro","non-dropping-particle":"","parse-names":false,"suffix":""},{"dropping-particle":"","family":"Robenzadeh","given":"Alfred","non-dropping-particle":"","parse-names":false,"suffix":""},{"dropping-particle":"","family":"Leucht","given":"Claudia","non-dropping-particle":"","parse-names":false,"suffix":""},{"dropping-particle":"","family":"Leucht","given":"Stefan","non-dropping-particle":"","parse-names":false,"suffix":""},{"dropping-particle":"","family":"Watanabe","given":"Koichiro","non-dropping-particle":"","parse-names":false,"suffix":""},{"dropping-particle":"","family":"Mimura","given":"Masaru","non-dropping-particle":"","parse-names":false,"suffix":""},{"dropping-particle":"","family":"Borenstein","given":"Michael","non-dropping-particle":"","parse-names":false,"suffix":""},{"dropping-particle":"","family":"Kane","given":"John M.","non-dropping-particle":"","parse-names":false,"suffix":""},{"dropping-particle":"","family":"Correll","given":"Christoph U.","non-dropping-particle":"","parse-names":false,"suffix":""}],"container-title":"Schizophrenia Bulletin","id":"ITEM-1","issue":"1","issued":{"date-parts":[["2014"]]},"page":"192-213","title":"Long-acting injectable vs oral antipsychotics for relapse prevention in schizophrenia: A meta-analysis of randomized trials","type":"article-journal","volume":"40"},"uris":["http://www.mendeley.com/documents/?uuid=304c92db-e772-4f46-876c-8e6d370b9dcf"]}],"mendeley":{"formattedCitation":"&lt;sup&gt;6&lt;/sup&gt;","plainTextFormattedCitation":"6","previouslyFormattedCitation":"&lt;sup&gt;6&lt;/sup&gt;"},"properties":{"noteIndex":0},"schema":"https://github.com/citation-style-language/schema/raw/master/csl-citation.json"}</w:instrText>
      </w:r>
      <w:r w:rsidR="00D26DFA" w:rsidRPr="00207175">
        <w:rPr>
          <w:rFonts w:asciiTheme="minorHAnsi" w:hAnsiTheme="minorHAnsi" w:cstheme="minorHAnsi"/>
        </w:rPr>
        <w:fldChar w:fldCharType="separate"/>
      </w:r>
      <w:r w:rsidR="00F965A7" w:rsidRPr="00207175">
        <w:rPr>
          <w:rFonts w:asciiTheme="minorHAnsi" w:hAnsiTheme="minorHAnsi" w:cstheme="minorHAnsi"/>
          <w:noProof/>
          <w:vertAlign w:val="superscript"/>
        </w:rPr>
        <w:t>6</w:t>
      </w:r>
      <w:r w:rsidR="00D26DFA" w:rsidRPr="00207175">
        <w:rPr>
          <w:rFonts w:asciiTheme="minorHAnsi" w:hAnsiTheme="minorHAnsi" w:cstheme="minorHAnsi"/>
        </w:rPr>
        <w:fldChar w:fldCharType="end"/>
      </w:r>
      <w:r w:rsidRPr="00207175">
        <w:rPr>
          <w:rFonts w:asciiTheme="minorHAnsi" w:hAnsiTheme="minorHAnsi" w:cstheme="minorHAnsi"/>
        </w:rPr>
        <w:t>, although more recent studies with first episode patients have shown robust effects in favor of LAIs</w:t>
      </w:r>
      <w:r w:rsidR="00D26DFA" w:rsidRPr="00207175">
        <w:rPr>
          <w:rFonts w:asciiTheme="minorHAnsi" w:hAnsiTheme="minorHAnsi" w:cstheme="minorHAnsi"/>
        </w:rPr>
        <w:fldChar w:fldCharType="begin" w:fldLock="1"/>
      </w:r>
      <w:r w:rsidR="00F965A7" w:rsidRPr="00207175">
        <w:rPr>
          <w:rFonts w:asciiTheme="minorHAnsi" w:hAnsiTheme="minorHAnsi" w:cstheme="minorHAnsi"/>
        </w:rPr>
        <w:instrText>ADDIN CSL_CITATION {"citationItems":[{"id":"ITEM-1","itemData":{"DOI":"10.1001/jamapsychiatry.2015.0270","ISSN":"2168622X","PMID":"26107752","abstract":"IMPORTANCE Long-acting, injectable, second-generation antipsychotic medication has tremendous potential to bring clinical stability to persons with schizophrenia. However, long-acting medications are rarely used following a first episode of schizophrenia. OBJECTIVE To compare the clinical efficacy of the long-acting injectable formulation of risperidone with the oral formulation in the early course of schizophrenia. DESIGN, SETTING, AND PARTICIPANTS A randomized clinical trial performed at a university-based research clinic, between 2005 and 2012. Eighty-six patients with recent onset of schizophrenia were randomized to receive long-acting injectable risperidone or oral risperidone. Half of each group was simultaneously randomized to receive cognitive remediation to improve cognitive functioning or healthy-behaviors training to improve lifestyle habits and well-being. An intent-to-treat analysis was performed between October 4, 2012, and November 12, 2014. INTERVENTIONS A 12-month trial comparing the long-acting injectable vs oral risperidone and cognitive remediation vs healthy-behaviors training. MAIN OUTCOMES AND MEASURES Psychotic relapse and control of breakthrough psychotic symptoms. RESULTS Of the 86 patients randomized, 3 refused treatment in the long-acting injectable risperidone group. The psychotic exacerbation and/or relapse rate was lower for the long-acting risperidone group compared with the oral group (5%vs 33%; ρ&lt;sup&gt;2&lt;/sup&gt;&lt;inf&gt;1&lt;/inf&gt; = 11.1; P &lt; .001; relative risk reduction, 84.7%). Long-acting injectable risperidone better controlled mean levels of hallucinations and delusions throughout follow-up (β = .0.30; t&lt;inf&gt;68&lt;/inf&gt; = .2.6, P = .01). The cognitive remediation and healthy-behaviors training groups did not differ significantly regarding psychotic relapse, psychotic symptom control, or hospitalization rates, and there were no significant interactions between the 2 medications and the 2 psychosocial treatments. Discontinuations owing to inadequate clinical response were more common in the oral group than in the long-acting risperidone group ( ρ&lt;sup&gt;2&lt;/sup&gt;&lt;inf&gt;1&lt;/inf&gt; = 6.1; P = .01). Adherence to oral risperidone did not appear to differ before randomization but was better for the long-acting risperidone group compared with the oral group (t&lt;inf&gt;80&lt;/inf&gt; = 5.3; P &lt; .001). Medication adherence was associated with prevention of exacerbation and/or relapse ( ρ&lt;sup&gt;2&lt;/sup&gt;&lt;inf&gt;1&lt;/inf&gt; =11.1; P = .003) and control of breakthrough p…","author":[{"dropping-particle":"","family":"Subotnik","given":"Kenneth L.","non-dropping-particle":"","parse-names":false,"suffix":""},{"dropping-particle":"","family":"Casaus","given":"Laurie R.","non-dropping-particle":"","parse-names":false,"suffix":""},{"dropping-particle":"","family":"Ventura","given":"Joseph","non-dropping-particle":"","parse-names":false,"suffix":""},{"dropping-particle":"","family":"Luo","given":"John S.","non-dropping-particle":"","parse-names":false,"suffix":""},{"dropping-particle":"","family":"Hellemann","given":"Gerhard S.","non-dropping-particle":"","parse-names":false,"suffix":""},{"dropping-particle":"","family":"Gretchen-Doorly","given":"Denise","non-dropping-particle":"","parse-names":false,"suffix":""},{"dropping-particle":"","family":"Marder","given":"Stephen","non-dropping-particle":"","parse-names":false,"suffix":""},{"dropping-particle":"","family":"Nuechterlein","given":"Keith H.","non-dropping-particle":"","parse-names":false,"suffix":""}],"container-title":"JAMA Psychiatry","id":"ITEM-1","issue":"8","issued":{"date-parts":[["2015"]]},"page":"822-829","title":"Long-acting injectable risperidone for relapse prevention and control of breakthrough symptoms after a recent first episode of schizophrenia a randomized clinical trial","type":"article-journal","volume":"72"},"uris":["http://www.mendeley.com/documents/?uuid=bcd15857-2c1b-470c-8e73-d7a648f62764"]},{"id":"ITEM-2","itemData":{"DOI":"10.1001/jamapsychiatry.2020.2076","ISSN":"2168622X","PMID":"32667636","abstract":"Importance: Long-acting injectable antipsychotics (LAIs) can potentially reduce hospitalization risk by enhancing medication adherence but are rarely considered for early-phase schizophrenia treatment. Objective: To determine whether encouraging use of a LAI compared with usual care delays the time to first hospitalization with patients with early-phase illness. Design, Setting, and Participants: The Prevention of Relapse in Schizophrenia (PRELAPSE) trial was cluster randomized with a follow-up duration of 2 years. The study began in December 2014, was completed in March 2019, and was conducted in 39 mental health centers in 19 US states. Site randomization assigned 19 clinics to encourage treatment with long-acting aripiprazole monohydrate (aripiprazole once monthly [AOM] condition) and 20 to provide treatment as usual (clinician's choice [CC] condition). Participant eligibility criteria included (1) schizophrenia diagnosis confirmed by a structured clinical interview, (2) fewer than 5 years of lifetime antipsychotic use, and (3) age 18 to 35 years. The AOM sites identified 576 potentially eligible participants, of whom 234 (40.6%) enrolled; CC sites identified 685 potentially eligible participants, of whom 255 (37.2%) enrolled. Interventions: There were no restrictions on treatment at CC sites (including using LAIs) or at AOM sites with the exception that aripiprazole monohydrate had to be prescribed within US Food and Drug Administration-approved guidelines. Main Outcomes and Measures: The primary outcome was time to first psychiatric hospitalization based on participant interviews every 2 months, the service use resource form administered every 4 months, and other sources (eg, health records) as available. Potential events were adjudicated by an independent committee masked to treatment assignment. Results: The 489 participants (368 men [75.3%]) had a mean (SD) age of 25.2 (4.2) years and 225 (46.0%) had 1 year or less lifetime antipsychotic use. Fifty-two AOM (22%) and 91 CC participants (36%) had at least 1 hospitalization. The mean survival time until first hospitalization was 613.7 days (95% CI, 582.3-645.1 days) for AOM participants and 530.6 days (95% CI, 497.3-563.9 days) for CC participants. For time to first hospitalization, the hazard ratio was 0.56 (95% CI, 0.34-0.92; P =.02), favoring AOM. Survival probabilities were 0.73 (95% CI, 0.65-0.83) for AOM participants and 0.58 (95% CI, 0.50-0.67) for CC participants. The number needed to treat…","author":[{"dropping-particle":"","family":"Kane","given":"John M.","non-dropping-particle":"","parse-names":false,"suffix":""},{"dropping-particle":"","family":"Schooler","given":"Nina R.","non-dropping-particle":"","parse-names":false,"suffix":""},{"dropping-particle":"","family":"Marcy","given":"Patricia","non-dropping-particle":"","parse-names":false,"suffix":""},{"dropping-particle":"","family":"Correll","given":"Christoph U.","non-dropping-particle":"","parse-names":false,"suffix":""},{"dropping-particle":"","family":"Achtyes","given":"Eric D.","non-dropping-particle":"","parse-names":false,"suffix":""},{"dropping-particle":"","family":"Gibbons","given":"Robert D.","non-dropping-particle":"","parse-names":false,"suffix":""},{"dropping-particle":"","family":"Robinson","given":"Delbert G.","non-dropping-particle":"","parse-names":false,"suffix":""}],"container-title":"JAMA Psychiatry","id":"ITEM-2","issue":"12","issued":{"date-parts":[["2020"]]},"page":"1217-1224","title":"Effect of Long-Acting Injectable Antipsychotics vs Usual Care on Time to First Hospitalization in Early-Phase Schizophrenia: A Randomized Clinical Trial","type":"article-journal","volume":"77"},"uris":["http://www.mendeley.com/documents/?uuid=336dc007-e264-44af-a036-7b0b445c2613"]}],"mendeley":{"formattedCitation":"&lt;sup&gt;7,8&lt;/sup&gt;","plainTextFormattedCitation":"7,8","previouslyFormattedCitation":"&lt;sup&gt;7,8&lt;/sup&gt;"},"properties":{"noteIndex":0},"schema":"https://github.com/citation-style-language/schema/raw/master/csl-citation.json"}</w:instrText>
      </w:r>
      <w:r w:rsidR="00D26DFA" w:rsidRPr="00207175">
        <w:rPr>
          <w:rFonts w:asciiTheme="minorHAnsi" w:hAnsiTheme="minorHAnsi" w:cstheme="minorHAnsi"/>
        </w:rPr>
        <w:fldChar w:fldCharType="separate"/>
      </w:r>
      <w:r w:rsidR="00F965A7" w:rsidRPr="00207175">
        <w:rPr>
          <w:rFonts w:asciiTheme="minorHAnsi" w:hAnsiTheme="minorHAnsi" w:cstheme="minorHAnsi"/>
          <w:noProof/>
          <w:vertAlign w:val="superscript"/>
        </w:rPr>
        <w:t>7,8</w:t>
      </w:r>
      <w:r w:rsidR="00D26DFA" w:rsidRPr="00207175">
        <w:rPr>
          <w:rFonts w:asciiTheme="minorHAnsi" w:hAnsiTheme="minorHAnsi" w:cstheme="minorHAnsi"/>
        </w:rPr>
        <w:fldChar w:fldCharType="end"/>
      </w:r>
      <w:r w:rsidRPr="00207175">
        <w:rPr>
          <w:rFonts w:asciiTheme="minorHAnsi" w:hAnsiTheme="minorHAnsi" w:cstheme="minorHAnsi"/>
        </w:rPr>
        <w:t>.</w:t>
      </w:r>
      <w:r w:rsidR="00DE7346" w:rsidRPr="00207175">
        <w:rPr>
          <w:rFonts w:asciiTheme="minorHAnsi" w:hAnsiTheme="minorHAnsi" w:cstheme="minorHAnsi"/>
        </w:rPr>
        <w:t xml:space="preserve"> Also, previous studies have shown clozapine to be superior to other oral agents in patients with sch-SUD</w:t>
      </w:r>
      <w:r w:rsidR="00DE7346" w:rsidRPr="00207175">
        <w:rPr>
          <w:rFonts w:asciiTheme="minorHAnsi" w:hAnsiTheme="minorHAnsi" w:cstheme="minorHAnsi"/>
        </w:rPr>
        <w:fldChar w:fldCharType="begin" w:fldLock="1"/>
      </w:r>
      <w:r w:rsidR="00F965A7" w:rsidRPr="00207175">
        <w:rPr>
          <w:rFonts w:asciiTheme="minorHAnsi" w:hAnsiTheme="minorHAnsi" w:cstheme="minorHAnsi"/>
        </w:rPr>
        <w:instrText>ADDIN CSL_CITATION {"citationItems":[{"id":"ITEM-1","itemData":{"DOI":"10.1159/000104886","ISSN":"10226877","PMID":"17851245","abstract":"Background/Aim: In recent years, there has been a growing interest in developing adequate treatments for patients with a diagnosis of schizophrenia and a comorbid substance use disorder (SUD). In the present paper we aim to critically review published reports on the use of conventional and second-generation antipsychotics in the treatment of patients with schizophrenia and comorbid SUD, to provide clinicians with a clearer view of the pharmacological treatment of this highly prevalent dual diagnosis based upon the evidence arising from the scientific literature. Methods: A search of the relevant literature from Medline, PsycLIT and EMBASE databases, included in the Science Citation Index, and available up to November 2006 was conducted using the terms: 'schizophrenia', 'substance use disorder' and 'antipsychotics'. Results: While research on the use of conventional antipsychotics has remained limited, the majority of studies suggest the effectiveness of second-generation antipsychotics, particularly clozapine, for patients with schizophrenia and a comorbid substance use disorder. Conclusion: In the absence of randomized controlled trials that could provide more reliable information, clinical decisions may need to rely on indirect data provided by the increasing number of case reports, open trials and retrospective studies showing a decrease in cigarette smoking, alcohol, cocaine or cannabis use and an improvement of overall psychiatric symptoms. Copyright © 2007 S. Karger AG.","author":[{"dropping-particle":"","family":"San","given":"Luis","non-dropping-particle":"","parse-names":false,"suffix":""},{"dropping-particle":"","family":"Arranz","given":"Belen","non-dropping-particle":"","parse-names":false,"suffix":""},{"dropping-particle":"","family":"Martinez-Raga","given":"Jose","non-dropping-particle":"","parse-names":false,"suffix":""}],"container-title":"European Addiction Research","id":"ITEM-1","issue":"4","issued":{"date-parts":[["2007"]]},"page":"230-243","title":"Antipsychotic drug treatment of schizophrenic patients with substance abuse disorders","type":"article","volume":"13"},"uris":["http://www.mendeley.com/documents/?uuid=2ae5f091-1513-41f9-9a3d-25cf86eb76be"]},{"id":"ITEM-2","itemData":{"DOI":"10.1016/j.jsat.2007.01.008","ISSN":"07405472","PMID":"17574793","abstract":"Substance use disorder is common in patients with schizophrenia and dramatically worsens their outcome. The typical antipsychotic medications, introduced more than 50 years ago, are effective for the treatment of psychosis but may have only limited efficacy in patients with these co-occurring disorders because patients continue to use substances while taking them. In preliminary studies, however, several of the atypical antipsychotic medications have shown promise for reducing alcohol and drug use in patients with schizophrenia. A neurobiological formulation is discussed, suggesting that the use of substances in patients with schizophrenia may be based on a dysfunction within the dopamine-mediated brain reward circuitry and that clozapine, in particular, may potentially ameliorate this dysfunction and lessen the desire for substance use. Medications for the treatment of alcohol use disorders, such as disulfiram, naltrexone, and acamprosate, as well as other adjunctive medications, may also be useful. Further studies are required to establish a solid evidence base of best practices for the use of medications in these patients. © 2008 Elsevier Inc. All rights reserved.","author":[{"dropping-particle":"","family":"Green","given":"Alan I.","non-dropping-particle":"","parse-names":false,"suffix":""},{"dropping-particle":"","family":"Noordsy","given":"Douglas L.","non-dropping-particle":"","parse-names":false,"suffix":""},{"dropping-particle":"","family":"Brunette","given":"Mary F.","non-dropping-particle":"","parse-names":false,"suffix":""},{"dropping-particle":"","family":"O'Keefe","given":"Christopher","non-dropping-particle":"","parse-names":false,"suffix":""}],"container-title":"Journal of Substance Abuse Treatment","id":"ITEM-2","issue":"1","issued":{"date-parts":[["2008"]]},"page":"61-71","title":"Substance abuse and schizophrenia: Pharmacotherapeutic intervention","type":"article-journal","volume":"34"},"uris":["http://www.mendeley.com/documents/?uuid=65acbfd0-358d-477e-928b-7c7eb426f5c0"]},{"id":"ITEM-3","itemData":{"ISSN":"01606689","PMID":"16961422","abstract":"Co-occurring substance use disorder is common among patients with schizophrenia, and its presence greatly worsens the course of schizophrenia. A number of theories have been introduced to explain the increased rate of substance use disorder in these patients. These theories include the notion that substance use could trigger psychotic symptoms in vulnerable individuals and the idea that the substances are used to self-medicate symptoms of schizophrenia. Our group and others have advanced a neurobiological hypothesis to explain this comorbidity-that a mesocorticolimbic brain reward circuit underlies the substance use disorder in patients with schizophrenia. Treatment of substance use disorder in these patients is best done with integrated treatment programs that combine psychosocial interventions with pharmacotherapy. Recent data suggest that the atypical antipsychotic clozapine and perhaps other atypical agents may lessen substance use in patients with schizophrenia. My colleagues and I have proposed that clozapine's effect in these patients may be related to its ability to decrease the brain reward circuit dysfunction. Research is continuing on the use of atypical antipsychotics in patients with schizophrenia and comorbid substance abuse. The adjunctive use of naltrexone or other agents also may be helpful. Further research on the optimal pharmacologic approach to patients with dual diagnosis is needed.","author":[{"dropping-particle":"","family":"Green","given":"Alan I.","non-dropping-particle":"","parse-names":false,"suffix":""}],"container-title":"Journal of Clinical Psychiatry","id":"ITEM-3","issue":"SUPPL. 7","issued":{"date-parts":[["2006"]]},"page":"31-35","title":"Treatment of schizophrenia and comorbid substance abuse: Pharmacologic approaches","type":"article","volume":"67"},"uris":["http://www.mendeley.com/documents/?uuid=9e4091f9-15d5-4e6b-8241-af85a1c4f6b4"]}],"mendeley":{"formattedCitation":"&lt;sup&gt;9–11&lt;/sup&gt;","plainTextFormattedCitation":"9–11","previouslyFormattedCitation":"&lt;sup&gt;9–11&lt;/sup&gt;"},"properties":{"noteIndex":0},"schema":"https://github.com/citation-style-language/schema/raw/master/csl-citation.json"}</w:instrText>
      </w:r>
      <w:r w:rsidR="00DE7346" w:rsidRPr="00207175">
        <w:rPr>
          <w:rFonts w:asciiTheme="minorHAnsi" w:hAnsiTheme="minorHAnsi" w:cstheme="minorHAnsi"/>
        </w:rPr>
        <w:fldChar w:fldCharType="separate"/>
      </w:r>
      <w:r w:rsidR="00F965A7" w:rsidRPr="00207175">
        <w:rPr>
          <w:rFonts w:asciiTheme="minorHAnsi" w:hAnsiTheme="minorHAnsi" w:cstheme="minorHAnsi"/>
          <w:noProof/>
          <w:vertAlign w:val="superscript"/>
        </w:rPr>
        <w:t>9–11</w:t>
      </w:r>
      <w:r w:rsidR="00DE7346" w:rsidRPr="00207175">
        <w:rPr>
          <w:rFonts w:asciiTheme="minorHAnsi" w:hAnsiTheme="minorHAnsi" w:cstheme="minorHAnsi"/>
        </w:rPr>
        <w:fldChar w:fldCharType="end"/>
      </w:r>
      <w:r w:rsidR="00DE7346" w:rsidRPr="00207175">
        <w:rPr>
          <w:rFonts w:asciiTheme="minorHAnsi" w:hAnsiTheme="minorHAnsi" w:cstheme="minorHAnsi"/>
        </w:rPr>
        <w:t>. This may be due to clozapine’s effect on reducing craving</w:t>
      </w:r>
      <w:r w:rsidR="005E7602" w:rsidRPr="00207175">
        <w:rPr>
          <w:rFonts w:asciiTheme="minorHAnsi" w:hAnsiTheme="minorHAnsi" w:cstheme="minorHAnsi"/>
        </w:rPr>
        <w:fldChar w:fldCharType="begin" w:fldLock="1"/>
      </w:r>
      <w:r w:rsidR="00F965A7" w:rsidRPr="00207175">
        <w:rPr>
          <w:rFonts w:asciiTheme="minorHAnsi" w:hAnsiTheme="minorHAnsi" w:cstheme="minorHAnsi"/>
        </w:rPr>
        <w:instrText>ADDIN CSL_CITATION {"citationItems":[{"id":"ITEM-1","itemData":{"DOI":"10.1080/15504263.2012.647345","ISSN":"15504263","abstract":"Objective: Treatment of schizophrenia in patients with comorbid substance use (alcohol/illicit drug use, abuse, or dependence) presents challenges for public health systems. Substance use in people with schizophrenia is up to four times greater than the general population and is associated with medication nonadherence and poor outcomes. Therefore, continuous antipsychotic treatment in this population may pose more of a challenge than for those with schizophrenia alone. Many clinical trials and treatment recommendations in schizophrenia do not take into consideration substance use, as people with comorbid substance use have typically been excluded from most antipsychotic trials. Nonetheless, antipsychotic treatment appears to be as efficacious in this population, although treatment discontinuation remains high. The objective of this review was to highlight the importance and utility of considering long-acting injectable antipsychotics for patients with schizophrenia and comorbid substance use. Methods: We did a literature search using PubMed with keywords schizophrenia and substance use/abuse/dependence, nonadherence, antipsychotics, long-acting injectables, relapse, and psychosocial interventions. We limited our search to human studies published in English and 4,971 articles were identified. We focused on clinical trials, case reports, case series, reviews, and meta-analyses, resulting in 125 articles from 1975 to 2011. Results: Our review suggests the potential role of long-acting injectables for people with comorbid substance use and schizophrenia in leading to improvements in psychopathology, relapse prevention, fewer rehospitalizations, and better outcomes. Conclusions: While more research is needed, long-acting antipsychotics should be considered an important option in the management of cases of schizophrenia and comorbid substance use. © 2012 Copyright Taylor and Francis Group, LLC.","author":[{"dropping-particle":"","family":"Koola","given":"Maju Mathew","non-dropping-particle":"","parse-names":false,"suffix":""},{"dropping-particle":"","family":"Wehring","given":"Heidi J.","non-dropping-particle":"","parse-names":false,"suffix":""},{"dropping-particle":"","family":"Kelly","given":"Deanna L.","non-dropping-particle":"","parse-names":false,"suffix":""}],"container-title":"Journal of Dual Diagnosis","id":"ITEM-1","issue":"1","issued":{"date-parts":[["2012"]]},"page":"50-61","title":"The potential role of long-acting injectable antipsychotics in people with schizophrenia and comorbid substance use","type":"article","volume":"8"},"uris":["http://www.mendeley.com/documents/?uuid=242243ce-4eed-493d-8241-70377f1aedb3"]},{"id":"ITEM-2","itemData":{"DOI":"10.1016/j.schres.2017.03.030","ISSN":"15732509","PMID":"28351544","abstract":"Objective: Cannabis use disorders (CUDs) are highly comorbid in patients with schizophrenia and associated with poor outcome. Clozapine has been put forward as the first choice antipsychotic in this patient group. However, little is known about the mechanisms underlying the assumed superiority of clozapine. Methods: A total of 38 patients with DSM-IV schizophrenia (30 with and 8 without a DSM-IV CUD) and 20 healthy comparison subjects were included between April 2009 and June 2012. Patients were randomized to antipsychotic treatment with clozapine or risperidone. At baseline and after 4 weeks of medication, brain response to cannabis-related, positive and neutral images was measured using functional MRI. Neural correlates of cue reactivity were assessed in the following regions of interest: amygdala, ventral striatum, insula, thalamus, orbitofrontal cortex and anterior cingulate cortex. Subjective craving was assessed using self-report questionnaires (OCDUS and MCQ). Results: At baseline, patients with a comorbid CUD showed higher subjective craving and greater activation in response to cannabis-related images compared to patients without a CUD and healthy controls in most regions of interest. Clozapine treated patients reported a greater reduction in craving (F(1,28) = 6.0, p = 0.04) and showed a larger decrease in amygdala activation during cannabis-related images compared to risperidone treated patients (T = 3.94, pFWE = 0.006). In addition, significant correlations were found between subjective craving and thalamus and insula activation during cannabis-related images. Conclusion: These findings provide evidence that clozapine is superior to risperidone in decreasing subjective craving and cue reactivity for cannabis-related images probably due to a differential effect on dopaminergic neurotransmission. Trial registration: ‘Nederlands trial register’ (http://www.trialregister.nl), nr NTR1761, http://www.trialregister.nl/trialreg/admin/rctview.asp?TC=1761","author":[{"dropping-particle":"","family":"Machielsen","given":"Marise W.J.","non-dropping-particle":"","parse-names":false,"suffix":""},{"dropping-particle":"","family":"Veltman","given":"Dick J.","non-dropping-particle":"","parse-names":false,"suffix":""},{"dropping-particle":"","family":"Brink","given":"Wim","non-dropping-particle":"van den","parse-names":false,"suffix":""},{"dropping-particle":"","family":"Haan","given":"Lieuwe","non-dropping-particle":"de","parse-names":false,"suffix":""}],"container-title":"Schizophrenia Research","id":"ITEM-2","issued":{"date-parts":[["2018"]]},"page":"32-38","title":"Comparing the effect of clozapine and risperidone on cue reactivity in male patients with schizophrenia and a cannabis use disorder: A randomized fMRI study","type":"article-journal","volume":"194"},"uris":["http://www.mendeley.com/documents/?uuid=9f13139a-eb5b-45cc-9d26-e8edcb32d35d"]}],"mendeley":{"formattedCitation":"&lt;sup&gt;12,13&lt;/sup&gt;","plainTextFormattedCitation":"12,13","previouslyFormattedCitation":"&lt;sup&gt;12,13&lt;/sup&gt;"},"properties":{"noteIndex":0},"schema":"https://github.com/citation-style-language/schema/raw/master/csl-citation.json"}</w:instrText>
      </w:r>
      <w:r w:rsidR="005E7602" w:rsidRPr="00207175">
        <w:rPr>
          <w:rFonts w:asciiTheme="minorHAnsi" w:hAnsiTheme="minorHAnsi" w:cstheme="minorHAnsi"/>
        </w:rPr>
        <w:fldChar w:fldCharType="separate"/>
      </w:r>
      <w:r w:rsidR="00F965A7" w:rsidRPr="00207175">
        <w:rPr>
          <w:rFonts w:asciiTheme="minorHAnsi" w:hAnsiTheme="minorHAnsi" w:cstheme="minorHAnsi"/>
          <w:noProof/>
          <w:vertAlign w:val="superscript"/>
        </w:rPr>
        <w:t>12,13</w:t>
      </w:r>
      <w:r w:rsidR="005E7602" w:rsidRPr="00207175">
        <w:rPr>
          <w:rFonts w:asciiTheme="minorHAnsi" w:hAnsiTheme="minorHAnsi" w:cstheme="minorHAnsi"/>
        </w:rPr>
        <w:fldChar w:fldCharType="end"/>
      </w:r>
      <w:r w:rsidR="00DE7346" w:rsidRPr="00207175">
        <w:rPr>
          <w:rFonts w:asciiTheme="minorHAnsi" w:hAnsiTheme="minorHAnsi" w:cstheme="minorHAnsi"/>
        </w:rPr>
        <w:t>.</w:t>
      </w:r>
    </w:p>
    <w:p w14:paraId="20F1957A" w14:textId="1BF75DDC" w:rsidR="00E73072" w:rsidRPr="00207175" w:rsidRDefault="00E73072" w:rsidP="00E73072">
      <w:pPr>
        <w:spacing w:line="240" w:lineRule="auto"/>
        <w:jc w:val="both"/>
        <w:rPr>
          <w:rFonts w:ascii="Times New Roman" w:hAnsi="Times New Roman" w:cs="Times New Roman"/>
          <w:b/>
          <w:bCs/>
          <w:sz w:val="20"/>
          <w:szCs w:val="20"/>
        </w:rPr>
      </w:pPr>
      <w:r w:rsidRPr="00207175">
        <w:rPr>
          <w:rFonts w:ascii="Times New Roman" w:hAnsi="Times New Roman" w:cs="Times New Roman"/>
          <w:b/>
          <w:bCs/>
          <w:sz w:val="20"/>
          <w:szCs w:val="20"/>
        </w:rPr>
        <w:t>References</w:t>
      </w:r>
    </w:p>
    <w:p w14:paraId="7CB8B3E2" w14:textId="4B5BC6AD" w:rsidR="00F965A7" w:rsidRPr="00F965A7" w:rsidRDefault="00983EC5"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Pr>
          <w:rFonts w:ascii="Times New Roman" w:hAnsi="Times New Roman" w:cs="Times New Roman"/>
          <w:sz w:val="20"/>
          <w:szCs w:val="20"/>
          <w:lang w:val="nl-NL"/>
        </w:rPr>
        <w:fldChar w:fldCharType="begin" w:fldLock="1"/>
      </w:r>
      <w:r w:rsidRPr="00207175">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lang w:val="nl-NL"/>
        </w:rPr>
        <w:fldChar w:fldCharType="separate"/>
      </w:r>
      <w:r w:rsidR="00F965A7" w:rsidRPr="00F965A7">
        <w:rPr>
          <w:rFonts w:ascii="Times New Roman" w:hAnsi="Times New Roman" w:cs="Times New Roman"/>
          <w:noProof/>
          <w:sz w:val="20"/>
          <w:lang w:val="en-GB"/>
        </w:rPr>
        <w:t xml:space="preserve">1. </w:t>
      </w:r>
      <w:r w:rsidR="00F965A7" w:rsidRPr="00F965A7">
        <w:rPr>
          <w:rFonts w:ascii="Times New Roman" w:hAnsi="Times New Roman" w:cs="Times New Roman"/>
          <w:noProof/>
          <w:sz w:val="20"/>
          <w:lang w:val="en-GB"/>
        </w:rPr>
        <w:tab/>
        <w:t xml:space="preserve">Lichtenstein P, Halldner L, Zetterqvist J, et al. Medication for Attention Deficit–Hyperactivity Disorder and Criminality. </w:t>
      </w:r>
      <w:r w:rsidR="00F965A7" w:rsidRPr="00F965A7">
        <w:rPr>
          <w:rFonts w:ascii="Times New Roman" w:hAnsi="Times New Roman" w:cs="Times New Roman"/>
          <w:i/>
          <w:iCs/>
          <w:noProof/>
          <w:sz w:val="20"/>
          <w:lang w:val="en-GB"/>
        </w:rPr>
        <w:t>N Engl J Med</w:t>
      </w:r>
      <w:r w:rsidR="00F965A7" w:rsidRPr="00F965A7">
        <w:rPr>
          <w:rFonts w:ascii="Times New Roman" w:hAnsi="Times New Roman" w:cs="Times New Roman"/>
          <w:noProof/>
          <w:sz w:val="20"/>
          <w:lang w:val="en-GB"/>
        </w:rPr>
        <w:t>. 2012;367(21):2006-2014. doi:10.1056/nejmoa1203241</w:t>
      </w:r>
    </w:p>
    <w:p w14:paraId="54D9D113"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2. </w:t>
      </w:r>
      <w:r w:rsidRPr="00F965A7">
        <w:rPr>
          <w:rFonts w:ascii="Times New Roman" w:hAnsi="Times New Roman" w:cs="Times New Roman"/>
          <w:noProof/>
          <w:sz w:val="20"/>
          <w:lang w:val="en-GB"/>
        </w:rPr>
        <w:tab/>
        <w:t xml:space="preserve">Lynn Starr H, Bermak J, Mao L, Rodriguez S, Alphs L. Comparison of long-acting and oral antipsychotic treatment effects in patients with schizophrenia, comorbid substance abuse, and a history of recent incarceration: An exploratory analysis of the PRIDE study. </w:t>
      </w:r>
      <w:r w:rsidRPr="00F965A7">
        <w:rPr>
          <w:rFonts w:ascii="Times New Roman" w:hAnsi="Times New Roman" w:cs="Times New Roman"/>
          <w:i/>
          <w:iCs/>
          <w:noProof/>
          <w:sz w:val="20"/>
          <w:lang w:val="en-GB"/>
        </w:rPr>
        <w:t>Schizophr Res</w:t>
      </w:r>
      <w:r w:rsidRPr="00F965A7">
        <w:rPr>
          <w:rFonts w:ascii="Times New Roman" w:hAnsi="Times New Roman" w:cs="Times New Roman"/>
          <w:noProof/>
          <w:sz w:val="20"/>
          <w:lang w:val="en-GB"/>
        </w:rPr>
        <w:t>. 2018;194:39-46. doi:10.1016/j.schres.2017.05.005</w:t>
      </w:r>
    </w:p>
    <w:p w14:paraId="43369600"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3. </w:t>
      </w:r>
      <w:r w:rsidRPr="00F965A7">
        <w:rPr>
          <w:rFonts w:ascii="Times New Roman" w:hAnsi="Times New Roman" w:cs="Times New Roman"/>
          <w:noProof/>
          <w:sz w:val="20"/>
          <w:lang w:val="en-GB"/>
        </w:rPr>
        <w:tab/>
        <w:t xml:space="preserve">Abdel-Baki A, Thibault D, Medrano S, et al. Long-acting antipsychotic medication as first-line treatment of first-episode psychosis with comorbid substance use disorder. </w:t>
      </w:r>
      <w:r w:rsidRPr="00F965A7">
        <w:rPr>
          <w:rFonts w:ascii="Times New Roman" w:hAnsi="Times New Roman" w:cs="Times New Roman"/>
          <w:i/>
          <w:iCs/>
          <w:noProof/>
          <w:sz w:val="20"/>
          <w:lang w:val="en-GB"/>
        </w:rPr>
        <w:t>Early Interv Psychiatry</w:t>
      </w:r>
      <w:r w:rsidRPr="00F965A7">
        <w:rPr>
          <w:rFonts w:ascii="Times New Roman" w:hAnsi="Times New Roman" w:cs="Times New Roman"/>
          <w:noProof/>
          <w:sz w:val="20"/>
          <w:lang w:val="en-GB"/>
        </w:rPr>
        <w:t>. 2020;14(1):69-79. doi:10.1111/eip.12826</w:t>
      </w:r>
    </w:p>
    <w:p w14:paraId="20255E83"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4. </w:t>
      </w:r>
      <w:r w:rsidRPr="00F965A7">
        <w:rPr>
          <w:rFonts w:ascii="Times New Roman" w:hAnsi="Times New Roman" w:cs="Times New Roman"/>
          <w:noProof/>
          <w:sz w:val="20"/>
          <w:lang w:val="en-GB"/>
        </w:rPr>
        <w:tab/>
        <w:t xml:space="preserve">Lacro JP, Dunn LB, Dolder CR, Leckband SG, Jeste D V. Prevalence of and risk factors for medication nonadherence in patients with schizophrenia: A comprehensive review of recent literature. </w:t>
      </w:r>
      <w:r w:rsidRPr="00F965A7">
        <w:rPr>
          <w:rFonts w:ascii="Times New Roman" w:hAnsi="Times New Roman" w:cs="Times New Roman"/>
          <w:i/>
          <w:iCs/>
          <w:noProof/>
          <w:sz w:val="20"/>
          <w:lang w:val="en-GB"/>
        </w:rPr>
        <w:t>J Clin Psychiatry</w:t>
      </w:r>
      <w:r w:rsidRPr="00F965A7">
        <w:rPr>
          <w:rFonts w:ascii="Times New Roman" w:hAnsi="Times New Roman" w:cs="Times New Roman"/>
          <w:noProof/>
          <w:sz w:val="20"/>
          <w:lang w:val="en-GB"/>
        </w:rPr>
        <w:t>. 2002;63(10):892-909. doi:10.4088/JCP.v63n1007</w:t>
      </w:r>
    </w:p>
    <w:p w14:paraId="54A77944"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5. </w:t>
      </w:r>
      <w:r w:rsidRPr="00F965A7">
        <w:rPr>
          <w:rFonts w:ascii="Times New Roman" w:hAnsi="Times New Roman" w:cs="Times New Roman"/>
          <w:noProof/>
          <w:sz w:val="20"/>
          <w:lang w:val="en-GB"/>
        </w:rPr>
        <w:tab/>
        <w:t xml:space="preserve">Kane JM, Kishimoto T, Correll CU. Non-adherence to medication in patients with psychotic disorders: Epidemiology, contributing factors and management strategies. </w:t>
      </w:r>
      <w:r w:rsidRPr="00F965A7">
        <w:rPr>
          <w:rFonts w:ascii="Times New Roman" w:hAnsi="Times New Roman" w:cs="Times New Roman"/>
          <w:i/>
          <w:iCs/>
          <w:noProof/>
          <w:sz w:val="20"/>
          <w:lang w:val="en-GB"/>
        </w:rPr>
        <w:t>World Psychiatry</w:t>
      </w:r>
      <w:r w:rsidRPr="00F965A7">
        <w:rPr>
          <w:rFonts w:ascii="Times New Roman" w:hAnsi="Times New Roman" w:cs="Times New Roman"/>
          <w:noProof/>
          <w:sz w:val="20"/>
          <w:lang w:val="en-GB"/>
        </w:rPr>
        <w:t>. 2013;12(3):216-226. doi:10.1002/wps.20060</w:t>
      </w:r>
    </w:p>
    <w:p w14:paraId="37E40FF4"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6. </w:t>
      </w:r>
      <w:r w:rsidRPr="00F965A7">
        <w:rPr>
          <w:rFonts w:ascii="Times New Roman" w:hAnsi="Times New Roman" w:cs="Times New Roman"/>
          <w:noProof/>
          <w:sz w:val="20"/>
          <w:lang w:val="en-GB"/>
        </w:rPr>
        <w:tab/>
        <w:t xml:space="preserve">Kishimoto T, Robenzadeh A, Leucht C, et al. Long-acting injectable vs oral antipsychotics for relapse </w:t>
      </w:r>
      <w:r w:rsidRPr="00F965A7">
        <w:rPr>
          <w:rFonts w:ascii="Times New Roman" w:hAnsi="Times New Roman" w:cs="Times New Roman"/>
          <w:noProof/>
          <w:sz w:val="20"/>
          <w:lang w:val="en-GB"/>
        </w:rPr>
        <w:lastRenderedPageBreak/>
        <w:t xml:space="preserve">prevention in schizophrenia: A meta-analysis of randomized trials. </w:t>
      </w:r>
      <w:r w:rsidRPr="00F965A7">
        <w:rPr>
          <w:rFonts w:ascii="Times New Roman" w:hAnsi="Times New Roman" w:cs="Times New Roman"/>
          <w:i/>
          <w:iCs/>
          <w:noProof/>
          <w:sz w:val="20"/>
          <w:lang w:val="en-GB"/>
        </w:rPr>
        <w:t>Schizophr Bull</w:t>
      </w:r>
      <w:r w:rsidRPr="00F965A7">
        <w:rPr>
          <w:rFonts w:ascii="Times New Roman" w:hAnsi="Times New Roman" w:cs="Times New Roman"/>
          <w:noProof/>
          <w:sz w:val="20"/>
          <w:lang w:val="en-GB"/>
        </w:rPr>
        <w:t>. 2014;40(1):192-213. doi:10.1093/schbul/sbs150</w:t>
      </w:r>
    </w:p>
    <w:p w14:paraId="4344CCD8"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7. </w:t>
      </w:r>
      <w:r w:rsidRPr="00F965A7">
        <w:rPr>
          <w:rFonts w:ascii="Times New Roman" w:hAnsi="Times New Roman" w:cs="Times New Roman"/>
          <w:noProof/>
          <w:sz w:val="20"/>
          <w:lang w:val="en-GB"/>
        </w:rPr>
        <w:tab/>
        <w:t xml:space="preserve">Subotnik KL, Casaus LR, Ventura J, et al. Long-acting injectable risperidone for relapse prevention and control of breakthrough symptoms after a recent first episode of schizophrenia a randomized clinical trial. </w:t>
      </w:r>
      <w:r w:rsidRPr="00F965A7">
        <w:rPr>
          <w:rFonts w:ascii="Times New Roman" w:hAnsi="Times New Roman" w:cs="Times New Roman"/>
          <w:i/>
          <w:iCs/>
          <w:noProof/>
          <w:sz w:val="20"/>
          <w:lang w:val="en-GB"/>
        </w:rPr>
        <w:t>JAMA Psychiatry</w:t>
      </w:r>
      <w:r w:rsidRPr="00F965A7">
        <w:rPr>
          <w:rFonts w:ascii="Times New Roman" w:hAnsi="Times New Roman" w:cs="Times New Roman"/>
          <w:noProof/>
          <w:sz w:val="20"/>
          <w:lang w:val="en-GB"/>
        </w:rPr>
        <w:t>. 2015;72(8):822-829. doi:10.1001/jamapsychiatry.2015.0270</w:t>
      </w:r>
    </w:p>
    <w:p w14:paraId="41736611"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8. </w:t>
      </w:r>
      <w:r w:rsidRPr="00F965A7">
        <w:rPr>
          <w:rFonts w:ascii="Times New Roman" w:hAnsi="Times New Roman" w:cs="Times New Roman"/>
          <w:noProof/>
          <w:sz w:val="20"/>
          <w:lang w:val="en-GB"/>
        </w:rPr>
        <w:tab/>
        <w:t xml:space="preserve">Kane JM, Schooler NR, Marcy P, et al. Effect of Long-Acting Injectable Antipsychotics vs Usual Care on Time to First Hospitalization in Early-Phase Schizophrenia: A Randomized Clinical Trial. </w:t>
      </w:r>
      <w:r w:rsidRPr="00F965A7">
        <w:rPr>
          <w:rFonts w:ascii="Times New Roman" w:hAnsi="Times New Roman" w:cs="Times New Roman"/>
          <w:i/>
          <w:iCs/>
          <w:noProof/>
          <w:sz w:val="20"/>
          <w:lang w:val="en-GB"/>
        </w:rPr>
        <w:t>JAMA Psychiatry</w:t>
      </w:r>
      <w:r w:rsidRPr="00F965A7">
        <w:rPr>
          <w:rFonts w:ascii="Times New Roman" w:hAnsi="Times New Roman" w:cs="Times New Roman"/>
          <w:noProof/>
          <w:sz w:val="20"/>
          <w:lang w:val="en-GB"/>
        </w:rPr>
        <w:t>. 2020;77(12):1217-1224. doi:10.1001/jamapsychiatry.2020.2076</w:t>
      </w:r>
    </w:p>
    <w:p w14:paraId="031F6DBA"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9. </w:t>
      </w:r>
      <w:r w:rsidRPr="00F965A7">
        <w:rPr>
          <w:rFonts w:ascii="Times New Roman" w:hAnsi="Times New Roman" w:cs="Times New Roman"/>
          <w:noProof/>
          <w:sz w:val="20"/>
          <w:lang w:val="en-GB"/>
        </w:rPr>
        <w:tab/>
        <w:t xml:space="preserve">San L, Arranz B, Martinez-Raga J. Antipsychotic drug treatment of schizophrenic patients with substance abuse disorders. </w:t>
      </w:r>
      <w:r w:rsidRPr="00F965A7">
        <w:rPr>
          <w:rFonts w:ascii="Times New Roman" w:hAnsi="Times New Roman" w:cs="Times New Roman"/>
          <w:i/>
          <w:iCs/>
          <w:noProof/>
          <w:sz w:val="20"/>
          <w:lang w:val="en-GB"/>
        </w:rPr>
        <w:t>Eur Addict Res</w:t>
      </w:r>
      <w:r w:rsidRPr="00F965A7">
        <w:rPr>
          <w:rFonts w:ascii="Times New Roman" w:hAnsi="Times New Roman" w:cs="Times New Roman"/>
          <w:noProof/>
          <w:sz w:val="20"/>
          <w:lang w:val="en-GB"/>
        </w:rPr>
        <w:t>. 2007;13(4):230-243. doi:10.1159/000104886</w:t>
      </w:r>
    </w:p>
    <w:p w14:paraId="67C119FC"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10. </w:t>
      </w:r>
      <w:r w:rsidRPr="00F965A7">
        <w:rPr>
          <w:rFonts w:ascii="Times New Roman" w:hAnsi="Times New Roman" w:cs="Times New Roman"/>
          <w:noProof/>
          <w:sz w:val="20"/>
          <w:lang w:val="en-GB"/>
        </w:rPr>
        <w:tab/>
        <w:t xml:space="preserve">Green AI, Noordsy DL, Brunette MF, O’Keefe C. Substance abuse and schizophrenia: Pharmacotherapeutic intervention. </w:t>
      </w:r>
      <w:r w:rsidRPr="00F965A7">
        <w:rPr>
          <w:rFonts w:ascii="Times New Roman" w:hAnsi="Times New Roman" w:cs="Times New Roman"/>
          <w:i/>
          <w:iCs/>
          <w:noProof/>
          <w:sz w:val="20"/>
          <w:lang w:val="en-GB"/>
        </w:rPr>
        <w:t>J Subst Abuse Treat</w:t>
      </w:r>
      <w:r w:rsidRPr="00F965A7">
        <w:rPr>
          <w:rFonts w:ascii="Times New Roman" w:hAnsi="Times New Roman" w:cs="Times New Roman"/>
          <w:noProof/>
          <w:sz w:val="20"/>
          <w:lang w:val="en-GB"/>
        </w:rPr>
        <w:t>. 2008;34(1):61-71. doi:10.1016/j.jsat.2007.01.008</w:t>
      </w:r>
    </w:p>
    <w:p w14:paraId="760ED933"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11. </w:t>
      </w:r>
      <w:r w:rsidRPr="00F965A7">
        <w:rPr>
          <w:rFonts w:ascii="Times New Roman" w:hAnsi="Times New Roman" w:cs="Times New Roman"/>
          <w:noProof/>
          <w:sz w:val="20"/>
          <w:lang w:val="en-GB"/>
        </w:rPr>
        <w:tab/>
        <w:t xml:space="preserve">Green AI. Treatment of schizophrenia and comorbid substance abuse: Pharmacologic approaches. </w:t>
      </w:r>
      <w:r w:rsidRPr="00F965A7">
        <w:rPr>
          <w:rFonts w:ascii="Times New Roman" w:hAnsi="Times New Roman" w:cs="Times New Roman"/>
          <w:i/>
          <w:iCs/>
          <w:noProof/>
          <w:sz w:val="20"/>
          <w:lang w:val="en-GB"/>
        </w:rPr>
        <w:t>J Clin Psychiatry</w:t>
      </w:r>
      <w:r w:rsidRPr="00F965A7">
        <w:rPr>
          <w:rFonts w:ascii="Times New Roman" w:hAnsi="Times New Roman" w:cs="Times New Roman"/>
          <w:noProof/>
          <w:sz w:val="20"/>
          <w:lang w:val="en-GB"/>
        </w:rPr>
        <w:t>. 2006;67(SUPPL. 7):31-35.</w:t>
      </w:r>
    </w:p>
    <w:p w14:paraId="32AF65A6"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lang w:val="en-GB"/>
        </w:rPr>
      </w:pPr>
      <w:r w:rsidRPr="00F965A7">
        <w:rPr>
          <w:rFonts w:ascii="Times New Roman" w:hAnsi="Times New Roman" w:cs="Times New Roman"/>
          <w:noProof/>
          <w:sz w:val="20"/>
          <w:lang w:val="en-GB"/>
        </w:rPr>
        <w:t xml:space="preserve">12. </w:t>
      </w:r>
      <w:r w:rsidRPr="00F965A7">
        <w:rPr>
          <w:rFonts w:ascii="Times New Roman" w:hAnsi="Times New Roman" w:cs="Times New Roman"/>
          <w:noProof/>
          <w:sz w:val="20"/>
          <w:lang w:val="en-GB"/>
        </w:rPr>
        <w:tab/>
        <w:t xml:space="preserve">Koola MM, Wehring HJ, Kelly DL. The potential role of long-acting injectable antipsychotics in people with schizophrenia and comorbid substance use. </w:t>
      </w:r>
      <w:r w:rsidRPr="00F965A7">
        <w:rPr>
          <w:rFonts w:ascii="Times New Roman" w:hAnsi="Times New Roman" w:cs="Times New Roman"/>
          <w:i/>
          <w:iCs/>
          <w:noProof/>
          <w:sz w:val="20"/>
          <w:lang w:val="en-GB"/>
        </w:rPr>
        <w:t>J Dual Diagn</w:t>
      </w:r>
      <w:r w:rsidRPr="00F965A7">
        <w:rPr>
          <w:rFonts w:ascii="Times New Roman" w:hAnsi="Times New Roman" w:cs="Times New Roman"/>
          <w:noProof/>
          <w:sz w:val="20"/>
          <w:lang w:val="en-GB"/>
        </w:rPr>
        <w:t>. 2012;8(1):50-61. doi:10.1080/15504263.2012.647345</w:t>
      </w:r>
    </w:p>
    <w:p w14:paraId="0DDB6F58" w14:textId="77777777" w:rsidR="00F965A7" w:rsidRPr="00F965A7" w:rsidRDefault="00F965A7" w:rsidP="00F965A7">
      <w:pPr>
        <w:widowControl w:val="0"/>
        <w:autoSpaceDE w:val="0"/>
        <w:autoSpaceDN w:val="0"/>
        <w:adjustRightInd w:val="0"/>
        <w:spacing w:after="0" w:line="240" w:lineRule="auto"/>
        <w:ind w:left="640" w:hanging="640"/>
        <w:rPr>
          <w:rFonts w:ascii="Times New Roman" w:hAnsi="Times New Roman" w:cs="Times New Roman"/>
          <w:noProof/>
          <w:sz w:val="20"/>
        </w:rPr>
      </w:pPr>
      <w:r w:rsidRPr="00F965A7">
        <w:rPr>
          <w:rFonts w:ascii="Times New Roman" w:hAnsi="Times New Roman" w:cs="Times New Roman"/>
          <w:noProof/>
          <w:sz w:val="20"/>
          <w:lang w:val="en-GB"/>
        </w:rPr>
        <w:t xml:space="preserve">13. </w:t>
      </w:r>
      <w:r w:rsidRPr="00F965A7">
        <w:rPr>
          <w:rFonts w:ascii="Times New Roman" w:hAnsi="Times New Roman" w:cs="Times New Roman"/>
          <w:noProof/>
          <w:sz w:val="20"/>
          <w:lang w:val="en-GB"/>
        </w:rPr>
        <w:tab/>
        <w:t xml:space="preserve">Machielsen MWJ, Veltman DJ, van den Brink W, de Haan L. Comparing the effect of clozapine and risperidone on cue reactivity in male patients with schizophrenia and a cannabis use disorder: A randomized fMRI study. </w:t>
      </w:r>
      <w:r w:rsidRPr="00F965A7">
        <w:rPr>
          <w:rFonts w:ascii="Times New Roman" w:hAnsi="Times New Roman" w:cs="Times New Roman"/>
          <w:i/>
          <w:iCs/>
          <w:noProof/>
          <w:sz w:val="20"/>
          <w:lang w:val="en-GB"/>
        </w:rPr>
        <w:t>Schizophr Res</w:t>
      </w:r>
      <w:r w:rsidRPr="00F965A7">
        <w:rPr>
          <w:rFonts w:ascii="Times New Roman" w:hAnsi="Times New Roman" w:cs="Times New Roman"/>
          <w:noProof/>
          <w:sz w:val="20"/>
          <w:lang w:val="en-GB"/>
        </w:rPr>
        <w:t>. 2018;194:32-38. doi:10.1016/j.schres.2017.03.030</w:t>
      </w:r>
    </w:p>
    <w:p w14:paraId="6C80932E" w14:textId="0ED16B09" w:rsidR="00E73072" w:rsidRDefault="00983EC5" w:rsidP="00183549">
      <w:pPr>
        <w:widowControl w:val="0"/>
        <w:autoSpaceDE w:val="0"/>
        <w:autoSpaceDN w:val="0"/>
        <w:adjustRightInd w:val="0"/>
        <w:spacing w:after="0" w:line="240" w:lineRule="auto"/>
        <w:ind w:left="640" w:hanging="640"/>
      </w:pPr>
      <w:r>
        <w:rPr>
          <w:rFonts w:ascii="Times New Roman" w:hAnsi="Times New Roman" w:cs="Times New Roman"/>
          <w:sz w:val="20"/>
          <w:szCs w:val="20"/>
          <w:lang w:val="nl-NL"/>
        </w:rPr>
        <w:fldChar w:fldCharType="end"/>
      </w:r>
    </w:p>
    <w:p w14:paraId="4769A577" w14:textId="615E4DEA" w:rsidR="00B72103" w:rsidRDefault="00B72103" w:rsidP="00B72103">
      <w:pPr>
        <w:widowControl w:val="0"/>
        <w:pBdr>
          <w:top w:val="nil"/>
          <w:left w:val="nil"/>
          <w:bottom w:val="nil"/>
          <w:right w:val="nil"/>
          <w:between w:val="nil"/>
        </w:pBdr>
        <w:spacing w:after="0" w:line="276" w:lineRule="auto"/>
      </w:pPr>
      <w:r>
        <w:br w:type="page"/>
      </w:r>
    </w:p>
    <w:p w14:paraId="2E09CEB0" w14:textId="267EB470" w:rsidR="00B72103" w:rsidRPr="00B84AAA" w:rsidRDefault="000778A7" w:rsidP="00B72103">
      <w:pPr>
        <w:spacing w:line="240" w:lineRule="auto"/>
        <w:rPr>
          <w:rFonts w:ascii="Arial" w:hAnsi="Arial" w:cs="Arial"/>
          <w:b/>
          <w:sz w:val="24"/>
          <w:szCs w:val="24"/>
        </w:rPr>
      </w:pPr>
      <w:proofErr w:type="spellStart"/>
      <w:r>
        <w:rPr>
          <w:rFonts w:ascii="Arial" w:hAnsi="Arial" w:cs="Arial"/>
          <w:b/>
          <w:bCs/>
          <w:sz w:val="24"/>
          <w:szCs w:val="24"/>
        </w:rPr>
        <w:lastRenderedPageBreak/>
        <w:t>S</w:t>
      </w:r>
      <w:r w:rsidR="00B72103" w:rsidRPr="00B84AAA">
        <w:rPr>
          <w:rFonts w:ascii="Arial" w:hAnsi="Arial" w:cs="Arial"/>
          <w:b/>
          <w:bCs/>
          <w:sz w:val="24"/>
          <w:szCs w:val="24"/>
        </w:rPr>
        <w:t>Figure</w:t>
      </w:r>
      <w:proofErr w:type="spellEnd"/>
      <w:r w:rsidR="00B72103" w:rsidRPr="00B84AAA">
        <w:rPr>
          <w:rFonts w:ascii="Arial" w:hAnsi="Arial" w:cs="Arial"/>
          <w:b/>
          <w:bCs/>
          <w:sz w:val="24"/>
          <w:szCs w:val="24"/>
        </w:rPr>
        <w:t xml:space="preserve"> 1.</w:t>
      </w:r>
      <w:r w:rsidR="00B72103" w:rsidRPr="00B84AAA">
        <w:rPr>
          <w:rFonts w:ascii="Arial" w:hAnsi="Arial" w:cs="Arial"/>
          <w:b/>
          <w:sz w:val="24"/>
          <w:szCs w:val="24"/>
        </w:rPr>
        <w:t xml:space="preserve"> Flowchart of group composition</w:t>
      </w:r>
      <w:r>
        <w:rPr>
          <w:rFonts w:ascii="Arial" w:hAnsi="Arial" w:cs="Arial"/>
          <w:b/>
          <w:sz w:val="24"/>
          <w:szCs w:val="24"/>
        </w:rPr>
        <w:t>s and project outline</w:t>
      </w:r>
      <w:r w:rsidR="00B72103" w:rsidRPr="00B84AAA">
        <w:rPr>
          <w:rFonts w:ascii="Arial" w:hAnsi="Arial" w:cs="Arial"/>
          <w:b/>
          <w:sz w:val="24"/>
          <w:szCs w:val="24"/>
        </w:rPr>
        <w:t>.</w:t>
      </w:r>
    </w:p>
    <w:p w14:paraId="494B03DD" w14:textId="77777777" w:rsidR="00B72103" w:rsidRPr="004E14CB" w:rsidRDefault="00B72103" w:rsidP="00B72103">
      <w:pPr>
        <w:rPr>
          <w:b/>
        </w:rPr>
      </w:pPr>
      <w:r w:rsidRPr="007B1948">
        <w:rPr>
          <w:noProof/>
          <w:lang w:val="fi-FI" w:eastAsia="fi-FI"/>
        </w:rPr>
        <w:drawing>
          <wp:inline distT="0" distB="0" distL="0" distR="0" wp14:anchorId="6FB5E79B" wp14:editId="30830FC8">
            <wp:extent cx="5755640" cy="4319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4319905"/>
                    </a:xfrm>
                    <a:prstGeom prst="rect">
                      <a:avLst/>
                    </a:prstGeom>
                    <a:noFill/>
                    <a:ln>
                      <a:noFill/>
                    </a:ln>
                  </pic:spPr>
                </pic:pic>
              </a:graphicData>
            </a:graphic>
          </wp:inline>
        </w:drawing>
      </w:r>
      <w:r>
        <w:br w:type="page"/>
      </w:r>
    </w:p>
    <w:p w14:paraId="5DE00B87" w14:textId="77777777" w:rsidR="00B72103" w:rsidRDefault="00B72103" w:rsidP="00B72103">
      <w:pPr>
        <w:spacing w:line="480" w:lineRule="auto"/>
        <w:rPr>
          <w:b/>
        </w:rPr>
        <w:sectPr w:rsidR="00B72103" w:rsidSect="004E452C">
          <w:footerReference w:type="even" r:id="rId9"/>
          <w:footerReference w:type="default" r:id="rId10"/>
          <w:pgSz w:w="11900" w:h="16820"/>
          <w:pgMar w:top="1134" w:right="1418" w:bottom="1134" w:left="1418" w:header="709" w:footer="709" w:gutter="0"/>
          <w:cols w:space="720" w:equalWidth="0">
            <w:col w:w="9360"/>
          </w:cols>
          <w:docGrid w:linePitch="299"/>
        </w:sectPr>
      </w:pPr>
    </w:p>
    <w:p w14:paraId="6DA1A610" w14:textId="65DCE841" w:rsidR="007E6439" w:rsidRDefault="000778A7" w:rsidP="00A62C6B">
      <w:pPr>
        <w:spacing w:line="240" w:lineRule="auto"/>
        <w:rPr>
          <w:rFonts w:ascii="Arial" w:hAnsi="Arial" w:cs="Arial"/>
          <w:b/>
          <w:sz w:val="24"/>
          <w:szCs w:val="24"/>
        </w:rPr>
      </w:pPr>
      <w:proofErr w:type="spellStart"/>
      <w:r>
        <w:rPr>
          <w:rFonts w:ascii="Arial" w:hAnsi="Arial" w:cs="Arial"/>
          <w:b/>
          <w:bCs/>
          <w:sz w:val="24"/>
          <w:szCs w:val="24"/>
        </w:rPr>
        <w:lastRenderedPageBreak/>
        <w:t>S</w:t>
      </w:r>
      <w:r w:rsidR="007E6439" w:rsidRPr="00B84AAA">
        <w:rPr>
          <w:rFonts w:ascii="Arial" w:hAnsi="Arial" w:cs="Arial"/>
          <w:b/>
          <w:bCs/>
          <w:sz w:val="24"/>
          <w:szCs w:val="24"/>
        </w:rPr>
        <w:t>Figure</w:t>
      </w:r>
      <w:proofErr w:type="spellEnd"/>
      <w:r w:rsidR="007E6439" w:rsidRPr="00B84AAA">
        <w:rPr>
          <w:rFonts w:ascii="Arial" w:hAnsi="Arial" w:cs="Arial"/>
          <w:b/>
          <w:bCs/>
          <w:sz w:val="24"/>
          <w:szCs w:val="24"/>
        </w:rPr>
        <w:t xml:space="preserve"> </w:t>
      </w:r>
      <w:r w:rsidR="007E6439">
        <w:rPr>
          <w:rFonts w:ascii="Arial" w:hAnsi="Arial" w:cs="Arial"/>
          <w:b/>
          <w:bCs/>
          <w:sz w:val="24"/>
          <w:szCs w:val="24"/>
        </w:rPr>
        <w:t>2</w:t>
      </w:r>
      <w:r w:rsidR="007E6439" w:rsidRPr="00B84AAA">
        <w:rPr>
          <w:rFonts w:ascii="Arial" w:hAnsi="Arial" w:cs="Arial"/>
          <w:b/>
          <w:bCs/>
          <w:sz w:val="24"/>
          <w:szCs w:val="24"/>
        </w:rPr>
        <w:t xml:space="preserve">. </w:t>
      </w:r>
      <w:r w:rsidR="007E6439" w:rsidRPr="00505C55">
        <w:rPr>
          <w:rFonts w:ascii="Arial" w:hAnsi="Arial" w:cs="Arial"/>
          <w:b/>
          <w:sz w:val="24"/>
          <w:szCs w:val="24"/>
        </w:rPr>
        <w:t>Description of within-individual design where each individual act as his/her own control</w:t>
      </w:r>
      <w:r w:rsidR="007E6439">
        <w:rPr>
          <w:rFonts w:ascii="Arial" w:hAnsi="Arial" w:cs="Arial"/>
          <w:b/>
          <w:sz w:val="24"/>
          <w:szCs w:val="24"/>
        </w:rPr>
        <w:t>.</w:t>
      </w:r>
    </w:p>
    <w:p w14:paraId="73FF525E" w14:textId="697C10BF" w:rsidR="005B3146" w:rsidRDefault="007E6439" w:rsidP="00A62C6B">
      <w:pPr>
        <w:spacing w:line="240" w:lineRule="auto"/>
        <w:rPr>
          <w:rFonts w:ascii="Arial" w:hAnsi="Arial" w:cs="Arial"/>
          <w:b/>
          <w:sz w:val="24"/>
          <w:szCs w:val="24"/>
        </w:rPr>
      </w:pPr>
      <w:r w:rsidRPr="00505C55">
        <w:rPr>
          <w:noProof/>
          <w:lang w:val="fi-FI" w:eastAsia="fi-FI"/>
        </w:rPr>
        <w:drawing>
          <wp:inline distT="0" distB="0" distL="0" distR="0" wp14:anchorId="6CAE39B1" wp14:editId="1465EB19">
            <wp:extent cx="5943600" cy="3444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44875"/>
                    </a:xfrm>
                    <a:prstGeom prst="rect">
                      <a:avLst/>
                    </a:prstGeom>
                  </pic:spPr>
                </pic:pic>
              </a:graphicData>
            </a:graphic>
          </wp:inline>
        </w:drawing>
      </w:r>
    </w:p>
    <w:p w14:paraId="36067EC2" w14:textId="77777777" w:rsidR="005B3146" w:rsidRDefault="005B3146" w:rsidP="00A62C6B">
      <w:pPr>
        <w:spacing w:line="240" w:lineRule="auto"/>
        <w:rPr>
          <w:rFonts w:ascii="Arial" w:hAnsi="Arial" w:cs="Arial"/>
          <w:b/>
          <w:sz w:val="24"/>
          <w:szCs w:val="24"/>
        </w:rPr>
      </w:pPr>
    </w:p>
    <w:p w14:paraId="46DCA4FD" w14:textId="77777777" w:rsidR="007C5E3E" w:rsidRDefault="007C5E3E">
      <w:pPr>
        <w:spacing w:after="200" w:line="276" w:lineRule="auto"/>
        <w:rPr>
          <w:rFonts w:ascii="Arial" w:hAnsi="Arial" w:cs="Arial"/>
          <w:b/>
          <w:sz w:val="24"/>
          <w:szCs w:val="24"/>
        </w:rPr>
      </w:pPr>
      <w:r>
        <w:rPr>
          <w:rFonts w:ascii="Arial" w:hAnsi="Arial" w:cs="Arial"/>
          <w:b/>
          <w:sz w:val="24"/>
          <w:szCs w:val="24"/>
        </w:rPr>
        <w:br w:type="page"/>
      </w:r>
    </w:p>
    <w:p w14:paraId="6724E581" w14:textId="579B5583" w:rsidR="005B3146" w:rsidRDefault="004D6350" w:rsidP="00A62C6B">
      <w:pPr>
        <w:spacing w:line="240" w:lineRule="auto"/>
        <w:rPr>
          <w:rFonts w:ascii="Arial" w:hAnsi="Arial" w:cs="Arial"/>
          <w:b/>
          <w:sz w:val="24"/>
          <w:szCs w:val="24"/>
        </w:rPr>
      </w:pPr>
      <w:proofErr w:type="spellStart"/>
      <w:r>
        <w:rPr>
          <w:rFonts w:ascii="Arial" w:hAnsi="Arial" w:cs="Arial"/>
          <w:b/>
          <w:sz w:val="24"/>
          <w:szCs w:val="24"/>
        </w:rPr>
        <w:lastRenderedPageBreak/>
        <w:t>S</w:t>
      </w:r>
      <w:r w:rsidRPr="00B84AAA">
        <w:rPr>
          <w:rFonts w:ascii="Arial" w:hAnsi="Arial" w:cs="Arial"/>
          <w:b/>
          <w:sz w:val="24"/>
          <w:szCs w:val="24"/>
        </w:rPr>
        <w:t>Figure</w:t>
      </w:r>
      <w:proofErr w:type="spellEnd"/>
      <w:r w:rsidRPr="00B84AAA">
        <w:rPr>
          <w:rFonts w:ascii="Arial" w:hAnsi="Arial" w:cs="Arial"/>
          <w:b/>
          <w:sz w:val="24"/>
          <w:szCs w:val="24"/>
        </w:rPr>
        <w:t xml:space="preserve"> </w:t>
      </w:r>
      <w:r w:rsidR="007C5E3E">
        <w:rPr>
          <w:rFonts w:ascii="Arial" w:hAnsi="Arial" w:cs="Arial"/>
          <w:b/>
          <w:sz w:val="24"/>
          <w:szCs w:val="24"/>
        </w:rPr>
        <w:t>3</w:t>
      </w:r>
      <w:r w:rsidRPr="00B84AAA">
        <w:rPr>
          <w:rFonts w:ascii="Arial" w:hAnsi="Arial" w:cs="Arial"/>
          <w:b/>
          <w:sz w:val="24"/>
          <w:szCs w:val="24"/>
        </w:rPr>
        <w:t>.</w:t>
      </w:r>
      <w:r>
        <w:rPr>
          <w:rFonts w:ascii="Arial" w:hAnsi="Arial" w:cs="Arial"/>
          <w:b/>
          <w:sz w:val="24"/>
          <w:szCs w:val="24"/>
        </w:rPr>
        <w:t xml:space="preserve"> Development of SUDs in individuals without SUDs shown as Kaplan-Meier survival curves.</w:t>
      </w:r>
      <w:r w:rsidR="00CC579C">
        <w:rPr>
          <w:rFonts w:ascii="Arial" w:hAnsi="Arial" w:cs="Arial"/>
          <w:b/>
          <w:sz w:val="24"/>
          <w:szCs w:val="24"/>
        </w:rPr>
        <w:t xml:space="preserve"> Finnish cohort on the left, Swedish on the right. </w:t>
      </w:r>
      <w:r w:rsidR="00C42AFD">
        <w:rPr>
          <w:rFonts w:ascii="Arial" w:hAnsi="Arial" w:cs="Arial"/>
          <w:b/>
          <w:sz w:val="24"/>
          <w:szCs w:val="24"/>
        </w:rPr>
        <w:t xml:space="preserve">Total cohorts on the </w:t>
      </w:r>
      <w:r w:rsidR="00062FF6">
        <w:rPr>
          <w:rFonts w:ascii="Arial" w:hAnsi="Arial" w:cs="Arial"/>
          <w:b/>
          <w:sz w:val="24"/>
          <w:szCs w:val="24"/>
        </w:rPr>
        <w:t>u</w:t>
      </w:r>
      <w:r w:rsidR="001941E8">
        <w:rPr>
          <w:rFonts w:ascii="Arial" w:hAnsi="Arial" w:cs="Arial"/>
          <w:b/>
          <w:sz w:val="24"/>
          <w:szCs w:val="24"/>
        </w:rPr>
        <w:t xml:space="preserve">pper row and </w:t>
      </w:r>
      <w:r w:rsidR="00207175">
        <w:rPr>
          <w:rFonts w:ascii="Arial" w:hAnsi="Arial" w:cs="Arial"/>
          <w:b/>
          <w:sz w:val="24"/>
          <w:szCs w:val="24"/>
        </w:rPr>
        <w:t>stratified</w:t>
      </w:r>
      <w:r w:rsidR="001941E8">
        <w:rPr>
          <w:rFonts w:ascii="Arial" w:hAnsi="Arial" w:cs="Arial"/>
          <w:b/>
          <w:sz w:val="24"/>
          <w:szCs w:val="24"/>
        </w:rPr>
        <w:t xml:space="preserve"> by sex</w:t>
      </w:r>
      <w:r w:rsidR="00CC579C">
        <w:rPr>
          <w:rFonts w:ascii="Arial" w:hAnsi="Arial" w:cs="Arial"/>
          <w:b/>
          <w:sz w:val="24"/>
          <w:szCs w:val="24"/>
        </w:rPr>
        <w:t xml:space="preserve"> on the lower row.</w:t>
      </w:r>
      <w:r>
        <w:rPr>
          <w:rFonts w:ascii="Arial" w:hAnsi="Arial" w:cs="Arial"/>
          <w:b/>
          <w:sz w:val="24"/>
          <w:szCs w:val="24"/>
        </w:rPr>
        <w:t xml:space="preserve"> </w:t>
      </w:r>
    </w:p>
    <w:p w14:paraId="378BD133" w14:textId="09E570EA" w:rsidR="008D135F" w:rsidRDefault="008D135F" w:rsidP="00A62C6B">
      <w:pPr>
        <w:spacing w:line="240" w:lineRule="auto"/>
        <w:rPr>
          <w:rFonts w:ascii="Arial" w:hAnsi="Arial" w:cs="Arial"/>
          <w:b/>
          <w:sz w:val="24"/>
          <w:szCs w:val="24"/>
        </w:rPr>
      </w:pPr>
      <w:r>
        <w:rPr>
          <w:noProof/>
          <w:lang w:eastAsia="fi-FI"/>
        </w:rPr>
        <w:drawing>
          <wp:inline distT="0" distB="0" distL="0" distR="0" wp14:anchorId="42297D40" wp14:editId="4E4C6FDB">
            <wp:extent cx="5943600" cy="4323394"/>
            <wp:effectExtent l="0" t="0" r="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23394"/>
                    </a:xfrm>
                    <a:prstGeom prst="rect">
                      <a:avLst/>
                    </a:prstGeom>
                    <a:noFill/>
                  </pic:spPr>
                </pic:pic>
              </a:graphicData>
            </a:graphic>
          </wp:inline>
        </w:drawing>
      </w:r>
    </w:p>
    <w:p w14:paraId="7A730794" w14:textId="77777777" w:rsidR="008D135F" w:rsidRDefault="008D135F">
      <w:pPr>
        <w:spacing w:after="200" w:line="276" w:lineRule="auto"/>
        <w:rPr>
          <w:rFonts w:ascii="Arial" w:hAnsi="Arial" w:cs="Arial"/>
          <w:b/>
          <w:sz w:val="24"/>
          <w:szCs w:val="24"/>
        </w:rPr>
      </w:pPr>
      <w:r>
        <w:rPr>
          <w:rFonts w:ascii="Arial" w:hAnsi="Arial" w:cs="Arial"/>
          <w:b/>
          <w:sz w:val="24"/>
          <w:szCs w:val="24"/>
        </w:rPr>
        <w:br w:type="page"/>
      </w:r>
    </w:p>
    <w:p w14:paraId="78B2A0C6" w14:textId="0535B873" w:rsidR="00A62C6B" w:rsidRPr="00B84AAA" w:rsidRDefault="000778A7" w:rsidP="00A62C6B">
      <w:pPr>
        <w:spacing w:line="240" w:lineRule="auto"/>
        <w:rPr>
          <w:rFonts w:ascii="Arial" w:hAnsi="Arial" w:cs="Arial"/>
          <w:b/>
          <w:sz w:val="24"/>
          <w:szCs w:val="24"/>
        </w:rPr>
      </w:pPr>
      <w:proofErr w:type="spellStart"/>
      <w:r>
        <w:rPr>
          <w:rFonts w:ascii="Arial" w:hAnsi="Arial" w:cs="Arial"/>
          <w:b/>
          <w:sz w:val="24"/>
          <w:szCs w:val="24"/>
        </w:rPr>
        <w:lastRenderedPageBreak/>
        <w:t>S</w:t>
      </w:r>
      <w:r w:rsidR="00A62C6B" w:rsidRPr="00B84AAA">
        <w:rPr>
          <w:rFonts w:ascii="Arial" w:hAnsi="Arial" w:cs="Arial"/>
          <w:b/>
          <w:sz w:val="24"/>
          <w:szCs w:val="24"/>
        </w:rPr>
        <w:t>Figure</w:t>
      </w:r>
      <w:proofErr w:type="spellEnd"/>
      <w:r w:rsidR="00A62C6B" w:rsidRPr="00B84AAA">
        <w:rPr>
          <w:rFonts w:ascii="Arial" w:hAnsi="Arial" w:cs="Arial"/>
          <w:b/>
          <w:sz w:val="24"/>
          <w:szCs w:val="24"/>
        </w:rPr>
        <w:t xml:space="preserve"> </w:t>
      </w:r>
      <w:r w:rsidR="00B600F9">
        <w:rPr>
          <w:rFonts w:ascii="Arial" w:hAnsi="Arial" w:cs="Arial"/>
          <w:b/>
          <w:sz w:val="24"/>
          <w:szCs w:val="24"/>
        </w:rPr>
        <w:t>4</w:t>
      </w:r>
      <w:r w:rsidR="00A62C6B" w:rsidRPr="00B84AAA">
        <w:rPr>
          <w:rFonts w:ascii="Arial" w:hAnsi="Arial" w:cs="Arial"/>
          <w:b/>
          <w:sz w:val="24"/>
          <w:szCs w:val="24"/>
        </w:rPr>
        <w:t>. Risk of developing an initial SUD (among those without SUD) associated with antipsychotic use, between-individuals model</w:t>
      </w:r>
      <w:r w:rsidR="00A62C6B">
        <w:rPr>
          <w:rFonts w:ascii="Arial" w:hAnsi="Arial" w:cs="Arial"/>
          <w:b/>
          <w:sz w:val="24"/>
          <w:szCs w:val="24"/>
        </w:rPr>
        <w:t xml:space="preserve"> </w:t>
      </w:r>
      <w:r w:rsidR="00F63089">
        <w:rPr>
          <w:rFonts w:ascii="Arial" w:hAnsi="Arial" w:cs="Arial"/>
          <w:b/>
          <w:sz w:val="24"/>
          <w:szCs w:val="24"/>
        </w:rPr>
        <w:t xml:space="preserve">in </w:t>
      </w:r>
      <w:r w:rsidR="00A62C6B">
        <w:rPr>
          <w:rFonts w:ascii="Arial" w:hAnsi="Arial" w:cs="Arial"/>
          <w:b/>
          <w:sz w:val="24"/>
          <w:szCs w:val="24"/>
        </w:rPr>
        <w:t>head-to-head comparison to olanzapine users</w:t>
      </w:r>
      <w:r w:rsidR="00A62C6B" w:rsidRPr="00B84AAA">
        <w:rPr>
          <w:rFonts w:ascii="Arial" w:hAnsi="Arial" w:cs="Arial"/>
          <w:b/>
          <w:sz w:val="24"/>
          <w:szCs w:val="24"/>
        </w:rPr>
        <w:t xml:space="preserve"> (</w:t>
      </w:r>
      <w:r w:rsidR="00A62C6B">
        <w:rPr>
          <w:rFonts w:ascii="Arial" w:hAnsi="Arial" w:cs="Arial"/>
          <w:b/>
          <w:sz w:val="24"/>
          <w:szCs w:val="24"/>
        </w:rPr>
        <w:t>restricted to cohort ever using olanzapine</w:t>
      </w:r>
      <w:r w:rsidR="00A62C6B" w:rsidRPr="00B84AAA">
        <w:rPr>
          <w:rFonts w:ascii="Arial" w:hAnsi="Arial" w:cs="Arial"/>
          <w:b/>
          <w:sz w:val="24"/>
          <w:szCs w:val="24"/>
        </w:rPr>
        <w:t>). A) Finnish cohort</w:t>
      </w:r>
      <w:r w:rsidR="00A62C6B">
        <w:rPr>
          <w:rFonts w:ascii="Arial" w:hAnsi="Arial" w:cs="Arial"/>
          <w:b/>
          <w:sz w:val="24"/>
          <w:szCs w:val="24"/>
        </w:rPr>
        <w:t xml:space="preserve"> N=7755</w:t>
      </w:r>
      <w:r w:rsidR="00A62C6B" w:rsidRPr="00B84AAA">
        <w:rPr>
          <w:rFonts w:ascii="Arial" w:hAnsi="Arial" w:cs="Arial"/>
          <w:b/>
          <w:sz w:val="24"/>
          <w:szCs w:val="24"/>
        </w:rPr>
        <w:t>, B) Swedish cohort</w:t>
      </w:r>
      <w:r w:rsidR="00A62C6B">
        <w:rPr>
          <w:rFonts w:ascii="Arial" w:hAnsi="Arial" w:cs="Arial"/>
          <w:b/>
          <w:sz w:val="24"/>
          <w:szCs w:val="24"/>
        </w:rPr>
        <w:t xml:space="preserve"> N=3718</w:t>
      </w:r>
      <w:r w:rsidR="00A62C6B" w:rsidRPr="00B84AAA">
        <w:rPr>
          <w:rFonts w:ascii="Arial" w:hAnsi="Arial" w:cs="Arial"/>
          <w:b/>
          <w:sz w:val="24"/>
          <w:szCs w:val="24"/>
        </w:rPr>
        <w:t xml:space="preserve">. Exposures significant after </w:t>
      </w:r>
      <w:proofErr w:type="spellStart"/>
      <w:r w:rsidR="00A62C6B" w:rsidRPr="00B84AAA">
        <w:rPr>
          <w:rFonts w:ascii="Arial" w:hAnsi="Arial" w:cs="Arial"/>
          <w:b/>
          <w:sz w:val="24"/>
          <w:szCs w:val="24"/>
        </w:rPr>
        <w:t>Benjamini</w:t>
      </w:r>
      <w:proofErr w:type="spellEnd"/>
      <w:r w:rsidR="00A62C6B" w:rsidRPr="00B84AAA">
        <w:rPr>
          <w:rFonts w:ascii="Arial" w:hAnsi="Arial" w:cs="Arial"/>
          <w:b/>
          <w:sz w:val="24"/>
          <w:szCs w:val="24"/>
        </w:rPr>
        <w:t>-Hochberg False Discovery Rate correction for multiple comparisons with a 0.05 threshold are bolded. HR= hazard ratio adjusted for covariates.</w:t>
      </w:r>
    </w:p>
    <w:p w14:paraId="2560B68D" w14:textId="77777777" w:rsidR="00A62C6B" w:rsidRDefault="00A62C6B" w:rsidP="00B72103">
      <w:pPr>
        <w:spacing w:line="240" w:lineRule="auto"/>
        <w:rPr>
          <w:rFonts w:ascii="Arial" w:hAnsi="Arial" w:cs="Arial"/>
          <w:b/>
          <w:sz w:val="24"/>
          <w:szCs w:val="24"/>
        </w:rPr>
      </w:pPr>
    </w:p>
    <w:p w14:paraId="067E3FF6" w14:textId="05555215" w:rsidR="00A62C6B" w:rsidRDefault="00A62C6B" w:rsidP="00B72103">
      <w:pPr>
        <w:spacing w:line="240" w:lineRule="auto"/>
        <w:rPr>
          <w:rFonts w:ascii="Arial" w:hAnsi="Arial" w:cs="Arial"/>
          <w:b/>
          <w:sz w:val="24"/>
          <w:szCs w:val="24"/>
        </w:rPr>
      </w:pPr>
      <w:r>
        <w:rPr>
          <w:rFonts w:ascii="Arial" w:hAnsi="Arial" w:cs="Arial"/>
          <w:b/>
          <w:noProof/>
          <w:sz w:val="24"/>
          <w:szCs w:val="24"/>
          <w:lang w:val="fi-FI" w:eastAsia="fi-FI"/>
        </w:rPr>
        <w:drawing>
          <wp:inline distT="0" distB="0" distL="0" distR="0" wp14:anchorId="24B58837" wp14:editId="5E9B7D0D">
            <wp:extent cx="7824898" cy="338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5246" cy="3393351"/>
                    </a:xfrm>
                    <a:prstGeom prst="rect">
                      <a:avLst/>
                    </a:prstGeom>
                    <a:noFill/>
                  </pic:spPr>
                </pic:pic>
              </a:graphicData>
            </a:graphic>
          </wp:inline>
        </w:drawing>
      </w:r>
    </w:p>
    <w:p w14:paraId="2BD2E610" w14:textId="77777777" w:rsidR="00513ADE" w:rsidRDefault="00513ADE" w:rsidP="00B72103">
      <w:pPr>
        <w:spacing w:line="240" w:lineRule="auto"/>
        <w:rPr>
          <w:rFonts w:ascii="Arial" w:hAnsi="Arial" w:cs="Arial"/>
          <w:b/>
          <w:sz w:val="24"/>
          <w:szCs w:val="24"/>
        </w:rPr>
      </w:pPr>
    </w:p>
    <w:p w14:paraId="67210BD9" w14:textId="77777777" w:rsidR="00513ADE" w:rsidRDefault="00513ADE" w:rsidP="00B72103">
      <w:pPr>
        <w:spacing w:line="240" w:lineRule="auto"/>
        <w:rPr>
          <w:rFonts w:ascii="Arial" w:hAnsi="Arial" w:cs="Arial"/>
          <w:b/>
          <w:sz w:val="24"/>
          <w:szCs w:val="24"/>
        </w:rPr>
      </w:pPr>
    </w:p>
    <w:p w14:paraId="77271680" w14:textId="78F1B3EB" w:rsidR="00B72103" w:rsidRPr="00B84AAA" w:rsidRDefault="000778A7" w:rsidP="00B72103">
      <w:pPr>
        <w:spacing w:line="240" w:lineRule="auto"/>
        <w:rPr>
          <w:rFonts w:ascii="Arial" w:hAnsi="Arial" w:cs="Arial"/>
          <w:b/>
          <w:sz w:val="24"/>
          <w:szCs w:val="24"/>
        </w:rPr>
      </w:pPr>
      <w:proofErr w:type="spellStart"/>
      <w:r>
        <w:rPr>
          <w:rFonts w:ascii="Arial" w:hAnsi="Arial" w:cs="Arial"/>
          <w:b/>
          <w:sz w:val="24"/>
          <w:szCs w:val="24"/>
        </w:rPr>
        <w:lastRenderedPageBreak/>
        <w:t>S</w:t>
      </w:r>
      <w:r w:rsidR="00B72103" w:rsidRPr="00B84AAA">
        <w:rPr>
          <w:rFonts w:ascii="Arial" w:hAnsi="Arial" w:cs="Arial"/>
          <w:b/>
          <w:sz w:val="24"/>
          <w:szCs w:val="24"/>
        </w:rPr>
        <w:t>Figure</w:t>
      </w:r>
      <w:proofErr w:type="spellEnd"/>
      <w:r w:rsidR="00B72103" w:rsidRPr="00B84AAA">
        <w:rPr>
          <w:rFonts w:ascii="Arial" w:hAnsi="Arial" w:cs="Arial"/>
          <w:b/>
          <w:sz w:val="24"/>
          <w:szCs w:val="24"/>
        </w:rPr>
        <w:t xml:space="preserve"> </w:t>
      </w:r>
      <w:r w:rsidR="00B600F9">
        <w:rPr>
          <w:rFonts w:ascii="Arial" w:hAnsi="Arial" w:cs="Arial"/>
          <w:b/>
          <w:sz w:val="24"/>
          <w:szCs w:val="24"/>
        </w:rPr>
        <w:t>5</w:t>
      </w:r>
      <w:r w:rsidR="00B72103" w:rsidRPr="00B84AAA">
        <w:rPr>
          <w:rFonts w:ascii="Arial" w:hAnsi="Arial" w:cs="Arial"/>
          <w:b/>
          <w:sz w:val="24"/>
          <w:szCs w:val="24"/>
        </w:rPr>
        <w:t xml:space="preserve">. Risk of developing an initial SUD (among those without SUD) associated with antipsychotic use with censoring 30 days from beginning of each exposure, between-individuals model (first sensitivity analysis). A) Finnish cohort, B) Swedish cohort. Exposures significant after </w:t>
      </w:r>
      <w:proofErr w:type="spellStart"/>
      <w:r w:rsidR="00B72103" w:rsidRPr="00B84AAA">
        <w:rPr>
          <w:rFonts w:ascii="Arial" w:hAnsi="Arial" w:cs="Arial"/>
          <w:b/>
          <w:sz w:val="24"/>
          <w:szCs w:val="24"/>
        </w:rPr>
        <w:t>Benjamini</w:t>
      </w:r>
      <w:proofErr w:type="spellEnd"/>
      <w:r w:rsidR="00B72103" w:rsidRPr="00B84AAA">
        <w:rPr>
          <w:rFonts w:ascii="Arial" w:hAnsi="Arial" w:cs="Arial"/>
          <w:b/>
          <w:sz w:val="24"/>
          <w:szCs w:val="24"/>
        </w:rPr>
        <w:t>-Hochberg False Discovery Rate correction for multiple comparisons with a 0.05 threshold are bolded. HR= hazard ratio adjusted for covariates.</w:t>
      </w:r>
    </w:p>
    <w:p w14:paraId="31973240" w14:textId="77777777" w:rsidR="00B72103" w:rsidRDefault="00B72103" w:rsidP="00B72103">
      <w:r>
        <w:rPr>
          <w:noProof/>
          <w:lang w:val="fi-FI" w:eastAsia="fi-FI"/>
        </w:rPr>
        <w:drawing>
          <wp:inline distT="0" distB="0" distL="0" distR="0" wp14:anchorId="2F0149D8" wp14:editId="5F7AA34E">
            <wp:extent cx="6574591"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9294" cy="2787520"/>
                    </a:xfrm>
                    <a:prstGeom prst="rect">
                      <a:avLst/>
                    </a:prstGeom>
                    <a:noFill/>
                  </pic:spPr>
                </pic:pic>
              </a:graphicData>
            </a:graphic>
          </wp:inline>
        </w:drawing>
      </w:r>
    </w:p>
    <w:p w14:paraId="106F7D92" w14:textId="77777777" w:rsidR="00B72103" w:rsidRDefault="00B72103" w:rsidP="00B72103">
      <w:pPr>
        <w:rPr>
          <w:b/>
        </w:rPr>
      </w:pPr>
      <w:r>
        <w:rPr>
          <w:b/>
        </w:rPr>
        <w:br w:type="page"/>
      </w:r>
    </w:p>
    <w:p w14:paraId="203105FC" w14:textId="6B903BA6" w:rsidR="00B72103" w:rsidRPr="00B84AAA" w:rsidRDefault="000778A7" w:rsidP="00B72103">
      <w:pPr>
        <w:spacing w:line="240" w:lineRule="auto"/>
        <w:rPr>
          <w:rFonts w:ascii="Arial" w:hAnsi="Arial" w:cs="Arial"/>
          <w:b/>
          <w:sz w:val="24"/>
          <w:szCs w:val="24"/>
        </w:rPr>
      </w:pPr>
      <w:proofErr w:type="spellStart"/>
      <w:r>
        <w:rPr>
          <w:rFonts w:ascii="Arial" w:hAnsi="Arial" w:cs="Arial"/>
          <w:b/>
          <w:sz w:val="24"/>
          <w:szCs w:val="24"/>
        </w:rPr>
        <w:lastRenderedPageBreak/>
        <w:t>S</w:t>
      </w:r>
      <w:r w:rsidR="00B72103" w:rsidRPr="00B84AAA">
        <w:rPr>
          <w:rFonts w:ascii="Arial" w:hAnsi="Arial" w:cs="Arial"/>
          <w:b/>
          <w:sz w:val="24"/>
          <w:szCs w:val="24"/>
        </w:rPr>
        <w:t>Figure</w:t>
      </w:r>
      <w:proofErr w:type="spellEnd"/>
      <w:r w:rsidR="00B72103" w:rsidRPr="00B84AAA">
        <w:rPr>
          <w:rFonts w:ascii="Arial" w:hAnsi="Arial" w:cs="Arial"/>
          <w:b/>
          <w:sz w:val="24"/>
          <w:szCs w:val="24"/>
        </w:rPr>
        <w:t xml:space="preserve"> </w:t>
      </w:r>
      <w:r w:rsidR="00B600F9">
        <w:rPr>
          <w:rFonts w:ascii="Arial" w:hAnsi="Arial" w:cs="Arial"/>
          <w:b/>
          <w:sz w:val="24"/>
          <w:szCs w:val="24"/>
        </w:rPr>
        <w:t>6</w:t>
      </w:r>
      <w:r w:rsidR="00B72103" w:rsidRPr="00B84AAA">
        <w:rPr>
          <w:rFonts w:ascii="Arial" w:hAnsi="Arial" w:cs="Arial"/>
          <w:b/>
          <w:sz w:val="24"/>
          <w:szCs w:val="24"/>
        </w:rPr>
        <w:t xml:space="preserve">. Risk of first SUD (among those without SUD) associated with antipsychotic use, excluding patients with a diagnosis of disorganized/hebephrenic schizophrenia, between-individuals model (second sensitivity analysis). A) Finnish cohort, B) Swedish cohort. Exposures significant after </w:t>
      </w:r>
      <w:proofErr w:type="spellStart"/>
      <w:r w:rsidR="00B72103" w:rsidRPr="00B84AAA">
        <w:rPr>
          <w:rFonts w:ascii="Arial" w:hAnsi="Arial" w:cs="Arial"/>
          <w:b/>
          <w:sz w:val="24"/>
          <w:szCs w:val="24"/>
        </w:rPr>
        <w:t>Benjamini</w:t>
      </w:r>
      <w:proofErr w:type="spellEnd"/>
      <w:r w:rsidR="00B72103" w:rsidRPr="00B84AAA">
        <w:rPr>
          <w:rFonts w:ascii="Arial" w:hAnsi="Arial" w:cs="Arial"/>
          <w:b/>
          <w:sz w:val="24"/>
          <w:szCs w:val="24"/>
        </w:rPr>
        <w:t>-Hochberg False Discovery Rate correction for multiple comparisons with a 0.05 threshold are bolded. HR= hazard ratio adjusted for covariates.</w:t>
      </w:r>
    </w:p>
    <w:p w14:paraId="13BF5404" w14:textId="11737A58" w:rsidR="00B72103" w:rsidRDefault="00B72103" w:rsidP="00B72103">
      <w:pPr>
        <w:rPr>
          <w:b/>
        </w:rPr>
      </w:pPr>
      <w:r>
        <w:rPr>
          <w:noProof/>
          <w:lang w:val="fi-FI" w:eastAsia="fi-FI"/>
        </w:rPr>
        <w:drawing>
          <wp:inline distT="0" distB="0" distL="0" distR="0" wp14:anchorId="7ED7DE3E" wp14:editId="3A75FAD7">
            <wp:extent cx="5970808" cy="2560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1515" cy="2565150"/>
                    </a:xfrm>
                    <a:prstGeom prst="rect">
                      <a:avLst/>
                    </a:prstGeom>
                    <a:noFill/>
                  </pic:spPr>
                </pic:pic>
              </a:graphicData>
            </a:graphic>
          </wp:inline>
        </w:drawing>
      </w:r>
    </w:p>
    <w:p w14:paraId="16292A6F" w14:textId="444D9B19" w:rsidR="00D0466B" w:rsidRDefault="00D0466B" w:rsidP="00B72103">
      <w:pPr>
        <w:rPr>
          <w:b/>
        </w:rPr>
      </w:pPr>
    </w:p>
    <w:p w14:paraId="304619F2" w14:textId="77777777" w:rsidR="0021037D" w:rsidRDefault="0021037D" w:rsidP="00872EDE">
      <w:pPr>
        <w:spacing w:line="240" w:lineRule="auto"/>
        <w:rPr>
          <w:rFonts w:ascii="Arial" w:hAnsi="Arial" w:cs="Arial"/>
          <w:b/>
          <w:sz w:val="24"/>
          <w:szCs w:val="24"/>
        </w:rPr>
      </w:pPr>
    </w:p>
    <w:p w14:paraId="14552D38" w14:textId="77777777" w:rsidR="0021037D" w:rsidRDefault="0021037D" w:rsidP="00872EDE">
      <w:pPr>
        <w:spacing w:line="240" w:lineRule="auto"/>
        <w:rPr>
          <w:rFonts w:ascii="Arial" w:hAnsi="Arial" w:cs="Arial"/>
          <w:b/>
          <w:sz w:val="24"/>
          <w:szCs w:val="24"/>
        </w:rPr>
      </w:pPr>
    </w:p>
    <w:p w14:paraId="0238D8DC" w14:textId="77777777" w:rsidR="0021037D" w:rsidRDefault="0021037D" w:rsidP="00872EDE">
      <w:pPr>
        <w:spacing w:line="240" w:lineRule="auto"/>
        <w:rPr>
          <w:rFonts w:ascii="Arial" w:hAnsi="Arial" w:cs="Arial"/>
          <w:b/>
          <w:sz w:val="24"/>
          <w:szCs w:val="24"/>
        </w:rPr>
      </w:pPr>
    </w:p>
    <w:p w14:paraId="1D3DB39D" w14:textId="77777777" w:rsidR="0021037D" w:rsidRDefault="0021037D" w:rsidP="00872EDE">
      <w:pPr>
        <w:spacing w:line="240" w:lineRule="auto"/>
        <w:rPr>
          <w:rFonts w:ascii="Arial" w:hAnsi="Arial" w:cs="Arial"/>
          <w:b/>
          <w:sz w:val="24"/>
          <w:szCs w:val="24"/>
        </w:rPr>
      </w:pPr>
    </w:p>
    <w:p w14:paraId="6BB3FFC3" w14:textId="77777777" w:rsidR="0021037D" w:rsidRDefault="0021037D" w:rsidP="00872EDE">
      <w:pPr>
        <w:spacing w:line="240" w:lineRule="auto"/>
        <w:rPr>
          <w:rFonts w:ascii="Arial" w:hAnsi="Arial" w:cs="Arial"/>
          <w:b/>
          <w:sz w:val="24"/>
          <w:szCs w:val="24"/>
        </w:rPr>
      </w:pPr>
    </w:p>
    <w:p w14:paraId="0ADACF4D" w14:textId="174D441F" w:rsidR="00802A2D" w:rsidRDefault="00872EDE" w:rsidP="00802A2D">
      <w:pPr>
        <w:spacing w:line="240" w:lineRule="auto"/>
        <w:rPr>
          <w:rFonts w:ascii="Arial" w:hAnsi="Arial" w:cs="Arial"/>
          <w:b/>
          <w:sz w:val="24"/>
          <w:szCs w:val="24"/>
        </w:rPr>
      </w:pPr>
      <w:proofErr w:type="spellStart"/>
      <w:r w:rsidRPr="00872EDE">
        <w:rPr>
          <w:rFonts w:ascii="Arial" w:hAnsi="Arial" w:cs="Arial"/>
          <w:b/>
          <w:sz w:val="24"/>
          <w:szCs w:val="24"/>
        </w:rPr>
        <w:lastRenderedPageBreak/>
        <w:t>SFigure</w:t>
      </w:r>
      <w:proofErr w:type="spellEnd"/>
      <w:r w:rsidRPr="00872EDE">
        <w:rPr>
          <w:rFonts w:ascii="Arial" w:hAnsi="Arial" w:cs="Arial"/>
          <w:b/>
          <w:sz w:val="24"/>
          <w:szCs w:val="24"/>
        </w:rPr>
        <w:t xml:space="preserve"> </w:t>
      </w:r>
      <w:r w:rsidR="00B600F9">
        <w:rPr>
          <w:rFonts w:ascii="Arial" w:hAnsi="Arial" w:cs="Arial"/>
          <w:b/>
          <w:sz w:val="24"/>
          <w:szCs w:val="24"/>
        </w:rPr>
        <w:t>7</w:t>
      </w:r>
      <w:r w:rsidRPr="00872EDE">
        <w:rPr>
          <w:rFonts w:ascii="Arial" w:hAnsi="Arial" w:cs="Arial"/>
          <w:b/>
          <w:sz w:val="24"/>
          <w:szCs w:val="24"/>
        </w:rPr>
        <w:t>. Risks of first SUD (among those without SUD) associated with use of specific antipsychotics, between-individuals model stratified by calendar years. A) Finnish cohort, stratified by 1996-2006 and 2007-2017, B) Swedish cohort, stratified by 2006-2011 and 2012-2016.</w:t>
      </w:r>
      <w:r w:rsidR="00802A2D">
        <w:rPr>
          <w:rFonts w:ascii="Arial" w:hAnsi="Arial" w:cs="Arial"/>
          <w:b/>
          <w:sz w:val="24"/>
          <w:szCs w:val="24"/>
        </w:rPr>
        <w:t xml:space="preserve"> </w:t>
      </w:r>
      <w:r w:rsidRPr="00872EDE">
        <w:rPr>
          <w:rFonts w:ascii="Arial" w:hAnsi="Arial" w:cs="Arial"/>
          <w:b/>
          <w:sz w:val="24"/>
          <w:szCs w:val="24"/>
        </w:rPr>
        <w:t>HR= hazard ratio adjusted for covariates. For the Swedish cohort, HR for aripiprazole could not be calculated due to sparsity of data.</w:t>
      </w:r>
    </w:p>
    <w:p w14:paraId="29AFC4D5" w14:textId="571EED61" w:rsidR="00A6099D" w:rsidRDefault="00A6099D" w:rsidP="00802A2D">
      <w:pPr>
        <w:spacing w:line="240" w:lineRule="auto"/>
        <w:rPr>
          <w:rFonts w:ascii="Arial" w:hAnsi="Arial" w:cs="Arial"/>
          <w:b/>
          <w:sz w:val="24"/>
          <w:szCs w:val="24"/>
        </w:rPr>
      </w:pPr>
    </w:p>
    <w:p w14:paraId="207DD23D" w14:textId="12EAA66B" w:rsidR="00802A2D" w:rsidRPr="00802A2D" w:rsidRDefault="00802A2D" w:rsidP="00802A2D">
      <w:pPr>
        <w:spacing w:line="240" w:lineRule="auto"/>
        <w:rPr>
          <w:rFonts w:ascii="Arial" w:hAnsi="Arial" w:cs="Arial"/>
          <w:b/>
          <w:sz w:val="24"/>
          <w:szCs w:val="24"/>
        </w:rPr>
        <w:sectPr w:rsidR="00802A2D" w:rsidRPr="00802A2D" w:rsidSect="005C6DBE">
          <w:pgSz w:w="16820" w:h="11900" w:orient="landscape"/>
          <w:pgMar w:top="1418" w:right="1134" w:bottom="1418" w:left="1134" w:header="709" w:footer="709" w:gutter="0"/>
          <w:cols w:space="720" w:equalWidth="0">
            <w:col w:w="9360"/>
          </w:cols>
          <w:docGrid w:linePitch="299"/>
        </w:sectPr>
      </w:pPr>
      <w:r>
        <w:rPr>
          <w:noProof/>
          <w:lang w:val="fi-FI" w:eastAsia="fi-FI"/>
        </w:rPr>
        <w:drawing>
          <wp:inline distT="0" distB="0" distL="0" distR="0" wp14:anchorId="4595B318" wp14:editId="2ACD928C">
            <wp:extent cx="5943600" cy="277893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78936"/>
                    </a:xfrm>
                    <a:prstGeom prst="rect">
                      <a:avLst/>
                    </a:prstGeom>
                    <a:noFill/>
                  </pic:spPr>
                </pic:pic>
              </a:graphicData>
            </a:graphic>
          </wp:inline>
        </w:drawing>
      </w:r>
    </w:p>
    <w:tbl>
      <w:tblPr>
        <w:tblW w:w="9972" w:type="dxa"/>
        <w:tblCellMar>
          <w:left w:w="70" w:type="dxa"/>
          <w:right w:w="70" w:type="dxa"/>
        </w:tblCellMar>
        <w:tblLook w:val="04A0" w:firstRow="1" w:lastRow="0" w:firstColumn="1" w:lastColumn="0" w:noHBand="0" w:noVBand="1"/>
      </w:tblPr>
      <w:tblGrid>
        <w:gridCol w:w="2589"/>
        <w:gridCol w:w="915"/>
        <w:gridCol w:w="968"/>
        <w:gridCol w:w="1844"/>
        <w:gridCol w:w="834"/>
        <w:gridCol w:w="978"/>
        <w:gridCol w:w="1844"/>
      </w:tblGrid>
      <w:tr w:rsidR="006C2324" w:rsidRPr="006C2324" w14:paraId="1657644A" w14:textId="77777777" w:rsidTr="00207175">
        <w:trPr>
          <w:trHeight w:val="300"/>
        </w:trPr>
        <w:tc>
          <w:tcPr>
            <w:tcW w:w="9972" w:type="dxa"/>
            <w:gridSpan w:val="7"/>
            <w:tcBorders>
              <w:top w:val="nil"/>
              <w:left w:val="nil"/>
              <w:bottom w:val="single" w:sz="4" w:space="0" w:color="auto"/>
              <w:right w:val="nil"/>
            </w:tcBorders>
            <w:shd w:val="clear" w:color="auto" w:fill="auto"/>
            <w:noWrap/>
            <w:vAlign w:val="bottom"/>
            <w:hideMark/>
          </w:tcPr>
          <w:p w14:paraId="49567F1D" w14:textId="77777777" w:rsidR="006C2324" w:rsidRPr="00207175" w:rsidRDefault="006C2324" w:rsidP="006C2324">
            <w:pPr>
              <w:spacing w:after="0" w:line="240" w:lineRule="auto"/>
              <w:rPr>
                <w:rFonts w:ascii="Arial" w:eastAsia="Times New Roman" w:hAnsi="Arial" w:cs="Arial"/>
                <w:color w:val="000000"/>
                <w:sz w:val="24"/>
                <w:szCs w:val="24"/>
                <w:lang w:eastAsia="fi-FI"/>
              </w:rPr>
            </w:pPr>
            <w:proofErr w:type="spellStart"/>
            <w:r w:rsidRPr="00207175">
              <w:rPr>
                <w:rFonts w:ascii="Arial" w:eastAsia="Times New Roman" w:hAnsi="Arial" w:cs="Arial"/>
                <w:b/>
                <w:color w:val="000000"/>
                <w:sz w:val="24"/>
                <w:szCs w:val="24"/>
                <w:lang w:eastAsia="fi-FI"/>
              </w:rPr>
              <w:lastRenderedPageBreak/>
              <w:t>STable</w:t>
            </w:r>
            <w:proofErr w:type="spellEnd"/>
            <w:r w:rsidRPr="00207175">
              <w:rPr>
                <w:rFonts w:ascii="Arial" w:eastAsia="Times New Roman" w:hAnsi="Arial" w:cs="Arial"/>
                <w:b/>
                <w:color w:val="000000"/>
                <w:sz w:val="24"/>
                <w:szCs w:val="24"/>
                <w:lang w:eastAsia="fi-FI"/>
              </w:rPr>
              <w:t xml:space="preserve"> 1. Events and person-years cumulated in the analyses for risk of development of initial SUD in those without SUD, risk of psychiatric hospitalization in those with SUD and risk of SUD hospitalization in those with SUD according to specific antipsychotics.</w:t>
            </w:r>
            <w:r w:rsidRPr="00207175">
              <w:rPr>
                <w:rFonts w:ascii="Arial" w:eastAsia="Times New Roman" w:hAnsi="Arial" w:cs="Arial"/>
                <w:color w:val="000000"/>
                <w:sz w:val="24"/>
                <w:szCs w:val="24"/>
                <w:lang w:eastAsia="fi-FI"/>
              </w:rPr>
              <w:t xml:space="preserve"> AP=antipsychotic; SUD=substance use disorder, LAI=long-acting injectable antipsychotic.</w:t>
            </w:r>
          </w:p>
        </w:tc>
      </w:tr>
      <w:tr w:rsidR="006C2324" w:rsidRPr="006C2324" w14:paraId="57BF7D19" w14:textId="77777777" w:rsidTr="00207175">
        <w:trPr>
          <w:trHeight w:val="300"/>
        </w:trPr>
        <w:tc>
          <w:tcPr>
            <w:tcW w:w="2589" w:type="dxa"/>
            <w:tcBorders>
              <w:top w:val="single" w:sz="4" w:space="0" w:color="auto"/>
              <w:left w:val="single" w:sz="4" w:space="0" w:color="auto"/>
              <w:bottom w:val="nil"/>
              <w:right w:val="single" w:sz="4" w:space="0" w:color="auto"/>
            </w:tcBorders>
            <w:shd w:val="clear" w:color="auto" w:fill="auto"/>
            <w:noWrap/>
            <w:vAlign w:val="bottom"/>
            <w:hideMark/>
          </w:tcPr>
          <w:p w14:paraId="31AF1BD0" w14:textId="77777777" w:rsidR="006C2324" w:rsidRPr="00207175" w:rsidRDefault="006C2324" w:rsidP="006C2324">
            <w:pPr>
              <w:spacing w:after="0" w:line="240" w:lineRule="auto"/>
              <w:rPr>
                <w:rFonts w:eastAsia="Times New Roman"/>
                <w:color w:val="000000"/>
                <w:lang w:eastAsia="fi-FI"/>
              </w:rPr>
            </w:pPr>
          </w:p>
        </w:tc>
        <w:tc>
          <w:tcPr>
            <w:tcW w:w="1883" w:type="dxa"/>
            <w:gridSpan w:val="2"/>
            <w:tcBorders>
              <w:top w:val="single" w:sz="4" w:space="0" w:color="auto"/>
              <w:left w:val="single" w:sz="4" w:space="0" w:color="auto"/>
              <w:bottom w:val="nil"/>
              <w:right w:val="nil"/>
            </w:tcBorders>
            <w:shd w:val="clear" w:color="auto" w:fill="auto"/>
            <w:noWrap/>
            <w:vAlign w:val="bottom"/>
            <w:hideMark/>
          </w:tcPr>
          <w:p w14:paraId="25CAC57E" w14:textId="77777777" w:rsidR="006C2324" w:rsidRPr="006C2324" w:rsidRDefault="006C2324" w:rsidP="006C2324">
            <w:pPr>
              <w:spacing w:after="0" w:line="240" w:lineRule="auto"/>
              <w:rPr>
                <w:rFonts w:eastAsia="Times New Roman"/>
                <w:color w:val="000000"/>
                <w:lang w:val="fi-FI" w:eastAsia="fi-FI"/>
              </w:rPr>
            </w:pPr>
            <w:proofErr w:type="spellStart"/>
            <w:r w:rsidRPr="006C2324">
              <w:rPr>
                <w:rFonts w:eastAsia="Times New Roman"/>
                <w:color w:val="000000"/>
                <w:lang w:val="fi-FI" w:eastAsia="fi-FI"/>
              </w:rPr>
              <w:t>Finnish</w:t>
            </w:r>
            <w:proofErr w:type="spellEnd"/>
            <w:r w:rsidRPr="006C2324">
              <w:rPr>
                <w:rFonts w:eastAsia="Times New Roman"/>
                <w:color w:val="000000"/>
                <w:lang w:val="fi-FI" w:eastAsia="fi-FI"/>
              </w:rPr>
              <w:t xml:space="preserve"> </w:t>
            </w:r>
            <w:proofErr w:type="spellStart"/>
            <w:r w:rsidRPr="006C2324">
              <w:rPr>
                <w:rFonts w:eastAsia="Times New Roman"/>
                <w:color w:val="000000"/>
                <w:lang w:val="fi-FI" w:eastAsia="fi-FI"/>
              </w:rPr>
              <w:t>cohort</w:t>
            </w:r>
            <w:proofErr w:type="spellEnd"/>
          </w:p>
        </w:tc>
        <w:tc>
          <w:tcPr>
            <w:tcW w:w="1844" w:type="dxa"/>
            <w:tcBorders>
              <w:top w:val="single" w:sz="4" w:space="0" w:color="auto"/>
              <w:left w:val="nil"/>
              <w:bottom w:val="nil"/>
              <w:right w:val="single" w:sz="4" w:space="0" w:color="auto"/>
            </w:tcBorders>
            <w:shd w:val="clear" w:color="auto" w:fill="auto"/>
            <w:noWrap/>
            <w:vAlign w:val="bottom"/>
            <w:hideMark/>
          </w:tcPr>
          <w:p w14:paraId="6F073ED3" w14:textId="77777777" w:rsidR="006C2324" w:rsidRPr="006C2324" w:rsidRDefault="006C2324" w:rsidP="006C2324">
            <w:pPr>
              <w:spacing w:after="0" w:line="240" w:lineRule="auto"/>
              <w:rPr>
                <w:rFonts w:eastAsia="Times New Roman"/>
                <w:color w:val="000000"/>
                <w:lang w:val="fi-FI" w:eastAsia="fi-FI"/>
              </w:rPr>
            </w:pPr>
          </w:p>
        </w:tc>
        <w:tc>
          <w:tcPr>
            <w:tcW w:w="1812" w:type="dxa"/>
            <w:gridSpan w:val="2"/>
            <w:tcBorders>
              <w:top w:val="single" w:sz="4" w:space="0" w:color="auto"/>
              <w:left w:val="single" w:sz="4" w:space="0" w:color="auto"/>
              <w:bottom w:val="nil"/>
              <w:right w:val="nil"/>
            </w:tcBorders>
            <w:shd w:val="clear" w:color="auto" w:fill="auto"/>
            <w:noWrap/>
            <w:vAlign w:val="bottom"/>
            <w:hideMark/>
          </w:tcPr>
          <w:p w14:paraId="04020C82" w14:textId="77777777" w:rsidR="006C2324" w:rsidRPr="006C2324" w:rsidRDefault="006C2324" w:rsidP="006C2324">
            <w:pPr>
              <w:spacing w:after="0" w:line="240" w:lineRule="auto"/>
              <w:rPr>
                <w:rFonts w:eastAsia="Times New Roman"/>
                <w:color w:val="000000"/>
                <w:lang w:val="fi-FI" w:eastAsia="fi-FI"/>
              </w:rPr>
            </w:pPr>
            <w:proofErr w:type="spellStart"/>
            <w:r w:rsidRPr="006C2324">
              <w:rPr>
                <w:rFonts w:eastAsia="Times New Roman"/>
                <w:color w:val="000000"/>
                <w:lang w:val="fi-FI" w:eastAsia="fi-FI"/>
              </w:rPr>
              <w:t>Swedish</w:t>
            </w:r>
            <w:proofErr w:type="spellEnd"/>
            <w:r w:rsidRPr="006C2324">
              <w:rPr>
                <w:rFonts w:eastAsia="Times New Roman"/>
                <w:color w:val="000000"/>
                <w:lang w:val="fi-FI" w:eastAsia="fi-FI"/>
              </w:rPr>
              <w:t xml:space="preserve"> </w:t>
            </w:r>
            <w:proofErr w:type="spellStart"/>
            <w:r w:rsidRPr="006C2324">
              <w:rPr>
                <w:rFonts w:eastAsia="Times New Roman"/>
                <w:color w:val="000000"/>
                <w:lang w:val="fi-FI" w:eastAsia="fi-FI"/>
              </w:rPr>
              <w:t>cohort</w:t>
            </w:r>
            <w:proofErr w:type="spellEnd"/>
          </w:p>
        </w:tc>
        <w:tc>
          <w:tcPr>
            <w:tcW w:w="1844" w:type="dxa"/>
            <w:tcBorders>
              <w:top w:val="single" w:sz="4" w:space="0" w:color="auto"/>
              <w:left w:val="nil"/>
              <w:bottom w:val="nil"/>
              <w:right w:val="single" w:sz="4" w:space="0" w:color="auto"/>
            </w:tcBorders>
            <w:shd w:val="clear" w:color="auto" w:fill="auto"/>
            <w:noWrap/>
            <w:vAlign w:val="bottom"/>
            <w:hideMark/>
          </w:tcPr>
          <w:p w14:paraId="5DA68169" w14:textId="77777777" w:rsidR="006C2324" w:rsidRPr="006C2324" w:rsidRDefault="006C2324" w:rsidP="006C2324">
            <w:pPr>
              <w:spacing w:after="0" w:line="240" w:lineRule="auto"/>
              <w:rPr>
                <w:rFonts w:eastAsia="Times New Roman"/>
                <w:color w:val="000000"/>
                <w:lang w:val="fi-FI" w:eastAsia="fi-FI"/>
              </w:rPr>
            </w:pPr>
          </w:p>
        </w:tc>
      </w:tr>
      <w:tr w:rsidR="007D1EEF" w:rsidRPr="006C2324" w14:paraId="06FD2232" w14:textId="77777777" w:rsidTr="007D1EEF">
        <w:trPr>
          <w:trHeight w:val="300"/>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14:paraId="682F0DC2" w14:textId="77777777" w:rsidR="006C2324" w:rsidRPr="006C2324" w:rsidRDefault="006C2324" w:rsidP="006C2324">
            <w:pPr>
              <w:spacing w:after="0" w:line="240" w:lineRule="auto"/>
              <w:rPr>
                <w:rFonts w:ascii="Times New Roman" w:eastAsia="Times New Roman" w:hAnsi="Times New Roman" w:cs="Times New Roman"/>
                <w:sz w:val="20"/>
                <w:szCs w:val="20"/>
                <w:lang w:val="fi-FI" w:eastAsia="fi-FI"/>
              </w:rPr>
            </w:pPr>
          </w:p>
        </w:tc>
        <w:tc>
          <w:tcPr>
            <w:tcW w:w="915" w:type="dxa"/>
            <w:tcBorders>
              <w:top w:val="nil"/>
              <w:left w:val="single" w:sz="4" w:space="0" w:color="auto"/>
              <w:bottom w:val="single" w:sz="4" w:space="0" w:color="auto"/>
              <w:right w:val="nil"/>
            </w:tcBorders>
            <w:shd w:val="clear" w:color="auto" w:fill="auto"/>
            <w:noWrap/>
            <w:vAlign w:val="bottom"/>
            <w:hideMark/>
          </w:tcPr>
          <w:p w14:paraId="702FB7F8" w14:textId="0732A803" w:rsidR="006C2324" w:rsidRPr="006C2324" w:rsidRDefault="00462EFC" w:rsidP="006C2324">
            <w:pPr>
              <w:spacing w:after="0" w:line="240" w:lineRule="auto"/>
              <w:rPr>
                <w:rFonts w:eastAsia="Times New Roman"/>
                <w:color w:val="000000"/>
                <w:lang w:val="fi-FI" w:eastAsia="fi-FI"/>
              </w:rPr>
            </w:pPr>
            <w:r>
              <w:rPr>
                <w:rFonts w:eastAsia="Times New Roman"/>
                <w:color w:val="000000"/>
                <w:lang w:val="fi-FI" w:eastAsia="fi-FI"/>
              </w:rPr>
              <w:t xml:space="preserve">    </w:t>
            </w:r>
            <w:proofErr w:type="spellStart"/>
            <w:r w:rsidR="006C2324" w:rsidRPr="006C2324">
              <w:rPr>
                <w:rFonts w:eastAsia="Times New Roman"/>
                <w:color w:val="000000"/>
                <w:lang w:val="fi-FI" w:eastAsia="fi-FI"/>
              </w:rPr>
              <w:t>Users</w:t>
            </w:r>
            <w:proofErr w:type="spellEnd"/>
          </w:p>
        </w:tc>
        <w:tc>
          <w:tcPr>
            <w:tcW w:w="968" w:type="dxa"/>
            <w:tcBorders>
              <w:top w:val="nil"/>
              <w:left w:val="nil"/>
              <w:bottom w:val="single" w:sz="4" w:space="0" w:color="auto"/>
              <w:right w:val="nil"/>
            </w:tcBorders>
            <w:shd w:val="clear" w:color="auto" w:fill="auto"/>
            <w:noWrap/>
            <w:vAlign w:val="bottom"/>
            <w:hideMark/>
          </w:tcPr>
          <w:p w14:paraId="71B1A5E5" w14:textId="090ED96E" w:rsidR="006C2324" w:rsidRPr="006C2324" w:rsidRDefault="00462EFC" w:rsidP="006C2324">
            <w:pPr>
              <w:spacing w:after="0" w:line="240" w:lineRule="auto"/>
              <w:rPr>
                <w:rFonts w:eastAsia="Times New Roman"/>
                <w:color w:val="000000"/>
                <w:lang w:val="fi-FI" w:eastAsia="fi-FI"/>
              </w:rPr>
            </w:pPr>
            <w:r>
              <w:rPr>
                <w:rFonts w:eastAsia="Times New Roman"/>
                <w:color w:val="000000"/>
                <w:lang w:val="fi-FI" w:eastAsia="fi-FI"/>
              </w:rPr>
              <w:t xml:space="preserve">    </w:t>
            </w:r>
            <w:proofErr w:type="spellStart"/>
            <w:r w:rsidR="006C2324" w:rsidRPr="006C2324">
              <w:rPr>
                <w:rFonts w:eastAsia="Times New Roman"/>
                <w:color w:val="000000"/>
                <w:lang w:val="fi-FI" w:eastAsia="fi-FI"/>
              </w:rPr>
              <w:t>Events</w:t>
            </w:r>
            <w:proofErr w:type="spellEnd"/>
          </w:p>
        </w:tc>
        <w:tc>
          <w:tcPr>
            <w:tcW w:w="1844" w:type="dxa"/>
            <w:tcBorders>
              <w:top w:val="nil"/>
              <w:left w:val="nil"/>
              <w:bottom w:val="single" w:sz="4" w:space="0" w:color="auto"/>
              <w:right w:val="single" w:sz="4" w:space="0" w:color="auto"/>
            </w:tcBorders>
            <w:shd w:val="clear" w:color="auto" w:fill="auto"/>
            <w:noWrap/>
            <w:vAlign w:val="bottom"/>
            <w:hideMark/>
          </w:tcPr>
          <w:p w14:paraId="47362552" w14:textId="347A9E66" w:rsidR="006C2324" w:rsidRPr="006C2324" w:rsidRDefault="00462EFC" w:rsidP="006C2324">
            <w:pPr>
              <w:spacing w:after="0" w:line="240" w:lineRule="auto"/>
              <w:rPr>
                <w:rFonts w:eastAsia="Times New Roman"/>
                <w:color w:val="000000"/>
                <w:lang w:val="fi-FI" w:eastAsia="fi-FI"/>
              </w:rPr>
            </w:pPr>
            <w:r>
              <w:rPr>
                <w:rFonts w:eastAsia="Times New Roman"/>
                <w:color w:val="000000"/>
                <w:lang w:val="fi-FI" w:eastAsia="fi-FI"/>
              </w:rPr>
              <w:t xml:space="preserve">          </w:t>
            </w:r>
            <w:r w:rsidR="006C2324" w:rsidRPr="006C2324">
              <w:rPr>
                <w:rFonts w:eastAsia="Times New Roman"/>
                <w:color w:val="000000"/>
                <w:lang w:val="fi-FI" w:eastAsia="fi-FI"/>
              </w:rPr>
              <w:t>Person-</w:t>
            </w:r>
            <w:proofErr w:type="spellStart"/>
            <w:r w:rsidR="006C2324" w:rsidRPr="006C2324">
              <w:rPr>
                <w:rFonts w:eastAsia="Times New Roman"/>
                <w:color w:val="000000"/>
                <w:lang w:val="fi-FI" w:eastAsia="fi-FI"/>
              </w:rPr>
              <w:t>years</w:t>
            </w:r>
            <w:proofErr w:type="spellEnd"/>
          </w:p>
        </w:tc>
        <w:tc>
          <w:tcPr>
            <w:tcW w:w="834" w:type="dxa"/>
            <w:tcBorders>
              <w:top w:val="nil"/>
              <w:left w:val="single" w:sz="4" w:space="0" w:color="auto"/>
              <w:bottom w:val="single" w:sz="4" w:space="0" w:color="auto"/>
              <w:right w:val="nil"/>
            </w:tcBorders>
            <w:shd w:val="clear" w:color="auto" w:fill="auto"/>
            <w:noWrap/>
            <w:vAlign w:val="bottom"/>
            <w:hideMark/>
          </w:tcPr>
          <w:p w14:paraId="0342A09F" w14:textId="02AE4027" w:rsidR="006C2324" w:rsidRPr="006C2324" w:rsidRDefault="00462EFC" w:rsidP="006C2324">
            <w:pPr>
              <w:spacing w:after="0" w:line="240" w:lineRule="auto"/>
              <w:rPr>
                <w:rFonts w:eastAsia="Times New Roman"/>
                <w:color w:val="000000"/>
                <w:lang w:val="fi-FI" w:eastAsia="fi-FI"/>
              </w:rPr>
            </w:pPr>
            <w:r>
              <w:rPr>
                <w:rFonts w:eastAsia="Times New Roman"/>
                <w:color w:val="000000"/>
                <w:lang w:val="fi-FI" w:eastAsia="fi-FI"/>
              </w:rPr>
              <w:t xml:space="preserve">   </w:t>
            </w:r>
            <w:proofErr w:type="spellStart"/>
            <w:r w:rsidR="006C2324" w:rsidRPr="006C2324">
              <w:rPr>
                <w:rFonts w:eastAsia="Times New Roman"/>
                <w:color w:val="000000"/>
                <w:lang w:val="fi-FI" w:eastAsia="fi-FI"/>
              </w:rPr>
              <w:t>Users</w:t>
            </w:r>
            <w:proofErr w:type="spellEnd"/>
          </w:p>
        </w:tc>
        <w:tc>
          <w:tcPr>
            <w:tcW w:w="978" w:type="dxa"/>
            <w:tcBorders>
              <w:top w:val="nil"/>
              <w:left w:val="nil"/>
              <w:bottom w:val="single" w:sz="4" w:space="0" w:color="auto"/>
              <w:right w:val="nil"/>
            </w:tcBorders>
            <w:shd w:val="clear" w:color="auto" w:fill="auto"/>
            <w:noWrap/>
            <w:vAlign w:val="bottom"/>
            <w:hideMark/>
          </w:tcPr>
          <w:p w14:paraId="2E18A178" w14:textId="2818E0E8" w:rsidR="006C2324" w:rsidRPr="006C2324" w:rsidRDefault="00462EFC" w:rsidP="006C2324">
            <w:pPr>
              <w:spacing w:after="0" w:line="240" w:lineRule="auto"/>
              <w:rPr>
                <w:rFonts w:eastAsia="Times New Roman"/>
                <w:color w:val="000000"/>
                <w:lang w:val="fi-FI" w:eastAsia="fi-FI"/>
              </w:rPr>
            </w:pPr>
            <w:r>
              <w:rPr>
                <w:rFonts w:eastAsia="Times New Roman"/>
                <w:color w:val="000000"/>
                <w:lang w:val="fi-FI" w:eastAsia="fi-FI"/>
              </w:rPr>
              <w:t xml:space="preserve">    </w:t>
            </w:r>
            <w:proofErr w:type="spellStart"/>
            <w:r w:rsidR="006C2324" w:rsidRPr="006C2324">
              <w:rPr>
                <w:rFonts w:eastAsia="Times New Roman"/>
                <w:color w:val="000000"/>
                <w:lang w:val="fi-FI" w:eastAsia="fi-FI"/>
              </w:rPr>
              <w:t>Events</w:t>
            </w:r>
            <w:proofErr w:type="spellEnd"/>
          </w:p>
        </w:tc>
        <w:tc>
          <w:tcPr>
            <w:tcW w:w="1844" w:type="dxa"/>
            <w:tcBorders>
              <w:top w:val="nil"/>
              <w:left w:val="nil"/>
              <w:bottom w:val="single" w:sz="4" w:space="0" w:color="auto"/>
              <w:right w:val="single" w:sz="4" w:space="0" w:color="auto"/>
            </w:tcBorders>
            <w:shd w:val="clear" w:color="auto" w:fill="auto"/>
            <w:noWrap/>
            <w:vAlign w:val="bottom"/>
            <w:hideMark/>
          </w:tcPr>
          <w:p w14:paraId="01F74ACC" w14:textId="596531E8" w:rsidR="006C2324" w:rsidRPr="006C2324" w:rsidRDefault="00462EFC" w:rsidP="006C2324">
            <w:pPr>
              <w:spacing w:after="0" w:line="240" w:lineRule="auto"/>
              <w:rPr>
                <w:rFonts w:eastAsia="Times New Roman"/>
                <w:color w:val="000000"/>
                <w:lang w:val="fi-FI" w:eastAsia="fi-FI"/>
              </w:rPr>
            </w:pPr>
            <w:r>
              <w:rPr>
                <w:rFonts w:eastAsia="Times New Roman"/>
                <w:color w:val="000000"/>
                <w:lang w:val="fi-FI" w:eastAsia="fi-FI"/>
              </w:rPr>
              <w:t xml:space="preserve">          </w:t>
            </w:r>
            <w:r w:rsidR="006C2324" w:rsidRPr="006C2324">
              <w:rPr>
                <w:rFonts w:eastAsia="Times New Roman"/>
                <w:color w:val="000000"/>
                <w:lang w:val="fi-FI" w:eastAsia="fi-FI"/>
              </w:rPr>
              <w:t>Person-</w:t>
            </w:r>
            <w:proofErr w:type="spellStart"/>
            <w:r w:rsidR="006C2324" w:rsidRPr="006C2324">
              <w:rPr>
                <w:rFonts w:eastAsia="Times New Roman"/>
                <w:color w:val="000000"/>
                <w:lang w:val="fi-FI" w:eastAsia="fi-FI"/>
              </w:rPr>
              <w:t>years</w:t>
            </w:r>
            <w:proofErr w:type="spellEnd"/>
          </w:p>
        </w:tc>
      </w:tr>
      <w:tr w:rsidR="006C2324" w:rsidRPr="006C2324" w14:paraId="511982D6" w14:textId="77777777" w:rsidTr="00207175">
        <w:trPr>
          <w:trHeight w:val="300"/>
        </w:trPr>
        <w:tc>
          <w:tcPr>
            <w:tcW w:w="7150" w:type="dxa"/>
            <w:gridSpan w:val="5"/>
            <w:tcBorders>
              <w:top w:val="single" w:sz="4" w:space="0" w:color="auto"/>
              <w:left w:val="single" w:sz="4" w:space="0" w:color="auto"/>
              <w:bottom w:val="nil"/>
              <w:right w:val="nil"/>
            </w:tcBorders>
            <w:shd w:val="clear" w:color="auto" w:fill="auto"/>
            <w:noWrap/>
            <w:vAlign w:val="bottom"/>
            <w:hideMark/>
          </w:tcPr>
          <w:p w14:paraId="3815807B" w14:textId="352CCA7C" w:rsidR="006C2324" w:rsidRPr="00207175" w:rsidRDefault="006C2324">
            <w:pPr>
              <w:spacing w:after="0" w:line="240" w:lineRule="auto"/>
              <w:rPr>
                <w:rFonts w:eastAsia="Times New Roman"/>
                <w:color w:val="000000"/>
                <w:lang w:eastAsia="fi-FI"/>
              </w:rPr>
            </w:pPr>
            <w:r w:rsidRPr="00207175">
              <w:rPr>
                <w:rFonts w:eastAsia="Times New Roman"/>
                <w:color w:val="000000"/>
                <w:lang w:eastAsia="fi-FI"/>
              </w:rPr>
              <w:t>Risk of development of i</w:t>
            </w:r>
            <w:r w:rsidR="00D33B26">
              <w:rPr>
                <w:rFonts w:eastAsia="Times New Roman"/>
                <w:color w:val="000000"/>
                <w:lang w:eastAsia="fi-FI"/>
              </w:rPr>
              <w:t>nitial SUD in those without SUD</w:t>
            </w:r>
          </w:p>
        </w:tc>
        <w:tc>
          <w:tcPr>
            <w:tcW w:w="978" w:type="dxa"/>
            <w:tcBorders>
              <w:top w:val="single" w:sz="4" w:space="0" w:color="auto"/>
              <w:left w:val="nil"/>
              <w:bottom w:val="nil"/>
              <w:right w:val="nil"/>
            </w:tcBorders>
            <w:shd w:val="clear" w:color="auto" w:fill="auto"/>
            <w:noWrap/>
            <w:vAlign w:val="bottom"/>
            <w:hideMark/>
          </w:tcPr>
          <w:p w14:paraId="2BEEAE84" w14:textId="77777777" w:rsidR="006C2324" w:rsidRPr="00207175" w:rsidRDefault="006C2324">
            <w:pPr>
              <w:spacing w:after="0" w:line="240" w:lineRule="auto"/>
              <w:rPr>
                <w:rFonts w:eastAsia="Times New Roman"/>
                <w:color w:val="000000"/>
                <w:lang w:eastAsia="fi-FI"/>
              </w:rPr>
            </w:pPr>
          </w:p>
        </w:tc>
        <w:tc>
          <w:tcPr>
            <w:tcW w:w="1844" w:type="dxa"/>
            <w:tcBorders>
              <w:top w:val="single" w:sz="4" w:space="0" w:color="auto"/>
              <w:left w:val="nil"/>
              <w:bottom w:val="nil"/>
              <w:right w:val="single" w:sz="4" w:space="0" w:color="auto"/>
            </w:tcBorders>
            <w:shd w:val="clear" w:color="auto" w:fill="auto"/>
            <w:noWrap/>
            <w:vAlign w:val="bottom"/>
            <w:hideMark/>
          </w:tcPr>
          <w:p w14:paraId="7EA9BF36" w14:textId="77777777" w:rsidR="006C2324" w:rsidRPr="00207175" w:rsidRDefault="006C2324">
            <w:pPr>
              <w:spacing w:after="0" w:line="240" w:lineRule="auto"/>
              <w:rPr>
                <w:rFonts w:ascii="Times New Roman" w:eastAsia="Times New Roman" w:hAnsi="Times New Roman" w:cs="Times New Roman"/>
                <w:sz w:val="20"/>
                <w:szCs w:val="20"/>
                <w:lang w:eastAsia="fi-FI"/>
              </w:rPr>
            </w:pPr>
          </w:p>
        </w:tc>
      </w:tr>
      <w:tr w:rsidR="00530616" w:rsidRPr="006C2324" w14:paraId="54A798C8"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5ABD2E46" w14:textId="77777777" w:rsidR="006C2324" w:rsidRPr="006C2324" w:rsidRDefault="006C2324" w:rsidP="006C2324">
            <w:pPr>
              <w:spacing w:after="0" w:line="240" w:lineRule="auto"/>
              <w:rPr>
                <w:rFonts w:eastAsia="Times New Roman"/>
                <w:color w:val="000000"/>
                <w:lang w:val="fi-FI" w:eastAsia="fi-FI"/>
              </w:rPr>
            </w:pPr>
            <w:r w:rsidRPr="00207175">
              <w:rPr>
                <w:rFonts w:eastAsia="Times New Roman"/>
                <w:color w:val="000000"/>
                <w:lang w:eastAsia="fi-FI"/>
              </w:rPr>
              <w:t xml:space="preserve">   </w:t>
            </w:r>
            <w:r w:rsidRPr="006C2324">
              <w:rPr>
                <w:rFonts w:eastAsia="Times New Roman"/>
                <w:color w:val="000000"/>
                <w:lang w:val="fi-FI" w:eastAsia="fi-FI"/>
              </w:rPr>
              <w:t xml:space="preserve">No </w:t>
            </w:r>
            <w:proofErr w:type="spellStart"/>
            <w:r w:rsidRPr="006C2324">
              <w:rPr>
                <w:rFonts w:eastAsia="Times New Roman"/>
                <w:color w:val="000000"/>
                <w:lang w:val="fi-FI" w:eastAsia="fi-FI"/>
              </w:rPr>
              <w:t>antipsychotic</w:t>
            </w:r>
            <w:proofErr w:type="spellEnd"/>
          </w:p>
        </w:tc>
        <w:tc>
          <w:tcPr>
            <w:tcW w:w="915" w:type="dxa"/>
            <w:tcBorders>
              <w:top w:val="nil"/>
              <w:left w:val="single" w:sz="4" w:space="0" w:color="auto"/>
              <w:bottom w:val="nil"/>
              <w:right w:val="nil"/>
            </w:tcBorders>
            <w:shd w:val="clear" w:color="auto" w:fill="auto"/>
            <w:noWrap/>
            <w:vAlign w:val="bottom"/>
            <w:hideMark/>
          </w:tcPr>
          <w:p w14:paraId="26A507C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17915</w:t>
            </w:r>
          </w:p>
        </w:tc>
        <w:tc>
          <w:tcPr>
            <w:tcW w:w="968" w:type="dxa"/>
            <w:tcBorders>
              <w:top w:val="nil"/>
              <w:left w:val="nil"/>
              <w:bottom w:val="nil"/>
              <w:right w:val="nil"/>
            </w:tcBorders>
            <w:shd w:val="clear" w:color="auto" w:fill="auto"/>
            <w:noWrap/>
            <w:vAlign w:val="bottom"/>
            <w:hideMark/>
          </w:tcPr>
          <w:p w14:paraId="24290B2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733</w:t>
            </w:r>
          </w:p>
        </w:tc>
        <w:tc>
          <w:tcPr>
            <w:tcW w:w="1844" w:type="dxa"/>
            <w:tcBorders>
              <w:top w:val="nil"/>
              <w:left w:val="nil"/>
              <w:bottom w:val="nil"/>
              <w:right w:val="single" w:sz="4" w:space="0" w:color="auto"/>
            </w:tcBorders>
            <w:shd w:val="clear" w:color="auto" w:fill="auto"/>
            <w:noWrap/>
            <w:vAlign w:val="bottom"/>
            <w:hideMark/>
          </w:tcPr>
          <w:p w14:paraId="559EB70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76351</w:t>
            </w:r>
          </w:p>
        </w:tc>
        <w:tc>
          <w:tcPr>
            <w:tcW w:w="834" w:type="dxa"/>
            <w:tcBorders>
              <w:top w:val="nil"/>
              <w:left w:val="single" w:sz="4" w:space="0" w:color="auto"/>
              <w:bottom w:val="nil"/>
              <w:right w:val="nil"/>
            </w:tcBorders>
            <w:shd w:val="clear" w:color="auto" w:fill="auto"/>
            <w:noWrap/>
            <w:vAlign w:val="bottom"/>
            <w:hideMark/>
          </w:tcPr>
          <w:p w14:paraId="44E0872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7372</w:t>
            </w:r>
          </w:p>
        </w:tc>
        <w:tc>
          <w:tcPr>
            <w:tcW w:w="978" w:type="dxa"/>
            <w:tcBorders>
              <w:top w:val="nil"/>
              <w:left w:val="nil"/>
              <w:bottom w:val="nil"/>
              <w:right w:val="nil"/>
            </w:tcBorders>
            <w:shd w:val="clear" w:color="auto" w:fill="auto"/>
            <w:noWrap/>
            <w:vAlign w:val="bottom"/>
            <w:hideMark/>
          </w:tcPr>
          <w:p w14:paraId="74AD7D1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293</w:t>
            </w:r>
          </w:p>
        </w:tc>
        <w:tc>
          <w:tcPr>
            <w:tcW w:w="1844" w:type="dxa"/>
            <w:tcBorders>
              <w:top w:val="nil"/>
              <w:left w:val="nil"/>
              <w:bottom w:val="nil"/>
              <w:right w:val="single" w:sz="4" w:space="0" w:color="auto"/>
            </w:tcBorders>
            <w:shd w:val="clear" w:color="auto" w:fill="auto"/>
            <w:noWrap/>
            <w:vAlign w:val="bottom"/>
            <w:hideMark/>
          </w:tcPr>
          <w:p w14:paraId="3EA4D5B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17820</w:t>
            </w:r>
          </w:p>
        </w:tc>
      </w:tr>
      <w:tr w:rsidR="00530616" w:rsidRPr="006C2324" w14:paraId="2D928CBD"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3C9D1F8D"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Clozapine</w:t>
            </w:r>
            <w:proofErr w:type="spellEnd"/>
          </w:p>
        </w:tc>
        <w:tc>
          <w:tcPr>
            <w:tcW w:w="915" w:type="dxa"/>
            <w:tcBorders>
              <w:top w:val="nil"/>
              <w:left w:val="single" w:sz="4" w:space="0" w:color="auto"/>
              <w:bottom w:val="nil"/>
              <w:right w:val="nil"/>
            </w:tcBorders>
            <w:shd w:val="clear" w:color="auto" w:fill="auto"/>
            <w:noWrap/>
            <w:vAlign w:val="bottom"/>
            <w:hideMark/>
          </w:tcPr>
          <w:p w14:paraId="72D0377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7271</w:t>
            </w:r>
          </w:p>
        </w:tc>
        <w:tc>
          <w:tcPr>
            <w:tcW w:w="968" w:type="dxa"/>
            <w:tcBorders>
              <w:top w:val="nil"/>
              <w:left w:val="nil"/>
              <w:bottom w:val="nil"/>
              <w:right w:val="nil"/>
            </w:tcBorders>
            <w:shd w:val="clear" w:color="auto" w:fill="auto"/>
            <w:noWrap/>
            <w:vAlign w:val="bottom"/>
            <w:hideMark/>
          </w:tcPr>
          <w:p w14:paraId="38ECC8D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149</w:t>
            </w:r>
          </w:p>
        </w:tc>
        <w:tc>
          <w:tcPr>
            <w:tcW w:w="1844" w:type="dxa"/>
            <w:tcBorders>
              <w:top w:val="nil"/>
              <w:left w:val="nil"/>
              <w:bottom w:val="nil"/>
              <w:right w:val="single" w:sz="4" w:space="0" w:color="auto"/>
            </w:tcBorders>
            <w:shd w:val="clear" w:color="auto" w:fill="auto"/>
            <w:noWrap/>
            <w:vAlign w:val="bottom"/>
            <w:hideMark/>
          </w:tcPr>
          <w:p w14:paraId="6EE2B13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57704</w:t>
            </w:r>
          </w:p>
        </w:tc>
        <w:tc>
          <w:tcPr>
            <w:tcW w:w="834" w:type="dxa"/>
            <w:tcBorders>
              <w:top w:val="nil"/>
              <w:left w:val="single" w:sz="4" w:space="0" w:color="auto"/>
              <w:bottom w:val="nil"/>
              <w:right w:val="nil"/>
            </w:tcBorders>
            <w:shd w:val="clear" w:color="auto" w:fill="auto"/>
            <w:noWrap/>
            <w:vAlign w:val="bottom"/>
            <w:hideMark/>
          </w:tcPr>
          <w:p w14:paraId="09B51FD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1913</w:t>
            </w:r>
          </w:p>
        </w:tc>
        <w:tc>
          <w:tcPr>
            <w:tcW w:w="978" w:type="dxa"/>
            <w:tcBorders>
              <w:top w:val="nil"/>
              <w:left w:val="nil"/>
              <w:bottom w:val="nil"/>
              <w:right w:val="nil"/>
            </w:tcBorders>
            <w:shd w:val="clear" w:color="auto" w:fill="auto"/>
            <w:noWrap/>
            <w:vAlign w:val="bottom"/>
            <w:hideMark/>
          </w:tcPr>
          <w:p w14:paraId="0492353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35</w:t>
            </w:r>
          </w:p>
        </w:tc>
        <w:tc>
          <w:tcPr>
            <w:tcW w:w="1844" w:type="dxa"/>
            <w:tcBorders>
              <w:top w:val="nil"/>
              <w:left w:val="nil"/>
              <w:bottom w:val="nil"/>
              <w:right w:val="single" w:sz="4" w:space="0" w:color="auto"/>
            </w:tcBorders>
            <w:shd w:val="clear" w:color="auto" w:fill="auto"/>
            <w:noWrap/>
            <w:vAlign w:val="bottom"/>
            <w:hideMark/>
          </w:tcPr>
          <w:p w14:paraId="78108A3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9323</w:t>
            </w:r>
          </w:p>
        </w:tc>
      </w:tr>
      <w:tr w:rsidR="00530616" w:rsidRPr="006C2324" w14:paraId="57289501"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6A2DE9C7"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Olanzapine</w:t>
            </w:r>
            <w:proofErr w:type="spellEnd"/>
          </w:p>
        </w:tc>
        <w:tc>
          <w:tcPr>
            <w:tcW w:w="915" w:type="dxa"/>
            <w:tcBorders>
              <w:top w:val="nil"/>
              <w:left w:val="single" w:sz="4" w:space="0" w:color="auto"/>
              <w:bottom w:val="nil"/>
              <w:right w:val="nil"/>
            </w:tcBorders>
            <w:shd w:val="clear" w:color="auto" w:fill="auto"/>
            <w:noWrap/>
            <w:vAlign w:val="bottom"/>
            <w:hideMark/>
          </w:tcPr>
          <w:p w14:paraId="7E6E5D3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7755</w:t>
            </w:r>
          </w:p>
        </w:tc>
        <w:tc>
          <w:tcPr>
            <w:tcW w:w="968" w:type="dxa"/>
            <w:tcBorders>
              <w:top w:val="nil"/>
              <w:left w:val="nil"/>
              <w:bottom w:val="nil"/>
              <w:right w:val="nil"/>
            </w:tcBorders>
            <w:shd w:val="clear" w:color="auto" w:fill="auto"/>
            <w:noWrap/>
            <w:vAlign w:val="bottom"/>
            <w:hideMark/>
          </w:tcPr>
          <w:p w14:paraId="6AFA223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272</w:t>
            </w:r>
          </w:p>
        </w:tc>
        <w:tc>
          <w:tcPr>
            <w:tcW w:w="1844" w:type="dxa"/>
            <w:tcBorders>
              <w:top w:val="nil"/>
              <w:left w:val="nil"/>
              <w:bottom w:val="nil"/>
              <w:right w:val="single" w:sz="4" w:space="0" w:color="auto"/>
            </w:tcBorders>
            <w:shd w:val="clear" w:color="auto" w:fill="auto"/>
            <w:noWrap/>
            <w:vAlign w:val="bottom"/>
            <w:hideMark/>
          </w:tcPr>
          <w:p w14:paraId="18FEF30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38302</w:t>
            </w:r>
          </w:p>
        </w:tc>
        <w:tc>
          <w:tcPr>
            <w:tcW w:w="834" w:type="dxa"/>
            <w:tcBorders>
              <w:top w:val="nil"/>
              <w:left w:val="single" w:sz="4" w:space="0" w:color="auto"/>
              <w:bottom w:val="nil"/>
              <w:right w:val="nil"/>
            </w:tcBorders>
            <w:shd w:val="clear" w:color="auto" w:fill="auto"/>
            <w:noWrap/>
            <w:vAlign w:val="bottom"/>
            <w:hideMark/>
          </w:tcPr>
          <w:p w14:paraId="07BEB1D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3718</w:t>
            </w:r>
          </w:p>
        </w:tc>
        <w:tc>
          <w:tcPr>
            <w:tcW w:w="978" w:type="dxa"/>
            <w:tcBorders>
              <w:top w:val="nil"/>
              <w:left w:val="nil"/>
              <w:bottom w:val="nil"/>
              <w:right w:val="nil"/>
            </w:tcBorders>
            <w:shd w:val="clear" w:color="auto" w:fill="auto"/>
            <w:noWrap/>
            <w:vAlign w:val="bottom"/>
            <w:hideMark/>
          </w:tcPr>
          <w:p w14:paraId="39B9F5A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107</w:t>
            </w:r>
          </w:p>
        </w:tc>
        <w:tc>
          <w:tcPr>
            <w:tcW w:w="1844" w:type="dxa"/>
            <w:tcBorders>
              <w:top w:val="nil"/>
              <w:left w:val="nil"/>
              <w:bottom w:val="nil"/>
              <w:right w:val="single" w:sz="4" w:space="0" w:color="auto"/>
            </w:tcBorders>
            <w:shd w:val="clear" w:color="auto" w:fill="auto"/>
            <w:noWrap/>
            <w:vAlign w:val="bottom"/>
            <w:hideMark/>
          </w:tcPr>
          <w:p w14:paraId="2E10D78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11719</w:t>
            </w:r>
          </w:p>
        </w:tc>
      </w:tr>
      <w:tr w:rsidR="00530616" w:rsidRPr="006C2324" w14:paraId="5377F8D0"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4AE92E17"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Quetiapine</w:t>
            </w:r>
            <w:proofErr w:type="spellEnd"/>
          </w:p>
        </w:tc>
        <w:tc>
          <w:tcPr>
            <w:tcW w:w="915" w:type="dxa"/>
            <w:tcBorders>
              <w:top w:val="nil"/>
              <w:left w:val="single" w:sz="4" w:space="0" w:color="auto"/>
              <w:bottom w:val="nil"/>
              <w:right w:val="nil"/>
            </w:tcBorders>
            <w:shd w:val="clear" w:color="auto" w:fill="auto"/>
            <w:noWrap/>
            <w:vAlign w:val="bottom"/>
            <w:hideMark/>
          </w:tcPr>
          <w:p w14:paraId="6E9A035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4508</w:t>
            </w:r>
          </w:p>
        </w:tc>
        <w:tc>
          <w:tcPr>
            <w:tcW w:w="968" w:type="dxa"/>
            <w:tcBorders>
              <w:top w:val="nil"/>
              <w:left w:val="nil"/>
              <w:bottom w:val="nil"/>
              <w:right w:val="nil"/>
            </w:tcBorders>
            <w:shd w:val="clear" w:color="auto" w:fill="auto"/>
            <w:noWrap/>
            <w:vAlign w:val="bottom"/>
            <w:hideMark/>
          </w:tcPr>
          <w:p w14:paraId="257E27E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137</w:t>
            </w:r>
          </w:p>
        </w:tc>
        <w:tc>
          <w:tcPr>
            <w:tcW w:w="1844" w:type="dxa"/>
            <w:tcBorders>
              <w:top w:val="nil"/>
              <w:left w:val="nil"/>
              <w:bottom w:val="nil"/>
              <w:right w:val="single" w:sz="4" w:space="0" w:color="auto"/>
            </w:tcBorders>
            <w:shd w:val="clear" w:color="auto" w:fill="auto"/>
            <w:noWrap/>
            <w:vAlign w:val="bottom"/>
            <w:hideMark/>
          </w:tcPr>
          <w:p w14:paraId="73CD649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11271</w:t>
            </w:r>
          </w:p>
        </w:tc>
        <w:tc>
          <w:tcPr>
            <w:tcW w:w="834" w:type="dxa"/>
            <w:tcBorders>
              <w:top w:val="nil"/>
              <w:left w:val="single" w:sz="4" w:space="0" w:color="auto"/>
              <w:bottom w:val="nil"/>
              <w:right w:val="nil"/>
            </w:tcBorders>
            <w:shd w:val="clear" w:color="auto" w:fill="auto"/>
            <w:noWrap/>
            <w:vAlign w:val="bottom"/>
            <w:hideMark/>
          </w:tcPr>
          <w:p w14:paraId="2997E97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1655</w:t>
            </w:r>
          </w:p>
        </w:tc>
        <w:tc>
          <w:tcPr>
            <w:tcW w:w="978" w:type="dxa"/>
            <w:tcBorders>
              <w:top w:val="nil"/>
              <w:left w:val="nil"/>
              <w:bottom w:val="nil"/>
              <w:right w:val="nil"/>
            </w:tcBorders>
            <w:shd w:val="clear" w:color="auto" w:fill="auto"/>
            <w:noWrap/>
            <w:vAlign w:val="bottom"/>
            <w:hideMark/>
          </w:tcPr>
          <w:p w14:paraId="43E53FF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48</w:t>
            </w:r>
          </w:p>
        </w:tc>
        <w:tc>
          <w:tcPr>
            <w:tcW w:w="1844" w:type="dxa"/>
            <w:tcBorders>
              <w:top w:val="nil"/>
              <w:left w:val="nil"/>
              <w:bottom w:val="nil"/>
              <w:right w:val="single" w:sz="4" w:space="0" w:color="auto"/>
            </w:tcBorders>
            <w:shd w:val="clear" w:color="auto" w:fill="auto"/>
            <w:noWrap/>
            <w:vAlign w:val="bottom"/>
            <w:hideMark/>
          </w:tcPr>
          <w:p w14:paraId="4CD2F11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2817</w:t>
            </w:r>
          </w:p>
        </w:tc>
      </w:tr>
      <w:tr w:rsidR="00530616" w:rsidRPr="006C2324" w14:paraId="45315B8E"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3C912E43"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Risperidone</w:t>
            </w:r>
            <w:proofErr w:type="spellEnd"/>
          </w:p>
        </w:tc>
        <w:tc>
          <w:tcPr>
            <w:tcW w:w="915" w:type="dxa"/>
            <w:tcBorders>
              <w:top w:val="nil"/>
              <w:left w:val="single" w:sz="4" w:space="0" w:color="auto"/>
              <w:bottom w:val="nil"/>
              <w:right w:val="nil"/>
            </w:tcBorders>
            <w:shd w:val="clear" w:color="auto" w:fill="auto"/>
            <w:noWrap/>
            <w:vAlign w:val="bottom"/>
            <w:hideMark/>
          </w:tcPr>
          <w:p w14:paraId="28A88CF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5598</w:t>
            </w:r>
          </w:p>
        </w:tc>
        <w:tc>
          <w:tcPr>
            <w:tcW w:w="968" w:type="dxa"/>
            <w:tcBorders>
              <w:top w:val="nil"/>
              <w:left w:val="nil"/>
              <w:bottom w:val="nil"/>
              <w:right w:val="nil"/>
            </w:tcBorders>
            <w:shd w:val="clear" w:color="auto" w:fill="auto"/>
            <w:noWrap/>
            <w:vAlign w:val="bottom"/>
            <w:hideMark/>
          </w:tcPr>
          <w:p w14:paraId="6535BF2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132</w:t>
            </w:r>
          </w:p>
        </w:tc>
        <w:tc>
          <w:tcPr>
            <w:tcW w:w="1844" w:type="dxa"/>
            <w:tcBorders>
              <w:top w:val="nil"/>
              <w:left w:val="nil"/>
              <w:bottom w:val="nil"/>
              <w:right w:val="single" w:sz="4" w:space="0" w:color="auto"/>
            </w:tcBorders>
            <w:shd w:val="clear" w:color="auto" w:fill="auto"/>
            <w:noWrap/>
            <w:vAlign w:val="bottom"/>
            <w:hideMark/>
          </w:tcPr>
          <w:p w14:paraId="59F2C43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16886</w:t>
            </w:r>
          </w:p>
        </w:tc>
        <w:tc>
          <w:tcPr>
            <w:tcW w:w="834" w:type="dxa"/>
            <w:tcBorders>
              <w:top w:val="nil"/>
              <w:left w:val="single" w:sz="4" w:space="0" w:color="auto"/>
              <w:bottom w:val="nil"/>
              <w:right w:val="nil"/>
            </w:tcBorders>
            <w:shd w:val="clear" w:color="auto" w:fill="auto"/>
            <w:noWrap/>
            <w:vAlign w:val="bottom"/>
            <w:hideMark/>
          </w:tcPr>
          <w:p w14:paraId="515F0AD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2281</w:t>
            </w:r>
          </w:p>
        </w:tc>
        <w:tc>
          <w:tcPr>
            <w:tcW w:w="978" w:type="dxa"/>
            <w:tcBorders>
              <w:top w:val="nil"/>
              <w:left w:val="nil"/>
              <w:bottom w:val="nil"/>
              <w:right w:val="nil"/>
            </w:tcBorders>
            <w:shd w:val="clear" w:color="auto" w:fill="auto"/>
            <w:noWrap/>
            <w:vAlign w:val="bottom"/>
            <w:hideMark/>
          </w:tcPr>
          <w:p w14:paraId="462E9F4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67</w:t>
            </w:r>
          </w:p>
        </w:tc>
        <w:tc>
          <w:tcPr>
            <w:tcW w:w="1844" w:type="dxa"/>
            <w:tcBorders>
              <w:top w:val="nil"/>
              <w:left w:val="nil"/>
              <w:bottom w:val="nil"/>
              <w:right w:val="single" w:sz="4" w:space="0" w:color="auto"/>
            </w:tcBorders>
            <w:shd w:val="clear" w:color="auto" w:fill="auto"/>
            <w:noWrap/>
            <w:vAlign w:val="bottom"/>
            <w:hideMark/>
          </w:tcPr>
          <w:p w14:paraId="05A27A1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6090</w:t>
            </w:r>
          </w:p>
        </w:tc>
      </w:tr>
      <w:tr w:rsidR="00530616" w:rsidRPr="006C2324" w14:paraId="6E777C9F"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119222B7"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Aripiprazole</w:t>
            </w:r>
            <w:proofErr w:type="spellEnd"/>
          </w:p>
        </w:tc>
        <w:tc>
          <w:tcPr>
            <w:tcW w:w="915" w:type="dxa"/>
            <w:tcBorders>
              <w:top w:val="nil"/>
              <w:left w:val="single" w:sz="4" w:space="0" w:color="auto"/>
              <w:bottom w:val="nil"/>
              <w:right w:val="nil"/>
            </w:tcBorders>
            <w:shd w:val="clear" w:color="auto" w:fill="auto"/>
            <w:noWrap/>
            <w:vAlign w:val="bottom"/>
            <w:hideMark/>
          </w:tcPr>
          <w:p w14:paraId="2E4A8EF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1923</w:t>
            </w:r>
          </w:p>
        </w:tc>
        <w:tc>
          <w:tcPr>
            <w:tcW w:w="968" w:type="dxa"/>
            <w:tcBorders>
              <w:top w:val="nil"/>
              <w:left w:val="nil"/>
              <w:bottom w:val="nil"/>
              <w:right w:val="nil"/>
            </w:tcBorders>
            <w:shd w:val="clear" w:color="auto" w:fill="auto"/>
            <w:noWrap/>
            <w:vAlign w:val="bottom"/>
            <w:hideMark/>
          </w:tcPr>
          <w:p w14:paraId="7D5A597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23</w:t>
            </w:r>
          </w:p>
        </w:tc>
        <w:tc>
          <w:tcPr>
            <w:tcW w:w="1844" w:type="dxa"/>
            <w:tcBorders>
              <w:top w:val="nil"/>
              <w:left w:val="nil"/>
              <w:bottom w:val="nil"/>
              <w:right w:val="single" w:sz="4" w:space="0" w:color="auto"/>
            </w:tcBorders>
            <w:shd w:val="clear" w:color="auto" w:fill="auto"/>
            <w:noWrap/>
            <w:vAlign w:val="bottom"/>
            <w:hideMark/>
          </w:tcPr>
          <w:p w14:paraId="0E2700A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3538</w:t>
            </w:r>
          </w:p>
        </w:tc>
        <w:tc>
          <w:tcPr>
            <w:tcW w:w="834" w:type="dxa"/>
            <w:tcBorders>
              <w:top w:val="nil"/>
              <w:left w:val="single" w:sz="4" w:space="0" w:color="auto"/>
              <w:bottom w:val="nil"/>
              <w:right w:val="nil"/>
            </w:tcBorders>
            <w:shd w:val="clear" w:color="auto" w:fill="auto"/>
            <w:noWrap/>
            <w:vAlign w:val="bottom"/>
            <w:hideMark/>
          </w:tcPr>
          <w:p w14:paraId="094FBE3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2352</w:t>
            </w:r>
          </w:p>
        </w:tc>
        <w:tc>
          <w:tcPr>
            <w:tcW w:w="978" w:type="dxa"/>
            <w:tcBorders>
              <w:top w:val="nil"/>
              <w:left w:val="nil"/>
              <w:bottom w:val="nil"/>
              <w:right w:val="nil"/>
            </w:tcBorders>
            <w:shd w:val="clear" w:color="auto" w:fill="auto"/>
            <w:noWrap/>
            <w:vAlign w:val="bottom"/>
            <w:hideMark/>
          </w:tcPr>
          <w:p w14:paraId="5341E1E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50</w:t>
            </w:r>
          </w:p>
        </w:tc>
        <w:tc>
          <w:tcPr>
            <w:tcW w:w="1844" w:type="dxa"/>
            <w:tcBorders>
              <w:top w:val="nil"/>
              <w:left w:val="nil"/>
              <w:bottom w:val="nil"/>
              <w:right w:val="single" w:sz="4" w:space="0" w:color="auto"/>
            </w:tcBorders>
            <w:shd w:val="clear" w:color="auto" w:fill="auto"/>
            <w:noWrap/>
            <w:vAlign w:val="bottom"/>
            <w:hideMark/>
          </w:tcPr>
          <w:p w14:paraId="2184608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4842</w:t>
            </w:r>
          </w:p>
        </w:tc>
      </w:tr>
      <w:tr w:rsidR="00530616" w:rsidRPr="006C2324" w14:paraId="23BAC01B"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78F4C357"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AP </w:t>
            </w:r>
            <w:proofErr w:type="spellStart"/>
            <w:r w:rsidRPr="006C2324">
              <w:rPr>
                <w:rFonts w:eastAsia="Times New Roman"/>
                <w:color w:val="000000"/>
                <w:lang w:val="fi-FI" w:eastAsia="fi-FI"/>
              </w:rPr>
              <w:t>Polytherapy</w:t>
            </w:r>
            <w:proofErr w:type="spellEnd"/>
          </w:p>
        </w:tc>
        <w:tc>
          <w:tcPr>
            <w:tcW w:w="915" w:type="dxa"/>
            <w:tcBorders>
              <w:top w:val="nil"/>
              <w:left w:val="single" w:sz="4" w:space="0" w:color="auto"/>
              <w:bottom w:val="nil"/>
              <w:right w:val="nil"/>
            </w:tcBorders>
            <w:shd w:val="clear" w:color="auto" w:fill="auto"/>
            <w:noWrap/>
            <w:vAlign w:val="bottom"/>
            <w:hideMark/>
          </w:tcPr>
          <w:p w14:paraId="60F6C9E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19274</w:t>
            </w:r>
          </w:p>
        </w:tc>
        <w:tc>
          <w:tcPr>
            <w:tcW w:w="968" w:type="dxa"/>
            <w:tcBorders>
              <w:top w:val="nil"/>
              <w:left w:val="nil"/>
              <w:bottom w:val="nil"/>
              <w:right w:val="nil"/>
            </w:tcBorders>
            <w:shd w:val="clear" w:color="auto" w:fill="auto"/>
            <w:noWrap/>
            <w:vAlign w:val="bottom"/>
            <w:hideMark/>
          </w:tcPr>
          <w:p w14:paraId="76AB9E8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826</w:t>
            </w:r>
          </w:p>
        </w:tc>
        <w:tc>
          <w:tcPr>
            <w:tcW w:w="1844" w:type="dxa"/>
            <w:tcBorders>
              <w:top w:val="nil"/>
              <w:left w:val="nil"/>
              <w:bottom w:val="nil"/>
              <w:right w:val="single" w:sz="4" w:space="0" w:color="auto"/>
            </w:tcBorders>
            <w:shd w:val="clear" w:color="auto" w:fill="auto"/>
            <w:noWrap/>
            <w:vAlign w:val="bottom"/>
            <w:hideMark/>
          </w:tcPr>
          <w:p w14:paraId="30ED2FB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130044</w:t>
            </w:r>
          </w:p>
        </w:tc>
        <w:tc>
          <w:tcPr>
            <w:tcW w:w="834" w:type="dxa"/>
            <w:tcBorders>
              <w:top w:val="nil"/>
              <w:left w:val="single" w:sz="4" w:space="0" w:color="auto"/>
              <w:bottom w:val="nil"/>
              <w:right w:val="nil"/>
            </w:tcBorders>
            <w:shd w:val="clear" w:color="auto" w:fill="auto"/>
            <w:noWrap/>
            <w:vAlign w:val="bottom"/>
            <w:hideMark/>
          </w:tcPr>
          <w:p w14:paraId="164CE37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7201</w:t>
            </w:r>
          </w:p>
        </w:tc>
        <w:tc>
          <w:tcPr>
            <w:tcW w:w="978" w:type="dxa"/>
            <w:tcBorders>
              <w:top w:val="nil"/>
              <w:left w:val="nil"/>
              <w:bottom w:val="nil"/>
              <w:right w:val="nil"/>
            </w:tcBorders>
            <w:shd w:val="clear" w:color="auto" w:fill="auto"/>
            <w:noWrap/>
            <w:vAlign w:val="bottom"/>
            <w:hideMark/>
          </w:tcPr>
          <w:p w14:paraId="1EC001F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243</w:t>
            </w:r>
          </w:p>
        </w:tc>
        <w:tc>
          <w:tcPr>
            <w:tcW w:w="1844" w:type="dxa"/>
            <w:tcBorders>
              <w:top w:val="nil"/>
              <w:left w:val="nil"/>
              <w:bottom w:val="nil"/>
              <w:right w:val="single" w:sz="4" w:space="0" w:color="auto"/>
            </w:tcBorders>
            <w:shd w:val="clear" w:color="auto" w:fill="auto"/>
            <w:noWrap/>
            <w:vAlign w:val="bottom"/>
            <w:hideMark/>
          </w:tcPr>
          <w:p w14:paraId="4718F6A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24166</w:t>
            </w:r>
          </w:p>
        </w:tc>
      </w:tr>
      <w:tr w:rsidR="00530616" w:rsidRPr="006C2324" w14:paraId="508E6F3F"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4E688D12"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Other</w:t>
            </w:r>
            <w:proofErr w:type="spellEnd"/>
            <w:r w:rsidRPr="006C2324">
              <w:rPr>
                <w:rFonts w:eastAsia="Times New Roman"/>
                <w:color w:val="000000"/>
                <w:lang w:val="fi-FI" w:eastAsia="fi-FI"/>
              </w:rPr>
              <w:t xml:space="preserve"> </w:t>
            </w:r>
            <w:proofErr w:type="spellStart"/>
            <w:r w:rsidRPr="006C2324">
              <w:rPr>
                <w:rFonts w:eastAsia="Times New Roman"/>
                <w:color w:val="000000"/>
                <w:lang w:val="fi-FI" w:eastAsia="fi-FI"/>
              </w:rPr>
              <w:t>oral</w:t>
            </w:r>
            <w:proofErr w:type="spellEnd"/>
            <w:r w:rsidRPr="006C2324">
              <w:rPr>
                <w:rFonts w:eastAsia="Times New Roman"/>
                <w:color w:val="000000"/>
                <w:lang w:val="fi-FI" w:eastAsia="fi-FI"/>
              </w:rPr>
              <w:t xml:space="preserve"> AP</w:t>
            </w:r>
          </w:p>
        </w:tc>
        <w:tc>
          <w:tcPr>
            <w:tcW w:w="915" w:type="dxa"/>
            <w:tcBorders>
              <w:top w:val="nil"/>
              <w:left w:val="single" w:sz="4" w:space="0" w:color="auto"/>
              <w:bottom w:val="nil"/>
              <w:right w:val="nil"/>
            </w:tcBorders>
            <w:shd w:val="clear" w:color="auto" w:fill="auto"/>
            <w:noWrap/>
            <w:vAlign w:val="bottom"/>
            <w:hideMark/>
          </w:tcPr>
          <w:p w14:paraId="1BF8CD6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9862</w:t>
            </w:r>
          </w:p>
        </w:tc>
        <w:tc>
          <w:tcPr>
            <w:tcW w:w="968" w:type="dxa"/>
            <w:tcBorders>
              <w:top w:val="nil"/>
              <w:left w:val="nil"/>
              <w:bottom w:val="nil"/>
              <w:right w:val="nil"/>
            </w:tcBorders>
            <w:shd w:val="clear" w:color="auto" w:fill="auto"/>
            <w:noWrap/>
            <w:vAlign w:val="bottom"/>
            <w:hideMark/>
          </w:tcPr>
          <w:p w14:paraId="32EC7E1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272</w:t>
            </w:r>
          </w:p>
        </w:tc>
        <w:tc>
          <w:tcPr>
            <w:tcW w:w="1844" w:type="dxa"/>
            <w:tcBorders>
              <w:top w:val="nil"/>
              <w:left w:val="nil"/>
              <w:bottom w:val="nil"/>
              <w:right w:val="single" w:sz="4" w:space="0" w:color="auto"/>
            </w:tcBorders>
            <w:shd w:val="clear" w:color="auto" w:fill="auto"/>
            <w:noWrap/>
            <w:vAlign w:val="bottom"/>
            <w:hideMark/>
          </w:tcPr>
          <w:p w14:paraId="35AD655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32775</w:t>
            </w:r>
          </w:p>
        </w:tc>
        <w:tc>
          <w:tcPr>
            <w:tcW w:w="834" w:type="dxa"/>
            <w:tcBorders>
              <w:top w:val="nil"/>
              <w:left w:val="single" w:sz="4" w:space="0" w:color="auto"/>
              <w:bottom w:val="nil"/>
              <w:right w:val="nil"/>
            </w:tcBorders>
            <w:shd w:val="clear" w:color="auto" w:fill="auto"/>
            <w:noWrap/>
            <w:vAlign w:val="bottom"/>
            <w:hideMark/>
          </w:tcPr>
          <w:p w14:paraId="5815643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2937</w:t>
            </w:r>
          </w:p>
        </w:tc>
        <w:tc>
          <w:tcPr>
            <w:tcW w:w="978" w:type="dxa"/>
            <w:tcBorders>
              <w:top w:val="nil"/>
              <w:left w:val="nil"/>
              <w:bottom w:val="nil"/>
              <w:right w:val="nil"/>
            </w:tcBorders>
            <w:shd w:val="clear" w:color="auto" w:fill="auto"/>
            <w:noWrap/>
            <w:vAlign w:val="bottom"/>
            <w:hideMark/>
          </w:tcPr>
          <w:p w14:paraId="47B17E5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80</w:t>
            </w:r>
          </w:p>
        </w:tc>
        <w:tc>
          <w:tcPr>
            <w:tcW w:w="1844" w:type="dxa"/>
            <w:tcBorders>
              <w:top w:val="nil"/>
              <w:left w:val="nil"/>
              <w:bottom w:val="nil"/>
              <w:right w:val="single" w:sz="4" w:space="0" w:color="auto"/>
            </w:tcBorders>
            <w:shd w:val="clear" w:color="auto" w:fill="auto"/>
            <w:noWrap/>
            <w:vAlign w:val="bottom"/>
            <w:hideMark/>
          </w:tcPr>
          <w:p w14:paraId="7F49E2C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6853</w:t>
            </w:r>
          </w:p>
        </w:tc>
      </w:tr>
      <w:tr w:rsidR="00530616" w:rsidRPr="006C2324" w14:paraId="741B53C9" w14:textId="77777777" w:rsidTr="00530616">
        <w:trPr>
          <w:trHeight w:val="300"/>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14:paraId="034E9424"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Any</w:t>
            </w:r>
            <w:proofErr w:type="spellEnd"/>
            <w:r w:rsidRPr="006C2324">
              <w:rPr>
                <w:rFonts w:eastAsia="Times New Roman"/>
                <w:color w:val="000000"/>
                <w:lang w:val="fi-FI" w:eastAsia="fi-FI"/>
              </w:rPr>
              <w:t xml:space="preserve"> LAI</w:t>
            </w:r>
          </w:p>
        </w:tc>
        <w:tc>
          <w:tcPr>
            <w:tcW w:w="915" w:type="dxa"/>
            <w:tcBorders>
              <w:top w:val="nil"/>
              <w:left w:val="single" w:sz="4" w:space="0" w:color="auto"/>
              <w:bottom w:val="single" w:sz="4" w:space="0" w:color="auto"/>
              <w:right w:val="nil"/>
            </w:tcBorders>
            <w:shd w:val="clear" w:color="auto" w:fill="auto"/>
            <w:noWrap/>
            <w:vAlign w:val="bottom"/>
            <w:hideMark/>
          </w:tcPr>
          <w:p w14:paraId="7895CAC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5004</w:t>
            </w:r>
          </w:p>
        </w:tc>
        <w:tc>
          <w:tcPr>
            <w:tcW w:w="968" w:type="dxa"/>
            <w:tcBorders>
              <w:top w:val="nil"/>
              <w:left w:val="nil"/>
              <w:bottom w:val="single" w:sz="4" w:space="0" w:color="auto"/>
              <w:right w:val="nil"/>
            </w:tcBorders>
            <w:shd w:val="clear" w:color="auto" w:fill="auto"/>
            <w:noWrap/>
            <w:vAlign w:val="bottom"/>
            <w:hideMark/>
          </w:tcPr>
          <w:p w14:paraId="2591C3E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166</w:t>
            </w:r>
          </w:p>
        </w:tc>
        <w:tc>
          <w:tcPr>
            <w:tcW w:w="1844" w:type="dxa"/>
            <w:tcBorders>
              <w:top w:val="nil"/>
              <w:left w:val="nil"/>
              <w:bottom w:val="single" w:sz="4" w:space="0" w:color="auto"/>
              <w:right w:val="single" w:sz="4" w:space="0" w:color="auto"/>
            </w:tcBorders>
            <w:shd w:val="clear" w:color="auto" w:fill="auto"/>
            <w:noWrap/>
            <w:vAlign w:val="bottom"/>
            <w:hideMark/>
          </w:tcPr>
          <w:p w14:paraId="64159D4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20072</w:t>
            </w:r>
          </w:p>
        </w:tc>
        <w:tc>
          <w:tcPr>
            <w:tcW w:w="834" w:type="dxa"/>
            <w:tcBorders>
              <w:top w:val="nil"/>
              <w:left w:val="single" w:sz="4" w:space="0" w:color="auto"/>
              <w:bottom w:val="single" w:sz="4" w:space="0" w:color="auto"/>
              <w:right w:val="nil"/>
            </w:tcBorders>
            <w:shd w:val="clear" w:color="auto" w:fill="auto"/>
            <w:noWrap/>
            <w:vAlign w:val="bottom"/>
            <w:hideMark/>
          </w:tcPr>
          <w:p w14:paraId="2C3FB29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2857</w:t>
            </w:r>
          </w:p>
        </w:tc>
        <w:tc>
          <w:tcPr>
            <w:tcW w:w="978" w:type="dxa"/>
            <w:tcBorders>
              <w:top w:val="nil"/>
              <w:left w:val="nil"/>
              <w:bottom w:val="single" w:sz="4" w:space="0" w:color="auto"/>
              <w:right w:val="nil"/>
            </w:tcBorders>
            <w:shd w:val="clear" w:color="auto" w:fill="auto"/>
            <w:noWrap/>
            <w:vAlign w:val="bottom"/>
            <w:hideMark/>
          </w:tcPr>
          <w:p w14:paraId="22B41A9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81</w:t>
            </w:r>
          </w:p>
        </w:tc>
        <w:tc>
          <w:tcPr>
            <w:tcW w:w="1844" w:type="dxa"/>
            <w:tcBorders>
              <w:top w:val="nil"/>
              <w:left w:val="nil"/>
              <w:bottom w:val="single" w:sz="4" w:space="0" w:color="auto"/>
              <w:right w:val="single" w:sz="4" w:space="0" w:color="auto"/>
            </w:tcBorders>
            <w:shd w:val="clear" w:color="auto" w:fill="auto"/>
            <w:noWrap/>
            <w:vAlign w:val="bottom"/>
            <w:hideMark/>
          </w:tcPr>
          <w:p w14:paraId="726DA9E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7668</w:t>
            </w:r>
          </w:p>
        </w:tc>
      </w:tr>
      <w:tr w:rsidR="006C2324" w:rsidRPr="006C2324" w14:paraId="2ED93335" w14:textId="77777777" w:rsidTr="00207175">
        <w:trPr>
          <w:trHeight w:val="300"/>
        </w:trPr>
        <w:tc>
          <w:tcPr>
            <w:tcW w:w="6316" w:type="dxa"/>
            <w:gridSpan w:val="4"/>
            <w:tcBorders>
              <w:top w:val="single" w:sz="4" w:space="0" w:color="auto"/>
              <w:left w:val="single" w:sz="4" w:space="0" w:color="auto"/>
              <w:bottom w:val="nil"/>
              <w:right w:val="nil"/>
            </w:tcBorders>
            <w:shd w:val="clear" w:color="auto" w:fill="auto"/>
            <w:noWrap/>
            <w:vAlign w:val="bottom"/>
            <w:hideMark/>
          </w:tcPr>
          <w:p w14:paraId="576A3CA1" w14:textId="77777777" w:rsidR="006C2324" w:rsidRPr="00207175" w:rsidRDefault="006C2324" w:rsidP="006C2324">
            <w:pPr>
              <w:spacing w:after="0" w:line="240" w:lineRule="auto"/>
              <w:rPr>
                <w:rFonts w:eastAsia="Times New Roman"/>
                <w:color w:val="000000"/>
                <w:lang w:eastAsia="fi-FI"/>
              </w:rPr>
            </w:pPr>
            <w:r w:rsidRPr="00207175">
              <w:rPr>
                <w:rFonts w:eastAsia="Times New Roman"/>
                <w:color w:val="000000"/>
                <w:lang w:eastAsia="fi-FI"/>
              </w:rPr>
              <w:t>Risk of psychiatric hospitalization in those with SUD</w:t>
            </w:r>
          </w:p>
        </w:tc>
        <w:tc>
          <w:tcPr>
            <w:tcW w:w="834" w:type="dxa"/>
            <w:tcBorders>
              <w:top w:val="single" w:sz="4" w:space="0" w:color="auto"/>
              <w:left w:val="nil"/>
              <w:right w:val="nil"/>
            </w:tcBorders>
            <w:shd w:val="clear" w:color="auto" w:fill="auto"/>
            <w:noWrap/>
            <w:vAlign w:val="bottom"/>
            <w:hideMark/>
          </w:tcPr>
          <w:p w14:paraId="21A4DB02" w14:textId="77777777" w:rsidR="006C2324" w:rsidRPr="00207175" w:rsidRDefault="006C2324" w:rsidP="006C2324">
            <w:pPr>
              <w:spacing w:after="0" w:line="240" w:lineRule="auto"/>
              <w:rPr>
                <w:rFonts w:eastAsia="Times New Roman"/>
                <w:color w:val="000000"/>
                <w:lang w:eastAsia="fi-FI"/>
              </w:rPr>
            </w:pPr>
          </w:p>
        </w:tc>
        <w:tc>
          <w:tcPr>
            <w:tcW w:w="978" w:type="dxa"/>
            <w:tcBorders>
              <w:top w:val="single" w:sz="4" w:space="0" w:color="auto"/>
              <w:left w:val="nil"/>
              <w:right w:val="nil"/>
            </w:tcBorders>
            <w:shd w:val="clear" w:color="auto" w:fill="auto"/>
            <w:noWrap/>
            <w:vAlign w:val="bottom"/>
            <w:hideMark/>
          </w:tcPr>
          <w:p w14:paraId="4C72B27E" w14:textId="77777777" w:rsidR="006C2324" w:rsidRPr="00207175" w:rsidRDefault="006C2324" w:rsidP="006C2324">
            <w:pPr>
              <w:spacing w:after="0" w:line="240" w:lineRule="auto"/>
              <w:rPr>
                <w:rFonts w:ascii="Times New Roman" w:eastAsia="Times New Roman" w:hAnsi="Times New Roman" w:cs="Times New Roman"/>
                <w:sz w:val="20"/>
                <w:szCs w:val="20"/>
                <w:lang w:eastAsia="fi-FI"/>
              </w:rPr>
            </w:pPr>
          </w:p>
        </w:tc>
        <w:tc>
          <w:tcPr>
            <w:tcW w:w="1844" w:type="dxa"/>
            <w:tcBorders>
              <w:top w:val="single" w:sz="4" w:space="0" w:color="auto"/>
              <w:left w:val="nil"/>
              <w:bottom w:val="nil"/>
              <w:right w:val="single" w:sz="4" w:space="0" w:color="auto"/>
            </w:tcBorders>
            <w:shd w:val="clear" w:color="auto" w:fill="auto"/>
            <w:noWrap/>
            <w:vAlign w:val="bottom"/>
            <w:hideMark/>
          </w:tcPr>
          <w:p w14:paraId="673672A6" w14:textId="77777777" w:rsidR="006C2324" w:rsidRPr="00207175" w:rsidRDefault="006C2324" w:rsidP="006C2324">
            <w:pPr>
              <w:spacing w:after="0" w:line="240" w:lineRule="auto"/>
              <w:rPr>
                <w:rFonts w:ascii="Times New Roman" w:eastAsia="Times New Roman" w:hAnsi="Times New Roman" w:cs="Times New Roman"/>
                <w:sz w:val="20"/>
                <w:szCs w:val="20"/>
                <w:lang w:eastAsia="fi-FI"/>
              </w:rPr>
            </w:pPr>
          </w:p>
        </w:tc>
      </w:tr>
      <w:tr w:rsidR="00530616" w:rsidRPr="006C2324" w14:paraId="7DBAACB6"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5D8E371E" w14:textId="77777777" w:rsidR="006C2324" w:rsidRPr="006C2324" w:rsidRDefault="006C2324" w:rsidP="006C2324">
            <w:pPr>
              <w:spacing w:after="0" w:line="240" w:lineRule="auto"/>
              <w:rPr>
                <w:rFonts w:eastAsia="Times New Roman"/>
                <w:color w:val="000000"/>
                <w:lang w:val="fi-FI" w:eastAsia="fi-FI"/>
              </w:rPr>
            </w:pPr>
            <w:r w:rsidRPr="00207175">
              <w:rPr>
                <w:rFonts w:eastAsia="Times New Roman"/>
                <w:color w:val="000000"/>
                <w:lang w:eastAsia="fi-FI"/>
              </w:rPr>
              <w:t xml:space="preserve">   </w:t>
            </w:r>
            <w:r w:rsidRPr="006C2324">
              <w:rPr>
                <w:rFonts w:eastAsia="Times New Roman"/>
                <w:color w:val="000000"/>
                <w:lang w:val="fi-FI" w:eastAsia="fi-FI"/>
              </w:rPr>
              <w:t xml:space="preserve">No </w:t>
            </w:r>
            <w:proofErr w:type="spellStart"/>
            <w:r w:rsidRPr="006C2324">
              <w:rPr>
                <w:rFonts w:eastAsia="Times New Roman"/>
                <w:color w:val="000000"/>
                <w:lang w:val="fi-FI" w:eastAsia="fi-FI"/>
              </w:rPr>
              <w:t>antipsychotic</w:t>
            </w:r>
            <w:proofErr w:type="spellEnd"/>
          </w:p>
        </w:tc>
        <w:tc>
          <w:tcPr>
            <w:tcW w:w="915" w:type="dxa"/>
            <w:tcBorders>
              <w:top w:val="nil"/>
              <w:left w:val="single" w:sz="4" w:space="0" w:color="auto"/>
              <w:bottom w:val="nil"/>
              <w:right w:val="nil"/>
            </w:tcBorders>
            <w:shd w:val="clear" w:color="auto" w:fill="auto"/>
            <w:noWrap/>
            <w:vAlign w:val="bottom"/>
            <w:hideMark/>
          </w:tcPr>
          <w:p w14:paraId="33E562F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6490</w:t>
            </w:r>
          </w:p>
        </w:tc>
        <w:tc>
          <w:tcPr>
            <w:tcW w:w="968" w:type="dxa"/>
            <w:tcBorders>
              <w:top w:val="nil"/>
              <w:left w:val="nil"/>
              <w:bottom w:val="nil"/>
              <w:right w:val="nil"/>
            </w:tcBorders>
            <w:shd w:val="clear" w:color="auto" w:fill="auto"/>
            <w:noWrap/>
            <w:vAlign w:val="bottom"/>
            <w:hideMark/>
          </w:tcPr>
          <w:p w14:paraId="0211D11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7512</w:t>
            </w:r>
          </w:p>
        </w:tc>
        <w:tc>
          <w:tcPr>
            <w:tcW w:w="1844" w:type="dxa"/>
            <w:tcBorders>
              <w:top w:val="nil"/>
              <w:left w:val="nil"/>
              <w:bottom w:val="nil"/>
              <w:right w:val="single" w:sz="4" w:space="0" w:color="auto"/>
            </w:tcBorders>
            <w:shd w:val="clear" w:color="auto" w:fill="auto"/>
            <w:noWrap/>
            <w:vAlign w:val="bottom"/>
            <w:hideMark/>
          </w:tcPr>
          <w:p w14:paraId="008ECD1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21560</w:t>
            </w:r>
          </w:p>
        </w:tc>
        <w:tc>
          <w:tcPr>
            <w:tcW w:w="834" w:type="dxa"/>
            <w:tcBorders>
              <w:top w:val="nil"/>
              <w:left w:val="single" w:sz="4" w:space="0" w:color="auto"/>
              <w:bottom w:val="nil"/>
              <w:right w:val="nil"/>
            </w:tcBorders>
            <w:shd w:val="clear" w:color="auto" w:fill="auto"/>
            <w:noWrap/>
            <w:vAlign w:val="bottom"/>
            <w:hideMark/>
          </w:tcPr>
          <w:p w14:paraId="015E1F7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3442</w:t>
            </w:r>
          </w:p>
        </w:tc>
        <w:tc>
          <w:tcPr>
            <w:tcW w:w="978" w:type="dxa"/>
            <w:tcBorders>
              <w:top w:val="nil"/>
              <w:left w:val="nil"/>
              <w:bottom w:val="nil"/>
              <w:right w:val="nil"/>
            </w:tcBorders>
            <w:shd w:val="clear" w:color="auto" w:fill="auto"/>
            <w:noWrap/>
            <w:vAlign w:val="bottom"/>
            <w:hideMark/>
          </w:tcPr>
          <w:p w14:paraId="12E995E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4810</w:t>
            </w:r>
          </w:p>
        </w:tc>
        <w:tc>
          <w:tcPr>
            <w:tcW w:w="1844" w:type="dxa"/>
            <w:tcBorders>
              <w:top w:val="nil"/>
              <w:left w:val="nil"/>
              <w:bottom w:val="nil"/>
              <w:right w:val="single" w:sz="4" w:space="0" w:color="auto"/>
            </w:tcBorders>
            <w:shd w:val="clear" w:color="auto" w:fill="auto"/>
            <w:noWrap/>
            <w:vAlign w:val="bottom"/>
            <w:hideMark/>
          </w:tcPr>
          <w:p w14:paraId="262893C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7386</w:t>
            </w:r>
          </w:p>
        </w:tc>
      </w:tr>
      <w:tr w:rsidR="00530616" w:rsidRPr="006C2324" w14:paraId="4D175F33"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7D80CFF4"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Clozapine</w:t>
            </w:r>
            <w:proofErr w:type="spellEnd"/>
          </w:p>
        </w:tc>
        <w:tc>
          <w:tcPr>
            <w:tcW w:w="915" w:type="dxa"/>
            <w:tcBorders>
              <w:top w:val="nil"/>
              <w:left w:val="single" w:sz="4" w:space="0" w:color="auto"/>
              <w:bottom w:val="nil"/>
              <w:right w:val="nil"/>
            </w:tcBorders>
            <w:shd w:val="clear" w:color="auto" w:fill="auto"/>
            <w:noWrap/>
            <w:vAlign w:val="bottom"/>
            <w:hideMark/>
          </w:tcPr>
          <w:p w14:paraId="51B6BDF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2296</w:t>
            </w:r>
          </w:p>
        </w:tc>
        <w:tc>
          <w:tcPr>
            <w:tcW w:w="968" w:type="dxa"/>
            <w:tcBorders>
              <w:top w:val="nil"/>
              <w:left w:val="nil"/>
              <w:bottom w:val="nil"/>
              <w:right w:val="nil"/>
            </w:tcBorders>
            <w:shd w:val="clear" w:color="auto" w:fill="auto"/>
            <w:noWrap/>
            <w:vAlign w:val="bottom"/>
            <w:hideMark/>
          </w:tcPr>
          <w:p w14:paraId="6AA3D14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3996</w:t>
            </w:r>
          </w:p>
        </w:tc>
        <w:tc>
          <w:tcPr>
            <w:tcW w:w="1844" w:type="dxa"/>
            <w:tcBorders>
              <w:top w:val="nil"/>
              <w:left w:val="nil"/>
              <w:bottom w:val="nil"/>
              <w:right w:val="single" w:sz="4" w:space="0" w:color="auto"/>
            </w:tcBorders>
            <w:shd w:val="clear" w:color="auto" w:fill="auto"/>
            <w:noWrap/>
            <w:vAlign w:val="bottom"/>
            <w:hideMark/>
          </w:tcPr>
          <w:p w14:paraId="29A165D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11832</w:t>
            </w:r>
          </w:p>
        </w:tc>
        <w:tc>
          <w:tcPr>
            <w:tcW w:w="834" w:type="dxa"/>
            <w:tcBorders>
              <w:top w:val="nil"/>
              <w:left w:val="single" w:sz="4" w:space="0" w:color="auto"/>
              <w:bottom w:val="nil"/>
              <w:right w:val="nil"/>
            </w:tcBorders>
            <w:shd w:val="clear" w:color="auto" w:fill="auto"/>
            <w:noWrap/>
            <w:vAlign w:val="bottom"/>
            <w:hideMark/>
          </w:tcPr>
          <w:p w14:paraId="2FCDC8E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709</w:t>
            </w:r>
          </w:p>
        </w:tc>
        <w:tc>
          <w:tcPr>
            <w:tcW w:w="978" w:type="dxa"/>
            <w:tcBorders>
              <w:top w:val="nil"/>
              <w:left w:val="nil"/>
              <w:bottom w:val="nil"/>
              <w:right w:val="nil"/>
            </w:tcBorders>
            <w:shd w:val="clear" w:color="auto" w:fill="auto"/>
            <w:noWrap/>
            <w:vAlign w:val="bottom"/>
            <w:hideMark/>
          </w:tcPr>
          <w:p w14:paraId="04A0CB7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736</w:t>
            </w:r>
          </w:p>
        </w:tc>
        <w:tc>
          <w:tcPr>
            <w:tcW w:w="1844" w:type="dxa"/>
            <w:tcBorders>
              <w:top w:val="nil"/>
              <w:left w:val="nil"/>
              <w:bottom w:val="nil"/>
              <w:right w:val="single" w:sz="4" w:space="0" w:color="auto"/>
            </w:tcBorders>
            <w:shd w:val="clear" w:color="auto" w:fill="auto"/>
            <w:noWrap/>
            <w:vAlign w:val="bottom"/>
            <w:hideMark/>
          </w:tcPr>
          <w:p w14:paraId="27AA58A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2310</w:t>
            </w:r>
          </w:p>
        </w:tc>
      </w:tr>
      <w:tr w:rsidR="00530616" w:rsidRPr="006C2324" w14:paraId="7868537F"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14ABF648"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Olanzapine</w:t>
            </w:r>
            <w:proofErr w:type="spellEnd"/>
          </w:p>
        </w:tc>
        <w:tc>
          <w:tcPr>
            <w:tcW w:w="915" w:type="dxa"/>
            <w:tcBorders>
              <w:top w:val="nil"/>
              <w:left w:val="single" w:sz="4" w:space="0" w:color="auto"/>
              <w:bottom w:val="nil"/>
              <w:right w:val="nil"/>
            </w:tcBorders>
            <w:shd w:val="clear" w:color="auto" w:fill="auto"/>
            <w:noWrap/>
            <w:vAlign w:val="bottom"/>
            <w:hideMark/>
          </w:tcPr>
          <w:p w14:paraId="2413D7F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2576</w:t>
            </w:r>
          </w:p>
        </w:tc>
        <w:tc>
          <w:tcPr>
            <w:tcW w:w="968" w:type="dxa"/>
            <w:tcBorders>
              <w:top w:val="nil"/>
              <w:left w:val="nil"/>
              <w:bottom w:val="nil"/>
              <w:right w:val="nil"/>
            </w:tcBorders>
            <w:shd w:val="clear" w:color="auto" w:fill="auto"/>
            <w:noWrap/>
            <w:vAlign w:val="bottom"/>
            <w:hideMark/>
          </w:tcPr>
          <w:p w14:paraId="2850CDD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2400</w:t>
            </w:r>
          </w:p>
        </w:tc>
        <w:tc>
          <w:tcPr>
            <w:tcW w:w="1844" w:type="dxa"/>
            <w:tcBorders>
              <w:top w:val="nil"/>
              <w:left w:val="nil"/>
              <w:bottom w:val="nil"/>
              <w:right w:val="single" w:sz="4" w:space="0" w:color="auto"/>
            </w:tcBorders>
            <w:shd w:val="clear" w:color="auto" w:fill="auto"/>
            <w:noWrap/>
            <w:vAlign w:val="bottom"/>
            <w:hideMark/>
          </w:tcPr>
          <w:p w14:paraId="3EF6546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7613</w:t>
            </w:r>
          </w:p>
        </w:tc>
        <w:tc>
          <w:tcPr>
            <w:tcW w:w="834" w:type="dxa"/>
            <w:tcBorders>
              <w:top w:val="nil"/>
              <w:left w:val="single" w:sz="4" w:space="0" w:color="auto"/>
              <w:bottom w:val="nil"/>
              <w:right w:val="nil"/>
            </w:tcBorders>
            <w:shd w:val="clear" w:color="auto" w:fill="auto"/>
            <w:noWrap/>
            <w:vAlign w:val="bottom"/>
            <w:hideMark/>
          </w:tcPr>
          <w:p w14:paraId="0B11BBD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1592</w:t>
            </w:r>
          </w:p>
        </w:tc>
        <w:tc>
          <w:tcPr>
            <w:tcW w:w="978" w:type="dxa"/>
            <w:tcBorders>
              <w:top w:val="nil"/>
              <w:left w:val="nil"/>
              <w:bottom w:val="nil"/>
              <w:right w:val="nil"/>
            </w:tcBorders>
            <w:shd w:val="clear" w:color="auto" w:fill="auto"/>
            <w:noWrap/>
            <w:vAlign w:val="bottom"/>
            <w:hideMark/>
          </w:tcPr>
          <w:p w14:paraId="425F92E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1028</w:t>
            </w:r>
          </w:p>
        </w:tc>
        <w:tc>
          <w:tcPr>
            <w:tcW w:w="1844" w:type="dxa"/>
            <w:tcBorders>
              <w:top w:val="nil"/>
              <w:left w:val="nil"/>
              <w:bottom w:val="nil"/>
              <w:right w:val="single" w:sz="4" w:space="0" w:color="auto"/>
            </w:tcBorders>
            <w:shd w:val="clear" w:color="auto" w:fill="auto"/>
            <w:noWrap/>
            <w:vAlign w:val="bottom"/>
            <w:hideMark/>
          </w:tcPr>
          <w:p w14:paraId="6792739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3060</w:t>
            </w:r>
          </w:p>
        </w:tc>
      </w:tr>
      <w:tr w:rsidR="00530616" w:rsidRPr="006C2324" w14:paraId="5154B66E"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55581676"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Quetiapine</w:t>
            </w:r>
            <w:proofErr w:type="spellEnd"/>
          </w:p>
        </w:tc>
        <w:tc>
          <w:tcPr>
            <w:tcW w:w="915" w:type="dxa"/>
            <w:tcBorders>
              <w:top w:val="nil"/>
              <w:left w:val="single" w:sz="4" w:space="0" w:color="auto"/>
              <w:bottom w:val="nil"/>
              <w:right w:val="nil"/>
            </w:tcBorders>
            <w:shd w:val="clear" w:color="auto" w:fill="auto"/>
            <w:noWrap/>
            <w:vAlign w:val="bottom"/>
            <w:hideMark/>
          </w:tcPr>
          <w:p w14:paraId="2F62994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2051</w:t>
            </w:r>
          </w:p>
        </w:tc>
        <w:tc>
          <w:tcPr>
            <w:tcW w:w="968" w:type="dxa"/>
            <w:tcBorders>
              <w:top w:val="nil"/>
              <w:left w:val="nil"/>
              <w:bottom w:val="nil"/>
              <w:right w:val="nil"/>
            </w:tcBorders>
            <w:shd w:val="clear" w:color="auto" w:fill="auto"/>
            <w:noWrap/>
            <w:vAlign w:val="bottom"/>
            <w:hideMark/>
          </w:tcPr>
          <w:p w14:paraId="749F7F5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1321</w:t>
            </w:r>
          </w:p>
        </w:tc>
        <w:tc>
          <w:tcPr>
            <w:tcW w:w="1844" w:type="dxa"/>
            <w:tcBorders>
              <w:top w:val="nil"/>
              <w:left w:val="nil"/>
              <w:bottom w:val="nil"/>
              <w:right w:val="single" w:sz="4" w:space="0" w:color="auto"/>
            </w:tcBorders>
            <w:shd w:val="clear" w:color="auto" w:fill="auto"/>
            <w:noWrap/>
            <w:vAlign w:val="bottom"/>
            <w:hideMark/>
          </w:tcPr>
          <w:p w14:paraId="25E586E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4196</w:t>
            </w:r>
          </w:p>
        </w:tc>
        <w:tc>
          <w:tcPr>
            <w:tcW w:w="834" w:type="dxa"/>
            <w:tcBorders>
              <w:top w:val="nil"/>
              <w:left w:val="single" w:sz="4" w:space="0" w:color="auto"/>
              <w:bottom w:val="nil"/>
              <w:right w:val="nil"/>
            </w:tcBorders>
            <w:shd w:val="clear" w:color="auto" w:fill="auto"/>
            <w:noWrap/>
            <w:vAlign w:val="bottom"/>
            <w:hideMark/>
          </w:tcPr>
          <w:p w14:paraId="7173F77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878</w:t>
            </w:r>
          </w:p>
        </w:tc>
        <w:tc>
          <w:tcPr>
            <w:tcW w:w="978" w:type="dxa"/>
            <w:tcBorders>
              <w:top w:val="nil"/>
              <w:left w:val="nil"/>
              <w:bottom w:val="nil"/>
              <w:right w:val="nil"/>
            </w:tcBorders>
            <w:shd w:val="clear" w:color="auto" w:fill="auto"/>
            <w:noWrap/>
            <w:vAlign w:val="bottom"/>
            <w:hideMark/>
          </w:tcPr>
          <w:p w14:paraId="08EA9ED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465</w:t>
            </w:r>
          </w:p>
        </w:tc>
        <w:tc>
          <w:tcPr>
            <w:tcW w:w="1844" w:type="dxa"/>
            <w:tcBorders>
              <w:top w:val="nil"/>
              <w:left w:val="nil"/>
              <w:bottom w:val="nil"/>
              <w:right w:val="single" w:sz="4" w:space="0" w:color="auto"/>
            </w:tcBorders>
            <w:shd w:val="clear" w:color="auto" w:fill="auto"/>
            <w:noWrap/>
            <w:vAlign w:val="bottom"/>
            <w:hideMark/>
          </w:tcPr>
          <w:p w14:paraId="2BDCD14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1116</w:t>
            </w:r>
          </w:p>
        </w:tc>
      </w:tr>
      <w:tr w:rsidR="00530616" w:rsidRPr="006C2324" w14:paraId="598057AE"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39E7718E"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Risperidone</w:t>
            </w:r>
            <w:proofErr w:type="spellEnd"/>
          </w:p>
        </w:tc>
        <w:tc>
          <w:tcPr>
            <w:tcW w:w="915" w:type="dxa"/>
            <w:tcBorders>
              <w:top w:val="nil"/>
              <w:left w:val="single" w:sz="4" w:space="0" w:color="auto"/>
              <w:bottom w:val="nil"/>
              <w:right w:val="nil"/>
            </w:tcBorders>
            <w:shd w:val="clear" w:color="auto" w:fill="auto"/>
            <w:noWrap/>
            <w:vAlign w:val="bottom"/>
            <w:hideMark/>
          </w:tcPr>
          <w:p w14:paraId="7EFC150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1493</w:t>
            </w:r>
          </w:p>
        </w:tc>
        <w:tc>
          <w:tcPr>
            <w:tcW w:w="968" w:type="dxa"/>
            <w:tcBorders>
              <w:top w:val="nil"/>
              <w:left w:val="nil"/>
              <w:bottom w:val="nil"/>
              <w:right w:val="nil"/>
            </w:tcBorders>
            <w:shd w:val="clear" w:color="auto" w:fill="auto"/>
            <w:noWrap/>
            <w:vAlign w:val="bottom"/>
            <w:hideMark/>
          </w:tcPr>
          <w:p w14:paraId="27BF691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981</w:t>
            </w:r>
          </w:p>
        </w:tc>
        <w:tc>
          <w:tcPr>
            <w:tcW w:w="1844" w:type="dxa"/>
            <w:tcBorders>
              <w:top w:val="nil"/>
              <w:left w:val="nil"/>
              <w:bottom w:val="nil"/>
              <w:right w:val="single" w:sz="4" w:space="0" w:color="auto"/>
            </w:tcBorders>
            <w:shd w:val="clear" w:color="auto" w:fill="auto"/>
            <w:noWrap/>
            <w:vAlign w:val="bottom"/>
            <w:hideMark/>
          </w:tcPr>
          <w:p w14:paraId="7530409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2796</w:t>
            </w:r>
          </w:p>
        </w:tc>
        <w:tc>
          <w:tcPr>
            <w:tcW w:w="834" w:type="dxa"/>
            <w:tcBorders>
              <w:top w:val="nil"/>
              <w:left w:val="single" w:sz="4" w:space="0" w:color="auto"/>
              <w:bottom w:val="nil"/>
              <w:right w:val="nil"/>
            </w:tcBorders>
            <w:shd w:val="clear" w:color="auto" w:fill="auto"/>
            <w:noWrap/>
            <w:vAlign w:val="bottom"/>
            <w:hideMark/>
          </w:tcPr>
          <w:p w14:paraId="572AF6D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771</w:t>
            </w:r>
          </w:p>
        </w:tc>
        <w:tc>
          <w:tcPr>
            <w:tcW w:w="978" w:type="dxa"/>
            <w:tcBorders>
              <w:top w:val="nil"/>
              <w:left w:val="nil"/>
              <w:bottom w:val="nil"/>
              <w:right w:val="nil"/>
            </w:tcBorders>
            <w:shd w:val="clear" w:color="auto" w:fill="auto"/>
            <w:noWrap/>
            <w:vAlign w:val="bottom"/>
            <w:hideMark/>
          </w:tcPr>
          <w:p w14:paraId="264D48A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450</w:t>
            </w:r>
          </w:p>
        </w:tc>
        <w:tc>
          <w:tcPr>
            <w:tcW w:w="1844" w:type="dxa"/>
            <w:tcBorders>
              <w:top w:val="nil"/>
              <w:left w:val="nil"/>
              <w:bottom w:val="nil"/>
              <w:right w:val="single" w:sz="4" w:space="0" w:color="auto"/>
            </w:tcBorders>
            <w:shd w:val="clear" w:color="auto" w:fill="auto"/>
            <w:noWrap/>
            <w:vAlign w:val="bottom"/>
            <w:hideMark/>
          </w:tcPr>
          <w:p w14:paraId="7DE8729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1440</w:t>
            </w:r>
          </w:p>
        </w:tc>
      </w:tr>
      <w:tr w:rsidR="00530616" w:rsidRPr="006C2324" w14:paraId="27577FAC"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2BB085CE"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Aripiprazole</w:t>
            </w:r>
            <w:proofErr w:type="spellEnd"/>
          </w:p>
        </w:tc>
        <w:tc>
          <w:tcPr>
            <w:tcW w:w="915" w:type="dxa"/>
            <w:tcBorders>
              <w:top w:val="nil"/>
              <w:left w:val="single" w:sz="4" w:space="0" w:color="auto"/>
              <w:bottom w:val="nil"/>
              <w:right w:val="nil"/>
            </w:tcBorders>
            <w:shd w:val="clear" w:color="auto" w:fill="auto"/>
            <w:noWrap/>
            <w:vAlign w:val="bottom"/>
            <w:hideMark/>
          </w:tcPr>
          <w:p w14:paraId="2E09F04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687</w:t>
            </w:r>
          </w:p>
        </w:tc>
        <w:tc>
          <w:tcPr>
            <w:tcW w:w="968" w:type="dxa"/>
            <w:tcBorders>
              <w:top w:val="nil"/>
              <w:left w:val="nil"/>
              <w:bottom w:val="nil"/>
              <w:right w:val="nil"/>
            </w:tcBorders>
            <w:shd w:val="clear" w:color="auto" w:fill="auto"/>
            <w:noWrap/>
            <w:vAlign w:val="bottom"/>
            <w:hideMark/>
          </w:tcPr>
          <w:p w14:paraId="4E538F5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307</w:t>
            </w:r>
          </w:p>
        </w:tc>
        <w:tc>
          <w:tcPr>
            <w:tcW w:w="1844" w:type="dxa"/>
            <w:tcBorders>
              <w:top w:val="nil"/>
              <w:left w:val="nil"/>
              <w:bottom w:val="nil"/>
              <w:right w:val="single" w:sz="4" w:space="0" w:color="auto"/>
            </w:tcBorders>
            <w:shd w:val="clear" w:color="auto" w:fill="auto"/>
            <w:noWrap/>
            <w:vAlign w:val="bottom"/>
            <w:hideMark/>
          </w:tcPr>
          <w:p w14:paraId="76AFA5C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779</w:t>
            </w:r>
          </w:p>
        </w:tc>
        <w:tc>
          <w:tcPr>
            <w:tcW w:w="834" w:type="dxa"/>
            <w:tcBorders>
              <w:top w:val="nil"/>
              <w:left w:val="single" w:sz="4" w:space="0" w:color="auto"/>
              <w:bottom w:val="nil"/>
              <w:right w:val="nil"/>
            </w:tcBorders>
            <w:shd w:val="clear" w:color="auto" w:fill="auto"/>
            <w:noWrap/>
            <w:vAlign w:val="bottom"/>
            <w:hideMark/>
          </w:tcPr>
          <w:p w14:paraId="4B775F3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838</w:t>
            </w:r>
          </w:p>
        </w:tc>
        <w:tc>
          <w:tcPr>
            <w:tcW w:w="978" w:type="dxa"/>
            <w:tcBorders>
              <w:top w:val="nil"/>
              <w:left w:val="nil"/>
              <w:bottom w:val="nil"/>
              <w:right w:val="nil"/>
            </w:tcBorders>
            <w:shd w:val="clear" w:color="auto" w:fill="auto"/>
            <w:noWrap/>
            <w:vAlign w:val="bottom"/>
            <w:hideMark/>
          </w:tcPr>
          <w:p w14:paraId="3D8D9DE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500</w:t>
            </w:r>
          </w:p>
        </w:tc>
        <w:tc>
          <w:tcPr>
            <w:tcW w:w="1844" w:type="dxa"/>
            <w:tcBorders>
              <w:top w:val="nil"/>
              <w:left w:val="nil"/>
              <w:bottom w:val="nil"/>
              <w:right w:val="single" w:sz="4" w:space="0" w:color="auto"/>
            </w:tcBorders>
            <w:shd w:val="clear" w:color="auto" w:fill="auto"/>
            <w:noWrap/>
            <w:vAlign w:val="bottom"/>
            <w:hideMark/>
          </w:tcPr>
          <w:p w14:paraId="7CF03CC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1177</w:t>
            </w:r>
          </w:p>
        </w:tc>
      </w:tr>
      <w:tr w:rsidR="00530616" w:rsidRPr="006C2324" w14:paraId="723CEC7F"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62C9AEF1"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AP </w:t>
            </w:r>
            <w:proofErr w:type="spellStart"/>
            <w:r w:rsidRPr="006C2324">
              <w:rPr>
                <w:rFonts w:eastAsia="Times New Roman"/>
                <w:color w:val="000000"/>
                <w:lang w:val="fi-FI" w:eastAsia="fi-FI"/>
              </w:rPr>
              <w:t>Polytherapy</w:t>
            </w:r>
            <w:proofErr w:type="spellEnd"/>
          </w:p>
        </w:tc>
        <w:tc>
          <w:tcPr>
            <w:tcW w:w="915" w:type="dxa"/>
            <w:tcBorders>
              <w:top w:val="nil"/>
              <w:left w:val="single" w:sz="4" w:space="0" w:color="auto"/>
              <w:bottom w:val="nil"/>
              <w:right w:val="nil"/>
            </w:tcBorders>
            <w:shd w:val="clear" w:color="auto" w:fill="auto"/>
            <w:noWrap/>
            <w:vAlign w:val="bottom"/>
            <w:hideMark/>
          </w:tcPr>
          <w:p w14:paraId="6E493C0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6300</w:t>
            </w:r>
          </w:p>
        </w:tc>
        <w:tc>
          <w:tcPr>
            <w:tcW w:w="968" w:type="dxa"/>
            <w:tcBorders>
              <w:top w:val="nil"/>
              <w:left w:val="nil"/>
              <w:bottom w:val="nil"/>
              <w:right w:val="nil"/>
            </w:tcBorders>
            <w:shd w:val="clear" w:color="auto" w:fill="auto"/>
            <w:noWrap/>
            <w:vAlign w:val="bottom"/>
            <w:hideMark/>
          </w:tcPr>
          <w:p w14:paraId="0A8FADC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16367</w:t>
            </w:r>
          </w:p>
        </w:tc>
        <w:tc>
          <w:tcPr>
            <w:tcW w:w="1844" w:type="dxa"/>
            <w:tcBorders>
              <w:top w:val="nil"/>
              <w:left w:val="nil"/>
              <w:bottom w:val="nil"/>
              <w:right w:val="single" w:sz="4" w:space="0" w:color="auto"/>
            </w:tcBorders>
            <w:shd w:val="clear" w:color="auto" w:fill="auto"/>
            <w:noWrap/>
            <w:vAlign w:val="bottom"/>
            <w:hideMark/>
          </w:tcPr>
          <w:p w14:paraId="450AAD2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32176</w:t>
            </w:r>
          </w:p>
        </w:tc>
        <w:tc>
          <w:tcPr>
            <w:tcW w:w="834" w:type="dxa"/>
            <w:tcBorders>
              <w:top w:val="nil"/>
              <w:left w:val="single" w:sz="4" w:space="0" w:color="auto"/>
              <w:bottom w:val="nil"/>
              <w:right w:val="nil"/>
            </w:tcBorders>
            <w:shd w:val="clear" w:color="auto" w:fill="auto"/>
            <w:noWrap/>
            <w:vAlign w:val="bottom"/>
            <w:hideMark/>
          </w:tcPr>
          <w:p w14:paraId="45A135F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3286</w:t>
            </w:r>
          </w:p>
        </w:tc>
        <w:tc>
          <w:tcPr>
            <w:tcW w:w="978" w:type="dxa"/>
            <w:tcBorders>
              <w:top w:val="nil"/>
              <w:left w:val="nil"/>
              <w:bottom w:val="nil"/>
              <w:right w:val="nil"/>
            </w:tcBorders>
            <w:shd w:val="clear" w:color="auto" w:fill="auto"/>
            <w:noWrap/>
            <w:vAlign w:val="bottom"/>
            <w:hideMark/>
          </w:tcPr>
          <w:p w14:paraId="54A0102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6625</w:t>
            </w:r>
          </w:p>
        </w:tc>
        <w:tc>
          <w:tcPr>
            <w:tcW w:w="1844" w:type="dxa"/>
            <w:tcBorders>
              <w:top w:val="nil"/>
              <w:left w:val="nil"/>
              <w:bottom w:val="nil"/>
              <w:right w:val="single" w:sz="4" w:space="0" w:color="auto"/>
            </w:tcBorders>
            <w:shd w:val="clear" w:color="auto" w:fill="auto"/>
            <w:noWrap/>
            <w:vAlign w:val="bottom"/>
            <w:hideMark/>
          </w:tcPr>
          <w:p w14:paraId="1B99B18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11213</w:t>
            </w:r>
          </w:p>
        </w:tc>
      </w:tr>
      <w:tr w:rsidR="00530616" w:rsidRPr="006C2324" w14:paraId="17502C10" w14:textId="77777777" w:rsidTr="00530616">
        <w:trPr>
          <w:trHeight w:val="300"/>
        </w:trPr>
        <w:tc>
          <w:tcPr>
            <w:tcW w:w="2589" w:type="dxa"/>
            <w:tcBorders>
              <w:top w:val="nil"/>
              <w:left w:val="single" w:sz="4" w:space="0" w:color="auto"/>
              <w:right w:val="single" w:sz="4" w:space="0" w:color="auto"/>
            </w:tcBorders>
            <w:shd w:val="clear" w:color="auto" w:fill="auto"/>
            <w:noWrap/>
            <w:vAlign w:val="bottom"/>
            <w:hideMark/>
          </w:tcPr>
          <w:p w14:paraId="2649BD86"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Other</w:t>
            </w:r>
            <w:proofErr w:type="spellEnd"/>
            <w:r w:rsidRPr="006C2324">
              <w:rPr>
                <w:rFonts w:eastAsia="Times New Roman"/>
                <w:color w:val="000000"/>
                <w:lang w:val="fi-FI" w:eastAsia="fi-FI"/>
              </w:rPr>
              <w:t xml:space="preserve"> </w:t>
            </w:r>
            <w:proofErr w:type="spellStart"/>
            <w:r w:rsidRPr="006C2324">
              <w:rPr>
                <w:rFonts w:eastAsia="Times New Roman"/>
                <w:color w:val="000000"/>
                <w:lang w:val="fi-FI" w:eastAsia="fi-FI"/>
              </w:rPr>
              <w:t>oral</w:t>
            </w:r>
            <w:proofErr w:type="spellEnd"/>
            <w:r w:rsidRPr="006C2324">
              <w:rPr>
                <w:rFonts w:eastAsia="Times New Roman"/>
                <w:color w:val="000000"/>
                <w:lang w:val="fi-FI" w:eastAsia="fi-FI"/>
              </w:rPr>
              <w:t xml:space="preserve"> AP</w:t>
            </w:r>
          </w:p>
        </w:tc>
        <w:tc>
          <w:tcPr>
            <w:tcW w:w="915" w:type="dxa"/>
            <w:tcBorders>
              <w:top w:val="nil"/>
              <w:left w:val="single" w:sz="4" w:space="0" w:color="auto"/>
              <w:right w:val="nil"/>
            </w:tcBorders>
            <w:shd w:val="clear" w:color="auto" w:fill="auto"/>
            <w:noWrap/>
            <w:vAlign w:val="bottom"/>
            <w:hideMark/>
          </w:tcPr>
          <w:p w14:paraId="75F87B0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2747</w:t>
            </w:r>
          </w:p>
        </w:tc>
        <w:tc>
          <w:tcPr>
            <w:tcW w:w="968" w:type="dxa"/>
            <w:tcBorders>
              <w:top w:val="nil"/>
              <w:left w:val="nil"/>
              <w:right w:val="nil"/>
            </w:tcBorders>
            <w:shd w:val="clear" w:color="auto" w:fill="auto"/>
            <w:noWrap/>
            <w:vAlign w:val="bottom"/>
            <w:hideMark/>
          </w:tcPr>
          <w:p w14:paraId="58954C2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2045</w:t>
            </w:r>
          </w:p>
        </w:tc>
        <w:tc>
          <w:tcPr>
            <w:tcW w:w="1844" w:type="dxa"/>
            <w:tcBorders>
              <w:top w:val="nil"/>
              <w:left w:val="nil"/>
              <w:right w:val="single" w:sz="4" w:space="0" w:color="auto"/>
            </w:tcBorders>
            <w:shd w:val="clear" w:color="auto" w:fill="auto"/>
            <w:noWrap/>
            <w:vAlign w:val="bottom"/>
            <w:hideMark/>
          </w:tcPr>
          <w:p w14:paraId="729686F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5312</w:t>
            </w:r>
          </w:p>
        </w:tc>
        <w:tc>
          <w:tcPr>
            <w:tcW w:w="834" w:type="dxa"/>
            <w:tcBorders>
              <w:top w:val="nil"/>
              <w:left w:val="single" w:sz="4" w:space="0" w:color="auto"/>
              <w:right w:val="nil"/>
            </w:tcBorders>
            <w:shd w:val="clear" w:color="auto" w:fill="auto"/>
            <w:noWrap/>
            <w:vAlign w:val="bottom"/>
            <w:hideMark/>
          </w:tcPr>
          <w:p w14:paraId="13C5CBE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1396</w:t>
            </w:r>
          </w:p>
        </w:tc>
        <w:tc>
          <w:tcPr>
            <w:tcW w:w="978" w:type="dxa"/>
            <w:tcBorders>
              <w:top w:val="nil"/>
              <w:left w:val="nil"/>
              <w:right w:val="nil"/>
            </w:tcBorders>
            <w:shd w:val="clear" w:color="auto" w:fill="auto"/>
            <w:noWrap/>
            <w:vAlign w:val="bottom"/>
            <w:hideMark/>
          </w:tcPr>
          <w:p w14:paraId="262BA8F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990</w:t>
            </w:r>
          </w:p>
        </w:tc>
        <w:tc>
          <w:tcPr>
            <w:tcW w:w="1844" w:type="dxa"/>
            <w:tcBorders>
              <w:top w:val="nil"/>
              <w:left w:val="nil"/>
              <w:right w:val="single" w:sz="4" w:space="0" w:color="auto"/>
            </w:tcBorders>
            <w:shd w:val="clear" w:color="auto" w:fill="auto"/>
            <w:noWrap/>
            <w:vAlign w:val="bottom"/>
            <w:hideMark/>
          </w:tcPr>
          <w:p w14:paraId="73FEF6D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1955</w:t>
            </w:r>
          </w:p>
        </w:tc>
      </w:tr>
      <w:tr w:rsidR="00530616" w:rsidRPr="006C2324" w14:paraId="74761358" w14:textId="77777777" w:rsidTr="00530616">
        <w:trPr>
          <w:trHeight w:val="300"/>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14:paraId="79B71DD4"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Any</w:t>
            </w:r>
            <w:proofErr w:type="spellEnd"/>
            <w:r w:rsidRPr="006C2324">
              <w:rPr>
                <w:rFonts w:eastAsia="Times New Roman"/>
                <w:color w:val="000000"/>
                <w:lang w:val="fi-FI" w:eastAsia="fi-FI"/>
              </w:rPr>
              <w:t xml:space="preserve"> LAI</w:t>
            </w:r>
          </w:p>
        </w:tc>
        <w:tc>
          <w:tcPr>
            <w:tcW w:w="915" w:type="dxa"/>
            <w:tcBorders>
              <w:top w:val="nil"/>
              <w:left w:val="single" w:sz="4" w:space="0" w:color="auto"/>
              <w:bottom w:val="single" w:sz="4" w:space="0" w:color="auto"/>
              <w:right w:val="nil"/>
            </w:tcBorders>
            <w:shd w:val="clear" w:color="auto" w:fill="auto"/>
            <w:noWrap/>
            <w:vAlign w:val="bottom"/>
            <w:hideMark/>
          </w:tcPr>
          <w:p w14:paraId="01003AD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1847</w:t>
            </w:r>
          </w:p>
        </w:tc>
        <w:tc>
          <w:tcPr>
            <w:tcW w:w="968" w:type="dxa"/>
            <w:tcBorders>
              <w:top w:val="nil"/>
              <w:left w:val="nil"/>
              <w:bottom w:val="single" w:sz="4" w:space="0" w:color="auto"/>
              <w:right w:val="nil"/>
            </w:tcBorders>
            <w:shd w:val="clear" w:color="auto" w:fill="auto"/>
            <w:noWrap/>
            <w:vAlign w:val="bottom"/>
            <w:hideMark/>
          </w:tcPr>
          <w:p w14:paraId="00DD0D8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1631</w:t>
            </w:r>
          </w:p>
        </w:tc>
        <w:tc>
          <w:tcPr>
            <w:tcW w:w="1844" w:type="dxa"/>
            <w:tcBorders>
              <w:top w:val="nil"/>
              <w:left w:val="nil"/>
              <w:bottom w:val="single" w:sz="4" w:space="0" w:color="auto"/>
              <w:right w:val="single" w:sz="4" w:space="0" w:color="auto"/>
            </w:tcBorders>
            <w:shd w:val="clear" w:color="auto" w:fill="auto"/>
            <w:noWrap/>
            <w:vAlign w:val="bottom"/>
            <w:hideMark/>
          </w:tcPr>
          <w:p w14:paraId="3B5C2D2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4357</w:t>
            </w:r>
          </w:p>
        </w:tc>
        <w:tc>
          <w:tcPr>
            <w:tcW w:w="834" w:type="dxa"/>
            <w:tcBorders>
              <w:top w:val="nil"/>
              <w:left w:val="single" w:sz="4" w:space="0" w:color="auto"/>
              <w:bottom w:val="single" w:sz="4" w:space="0" w:color="auto"/>
              <w:right w:val="nil"/>
            </w:tcBorders>
            <w:shd w:val="clear" w:color="auto" w:fill="auto"/>
            <w:noWrap/>
            <w:vAlign w:val="bottom"/>
            <w:hideMark/>
          </w:tcPr>
          <w:p w14:paraId="5A3D69A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1616</w:t>
            </w:r>
          </w:p>
        </w:tc>
        <w:tc>
          <w:tcPr>
            <w:tcW w:w="978" w:type="dxa"/>
            <w:tcBorders>
              <w:top w:val="nil"/>
              <w:left w:val="nil"/>
              <w:bottom w:val="single" w:sz="4" w:space="0" w:color="auto"/>
              <w:right w:val="nil"/>
            </w:tcBorders>
            <w:shd w:val="clear" w:color="auto" w:fill="auto"/>
            <w:noWrap/>
            <w:vAlign w:val="bottom"/>
            <w:hideMark/>
          </w:tcPr>
          <w:p w14:paraId="010BF30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1597</w:t>
            </w:r>
          </w:p>
        </w:tc>
        <w:tc>
          <w:tcPr>
            <w:tcW w:w="1844" w:type="dxa"/>
            <w:tcBorders>
              <w:top w:val="nil"/>
              <w:left w:val="nil"/>
              <w:bottom w:val="single" w:sz="4" w:space="0" w:color="auto"/>
              <w:right w:val="single" w:sz="4" w:space="0" w:color="auto"/>
            </w:tcBorders>
            <w:shd w:val="clear" w:color="auto" w:fill="auto"/>
            <w:noWrap/>
            <w:vAlign w:val="bottom"/>
            <w:hideMark/>
          </w:tcPr>
          <w:p w14:paraId="427743F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3172</w:t>
            </w:r>
          </w:p>
        </w:tc>
      </w:tr>
      <w:tr w:rsidR="006C2324" w:rsidRPr="006C2324" w14:paraId="2CC2D45B" w14:textId="77777777" w:rsidTr="00207175">
        <w:trPr>
          <w:trHeight w:val="300"/>
        </w:trPr>
        <w:tc>
          <w:tcPr>
            <w:tcW w:w="7150" w:type="dxa"/>
            <w:gridSpan w:val="5"/>
            <w:tcBorders>
              <w:top w:val="single" w:sz="4" w:space="0" w:color="auto"/>
              <w:left w:val="single" w:sz="4" w:space="0" w:color="auto"/>
              <w:bottom w:val="nil"/>
              <w:right w:val="nil"/>
            </w:tcBorders>
            <w:shd w:val="clear" w:color="auto" w:fill="auto"/>
            <w:noWrap/>
            <w:vAlign w:val="bottom"/>
            <w:hideMark/>
          </w:tcPr>
          <w:p w14:paraId="70D1155F" w14:textId="77777777" w:rsidR="006C2324" w:rsidRPr="00207175" w:rsidRDefault="006C2324" w:rsidP="006C2324">
            <w:pPr>
              <w:spacing w:after="0" w:line="240" w:lineRule="auto"/>
              <w:rPr>
                <w:rFonts w:eastAsia="Times New Roman"/>
                <w:color w:val="000000"/>
                <w:lang w:eastAsia="fi-FI"/>
              </w:rPr>
            </w:pPr>
            <w:r w:rsidRPr="00207175">
              <w:rPr>
                <w:rFonts w:eastAsia="Times New Roman"/>
                <w:color w:val="000000"/>
                <w:lang w:eastAsia="fi-FI"/>
              </w:rPr>
              <w:t>Risk of hospitalization due to SUD, in those with SUD</w:t>
            </w:r>
          </w:p>
        </w:tc>
        <w:tc>
          <w:tcPr>
            <w:tcW w:w="978" w:type="dxa"/>
            <w:tcBorders>
              <w:top w:val="single" w:sz="4" w:space="0" w:color="auto"/>
              <w:left w:val="nil"/>
              <w:bottom w:val="nil"/>
              <w:right w:val="nil"/>
            </w:tcBorders>
            <w:shd w:val="clear" w:color="auto" w:fill="auto"/>
            <w:noWrap/>
            <w:vAlign w:val="bottom"/>
            <w:hideMark/>
          </w:tcPr>
          <w:p w14:paraId="202DC7D6" w14:textId="77777777" w:rsidR="006C2324" w:rsidRPr="00207175" w:rsidRDefault="006C2324" w:rsidP="006C2324">
            <w:pPr>
              <w:spacing w:after="0" w:line="240" w:lineRule="auto"/>
              <w:rPr>
                <w:rFonts w:eastAsia="Times New Roman"/>
                <w:color w:val="000000"/>
                <w:lang w:eastAsia="fi-FI"/>
              </w:rPr>
            </w:pPr>
          </w:p>
        </w:tc>
        <w:tc>
          <w:tcPr>
            <w:tcW w:w="1844" w:type="dxa"/>
            <w:tcBorders>
              <w:top w:val="single" w:sz="4" w:space="0" w:color="auto"/>
              <w:left w:val="nil"/>
              <w:bottom w:val="nil"/>
              <w:right w:val="single" w:sz="4" w:space="0" w:color="auto"/>
            </w:tcBorders>
            <w:shd w:val="clear" w:color="auto" w:fill="auto"/>
            <w:noWrap/>
            <w:vAlign w:val="bottom"/>
            <w:hideMark/>
          </w:tcPr>
          <w:p w14:paraId="17582CFE" w14:textId="77777777" w:rsidR="006C2324" w:rsidRPr="00207175" w:rsidRDefault="006C2324" w:rsidP="006C2324">
            <w:pPr>
              <w:spacing w:after="0" w:line="240" w:lineRule="auto"/>
              <w:rPr>
                <w:rFonts w:ascii="Times New Roman" w:eastAsia="Times New Roman" w:hAnsi="Times New Roman" w:cs="Times New Roman"/>
                <w:sz w:val="20"/>
                <w:szCs w:val="20"/>
                <w:lang w:eastAsia="fi-FI"/>
              </w:rPr>
            </w:pPr>
          </w:p>
        </w:tc>
      </w:tr>
      <w:tr w:rsidR="00530616" w:rsidRPr="006C2324" w14:paraId="70B940DF"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495976DB" w14:textId="77777777" w:rsidR="006C2324" w:rsidRPr="006C2324" w:rsidRDefault="006C2324" w:rsidP="006C2324">
            <w:pPr>
              <w:spacing w:after="0" w:line="240" w:lineRule="auto"/>
              <w:rPr>
                <w:rFonts w:eastAsia="Times New Roman"/>
                <w:color w:val="000000"/>
                <w:lang w:val="fi-FI" w:eastAsia="fi-FI"/>
              </w:rPr>
            </w:pPr>
            <w:r w:rsidRPr="00207175">
              <w:rPr>
                <w:rFonts w:eastAsia="Times New Roman"/>
                <w:color w:val="000000"/>
                <w:lang w:eastAsia="fi-FI"/>
              </w:rPr>
              <w:t xml:space="preserve">   </w:t>
            </w:r>
            <w:r w:rsidRPr="006C2324">
              <w:rPr>
                <w:rFonts w:eastAsia="Times New Roman"/>
                <w:color w:val="000000"/>
                <w:lang w:val="fi-FI" w:eastAsia="fi-FI"/>
              </w:rPr>
              <w:t xml:space="preserve">No </w:t>
            </w:r>
            <w:proofErr w:type="spellStart"/>
            <w:r w:rsidRPr="006C2324">
              <w:rPr>
                <w:rFonts w:eastAsia="Times New Roman"/>
                <w:color w:val="000000"/>
                <w:lang w:val="fi-FI" w:eastAsia="fi-FI"/>
              </w:rPr>
              <w:t>antipsychotic</w:t>
            </w:r>
            <w:proofErr w:type="spellEnd"/>
          </w:p>
        </w:tc>
        <w:tc>
          <w:tcPr>
            <w:tcW w:w="915" w:type="dxa"/>
            <w:tcBorders>
              <w:top w:val="nil"/>
              <w:left w:val="single" w:sz="4" w:space="0" w:color="auto"/>
              <w:bottom w:val="nil"/>
              <w:right w:val="nil"/>
            </w:tcBorders>
            <w:shd w:val="clear" w:color="auto" w:fill="auto"/>
            <w:noWrap/>
            <w:vAlign w:val="bottom"/>
            <w:hideMark/>
          </w:tcPr>
          <w:p w14:paraId="08319A8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6157</w:t>
            </w:r>
          </w:p>
        </w:tc>
        <w:tc>
          <w:tcPr>
            <w:tcW w:w="968" w:type="dxa"/>
            <w:tcBorders>
              <w:top w:val="nil"/>
              <w:left w:val="nil"/>
              <w:bottom w:val="nil"/>
              <w:right w:val="nil"/>
            </w:tcBorders>
            <w:shd w:val="clear" w:color="auto" w:fill="auto"/>
            <w:noWrap/>
            <w:vAlign w:val="bottom"/>
            <w:hideMark/>
          </w:tcPr>
          <w:p w14:paraId="7203221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5258</w:t>
            </w:r>
          </w:p>
        </w:tc>
        <w:tc>
          <w:tcPr>
            <w:tcW w:w="1844" w:type="dxa"/>
            <w:tcBorders>
              <w:top w:val="nil"/>
              <w:left w:val="nil"/>
              <w:bottom w:val="nil"/>
              <w:right w:val="single" w:sz="4" w:space="0" w:color="auto"/>
            </w:tcBorders>
            <w:shd w:val="clear" w:color="auto" w:fill="auto"/>
            <w:noWrap/>
            <w:vAlign w:val="bottom"/>
            <w:hideMark/>
          </w:tcPr>
          <w:p w14:paraId="7D4074E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21411</w:t>
            </w:r>
          </w:p>
        </w:tc>
        <w:tc>
          <w:tcPr>
            <w:tcW w:w="834" w:type="dxa"/>
            <w:tcBorders>
              <w:top w:val="nil"/>
              <w:left w:val="single" w:sz="4" w:space="0" w:color="auto"/>
              <w:bottom w:val="nil"/>
              <w:right w:val="nil"/>
            </w:tcBorders>
            <w:shd w:val="clear" w:color="auto" w:fill="auto"/>
            <w:noWrap/>
            <w:vAlign w:val="bottom"/>
            <w:hideMark/>
          </w:tcPr>
          <w:p w14:paraId="2CD2592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3421</w:t>
            </w:r>
          </w:p>
        </w:tc>
        <w:tc>
          <w:tcPr>
            <w:tcW w:w="978" w:type="dxa"/>
            <w:tcBorders>
              <w:top w:val="nil"/>
              <w:left w:val="nil"/>
              <w:bottom w:val="nil"/>
              <w:right w:val="nil"/>
            </w:tcBorders>
            <w:shd w:val="clear" w:color="auto" w:fill="auto"/>
            <w:noWrap/>
            <w:vAlign w:val="bottom"/>
            <w:hideMark/>
          </w:tcPr>
          <w:p w14:paraId="1CB3EC4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3858</w:t>
            </w:r>
          </w:p>
        </w:tc>
        <w:tc>
          <w:tcPr>
            <w:tcW w:w="1844" w:type="dxa"/>
            <w:tcBorders>
              <w:top w:val="nil"/>
              <w:left w:val="nil"/>
              <w:bottom w:val="nil"/>
              <w:right w:val="single" w:sz="4" w:space="0" w:color="auto"/>
            </w:tcBorders>
            <w:shd w:val="clear" w:color="auto" w:fill="auto"/>
            <w:noWrap/>
            <w:vAlign w:val="bottom"/>
            <w:hideMark/>
          </w:tcPr>
          <w:p w14:paraId="3D7C9DA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7241</w:t>
            </w:r>
          </w:p>
        </w:tc>
      </w:tr>
      <w:tr w:rsidR="00530616" w:rsidRPr="006C2324" w14:paraId="3AAED766"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0DFA9B1C"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Clozapine</w:t>
            </w:r>
            <w:proofErr w:type="spellEnd"/>
          </w:p>
        </w:tc>
        <w:tc>
          <w:tcPr>
            <w:tcW w:w="915" w:type="dxa"/>
            <w:tcBorders>
              <w:top w:val="nil"/>
              <w:left w:val="single" w:sz="4" w:space="0" w:color="auto"/>
              <w:bottom w:val="nil"/>
              <w:right w:val="nil"/>
            </w:tcBorders>
            <w:shd w:val="clear" w:color="auto" w:fill="auto"/>
            <w:noWrap/>
            <w:vAlign w:val="bottom"/>
            <w:hideMark/>
          </w:tcPr>
          <w:p w14:paraId="621D2A7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2309</w:t>
            </w:r>
          </w:p>
        </w:tc>
        <w:tc>
          <w:tcPr>
            <w:tcW w:w="968" w:type="dxa"/>
            <w:tcBorders>
              <w:top w:val="nil"/>
              <w:left w:val="nil"/>
              <w:bottom w:val="nil"/>
              <w:right w:val="nil"/>
            </w:tcBorders>
            <w:shd w:val="clear" w:color="auto" w:fill="auto"/>
            <w:noWrap/>
            <w:vAlign w:val="bottom"/>
            <w:hideMark/>
          </w:tcPr>
          <w:p w14:paraId="13F2A79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1064</w:t>
            </w:r>
          </w:p>
        </w:tc>
        <w:tc>
          <w:tcPr>
            <w:tcW w:w="1844" w:type="dxa"/>
            <w:tcBorders>
              <w:top w:val="nil"/>
              <w:left w:val="nil"/>
              <w:bottom w:val="nil"/>
              <w:right w:val="single" w:sz="4" w:space="0" w:color="auto"/>
            </w:tcBorders>
            <w:shd w:val="clear" w:color="auto" w:fill="auto"/>
            <w:noWrap/>
            <w:vAlign w:val="bottom"/>
            <w:hideMark/>
          </w:tcPr>
          <w:p w14:paraId="5F13301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12203</w:t>
            </w:r>
          </w:p>
        </w:tc>
        <w:tc>
          <w:tcPr>
            <w:tcW w:w="834" w:type="dxa"/>
            <w:tcBorders>
              <w:top w:val="nil"/>
              <w:left w:val="single" w:sz="4" w:space="0" w:color="auto"/>
              <w:bottom w:val="nil"/>
              <w:right w:val="nil"/>
            </w:tcBorders>
            <w:shd w:val="clear" w:color="auto" w:fill="auto"/>
            <w:noWrap/>
            <w:vAlign w:val="bottom"/>
            <w:hideMark/>
          </w:tcPr>
          <w:p w14:paraId="7E28574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714</w:t>
            </w:r>
          </w:p>
        </w:tc>
        <w:tc>
          <w:tcPr>
            <w:tcW w:w="978" w:type="dxa"/>
            <w:tcBorders>
              <w:top w:val="nil"/>
              <w:left w:val="nil"/>
              <w:bottom w:val="nil"/>
              <w:right w:val="nil"/>
            </w:tcBorders>
            <w:shd w:val="clear" w:color="auto" w:fill="auto"/>
            <w:noWrap/>
            <w:vAlign w:val="bottom"/>
            <w:hideMark/>
          </w:tcPr>
          <w:p w14:paraId="6CA8AA0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166</w:t>
            </w:r>
          </w:p>
        </w:tc>
        <w:tc>
          <w:tcPr>
            <w:tcW w:w="1844" w:type="dxa"/>
            <w:tcBorders>
              <w:top w:val="nil"/>
              <w:left w:val="nil"/>
              <w:bottom w:val="nil"/>
              <w:right w:val="single" w:sz="4" w:space="0" w:color="auto"/>
            </w:tcBorders>
            <w:shd w:val="clear" w:color="auto" w:fill="auto"/>
            <w:noWrap/>
            <w:vAlign w:val="bottom"/>
            <w:hideMark/>
          </w:tcPr>
          <w:p w14:paraId="1D900F7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2313</w:t>
            </w:r>
          </w:p>
        </w:tc>
      </w:tr>
      <w:tr w:rsidR="00530616" w:rsidRPr="006C2324" w14:paraId="16BBB07E"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608A253E"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Olanzapine</w:t>
            </w:r>
            <w:proofErr w:type="spellEnd"/>
          </w:p>
        </w:tc>
        <w:tc>
          <w:tcPr>
            <w:tcW w:w="915" w:type="dxa"/>
            <w:tcBorders>
              <w:top w:val="nil"/>
              <w:left w:val="single" w:sz="4" w:space="0" w:color="auto"/>
              <w:bottom w:val="nil"/>
              <w:right w:val="nil"/>
            </w:tcBorders>
            <w:shd w:val="clear" w:color="auto" w:fill="auto"/>
            <w:noWrap/>
            <w:vAlign w:val="bottom"/>
            <w:hideMark/>
          </w:tcPr>
          <w:p w14:paraId="2EC3966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2598</w:t>
            </w:r>
          </w:p>
        </w:tc>
        <w:tc>
          <w:tcPr>
            <w:tcW w:w="968" w:type="dxa"/>
            <w:tcBorders>
              <w:top w:val="nil"/>
              <w:left w:val="nil"/>
              <w:bottom w:val="nil"/>
              <w:right w:val="nil"/>
            </w:tcBorders>
            <w:shd w:val="clear" w:color="auto" w:fill="auto"/>
            <w:noWrap/>
            <w:vAlign w:val="bottom"/>
            <w:hideMark/>
          </w:tcPr>
          <w:p w14:paraId="206E20A6"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1429</w:t>
            </w:r>
          </w:p>
        </w:tc>
        <w:tc>
          <w:tcPr>
            <w:tcW w:w="1844" w:type="dxa"/>
            <w:tcBorders>
              <w:top w:val="nil"/>
              <w:left w:val="nil"/>
              <w:bottom w:val="nil"/>
              <w:right w:val="single" w:sz="4" w:space="0" w:color="auto"/>
            </w:tcBorders>
            <w:shd w:val="clear" w:color="auto" w:fill="auto"/>
            <w:noWrap/>
            <w:vAlign w:val="bottom"/>
            <w:hideMark/>
          </w:tcPr>
          <w:p w14:paraId="3BE7465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7711</w:t>
            </w:r>
          </w:p>
        </w:tc>
        <w:tc>
          <w:tcPr>
            <w:tcW w:w="834" w:type="dxa"/>
            <w:tcBorders>
              <w:top w:val="nil"/>
              <w:left w:val="single" w:sz="4" w:space="0" w:color="auto"/>
              <w:bottom w:val="nil"/>
              <w:right w:val="nil"/>
            </w:tcBorders>
            <w:shd w:val="clear" w:color="auto" w:fill="auto"/>
            <w:noWrap/>
            <w:vAlign w:val="bottom"/>
            <w:hideMark/>
          </w:tcPr>
          <w:p w14:paraId="3283314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1595</w:t>
            </w:r>
          </w:p>
        </w:tc>
        <w:tc>
          <w:tcPr>
            <w:tcW w:w="978" w:type="dxa"/>
            <w:tcBorders>
              <w:top w:val="nil"/>
              <w:left w:val="nil"/>
              <w:bottom w:val="nil"/>
              <w:right w:val="nil"/>
            </w:tcBorders>
            <w:shd w:val="clear" w:color="auto" w:fill="auto"/>
            <w:noWrap/>
            <w:vAlign w:val="bottom"/>
            <w:hideMark/>
          </w:tcPr>
          <w:p w14:paraId="6E0571C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793</w:t>
            </w:r>
          </w:p>
        </w:tc>
        <w:tc>
          <w:tcPr>
            <w:tcW w:w="1844" w:type="dxa"/>
            <w:tcBorders>
              <w:top w:val="nil"/>
              <w:left w:val="nil"/>
              <w:bottom w:val="nil"/>
              <w:right w:val="single" w:sz="4" w:space="0" w:color="auto"/>
            </w:tcBorders>
            <w:shd w:val="clear" w:color="auto" w:fill="auto"/>
            <w:noWrap/>
            <w:vAlign w:val="bottom"/>
            <w:hideMark/>
          </w:tcPr>
          <w:p w14:paraId="61EB30C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3054</w:t>
            </w:r>
          </w:p>
        </w:tc>
      </w:tr>
      <w:tr w:rsidR="00530616" w:rsidRPr="006C2324" w14:paraId="6F80B9A7"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396E95F5"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Quetiapine</w:t>
            </w:r>
            <w:proofErr w:type="spellEnd"/>
          </w:p>
        </w:tc>
        <w:tc>
          <w:tcPr>
            <w:tcW w:w="915" w:type="dxa"/>
            <w:tcBorders>
              <w:top w:val="nil"/>
              <w:left w:val="single" w:sz="4" w:space="0" w:color="auto"/>
              <w:bottom w:val="nil"/>
              <w:right w:val="nil"/>
            </w:tcBorders>
            <w:shd w:val="clear" w:color="auto" w:fill="auto"/>
            <w:noWrap/>
            <w:vAlign w:val="bottom"/>
            <w:hideMark/>
          </w:tcPr>
          <w:p w14:paraId="627BBD1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2068</w:t>
            </w:r>
          </w:p>
        </w:tc>
        <w:tc>
          <w:tcPr>
            <w:tcW w:w="968" w:type="dxa"/>
            <w:tcBorders>
              <w:top w:val="nil"/>
              <w:left w:val="nil"/>
              <w:bottom w:val="nil"/>
              <w:right w:val="nil"/>
            </w:tcBorders>
            <w:shd w:val="clear" w:color="auto" w:fill="auto"/>
            <w:noWrap/>
            <w:vAlign w:val="bottom"/>
            <w:hideMark/>
          </w:tcPr>
          <w:p w14:paraId="4011A9B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934</w:t>
            </w:r>
          </w:p>
        </w:tc>
        <w:tc>
          <w:tcPr>
            <w:tcW w:w="1844" w:type="dxa"/>
            <w:tcBorders>
              <w:top w:val="nil"/>
              <w:left w:val="nil"/>
              <w:bottom w:val="nil"/>
              <w:right w:val="single" w:sz="4" w:space="0" w:color="auto"/>
            </w:tcBorders>
            <w:shd w:val="clear" w:color="auto" w:fill="auto"/>
            <w:noWrap/>
            <w:vAlign w:val="bottom"/>
            <w:hideMark/>
          </w:tcPr>
          <w:p w14:paraId="00A9B31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4222</w:t>
            </w:r>
          </w:p>
        </w:tc>
        <w:tc>
          <w:tcPr>
            <w:tcW w:w="834" w:type="dxa"/>
            <w:tcBorders>
              <w:top w:val="nil"/>
              <w:left w:val="single" w:sz="4" w:space="0" w:color="auto"/>
              <w:bottom w:val="nil"/>
              <w:right w:val="nil"/>
            </w:tcBorders>
            <w:shd w:val="clear" w:color="auto" w:fill="auto"/>
            <w:noWrap/>
            <w:vAlign w:val="bottom"/>
            <w:hideMark/>
          </w:tcPr>
          <w:p w14:paraId="0947733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881</w:t>
            </w:r>
          </w:p>
        </w:tc>
        <w:tc>
          <w:tcPr>
            <w:tcW w:w="978" w:type="dxa"/>
            <w:tcBorders>
              <w:top w:val="nil"/>
              <w:left w:val="nil"/>
              <w:bottom w:val="nil"/>
              <w:right w:val="nil"/>
            </w:tcBorders>
            <w:shd w:val="clear" w:color="auto" w:fill="auto"/>
            <w:noWrap/>
            <w:vAlign w:val="bottom"/>
            <w:hideMark/>
          </w:tcPr>
          <w:p w14:paraId="151C996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351</w:t>
            </w:r>
          </w:p>
        </w:tc>
        <w:tc>
          <w:tcPr>
            <w:tcW w:w="1844" w:type="dxa"/>
            <w:tcBorders>
              <w:top w:val="nil"/>
              <w:left w:val="nil"/>
              <w:bottom w:val="nil"/>
              <w:right w:val="single" w:sz="4" w:space="0" w:color="auto"/>
            </w:tcBorders>
            <w:shd w:val="clear" w:color="auto" w:fill="auto"/>
            <w:noWrap/>
            <w:vAlign w:val="bottom"/>
            <w:hideMark/>
          </w:tcPr>
          <w:p w14:paraId="0535797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1119</w:t>
            </w:r>
          </w:p>
        </w:tc>
      </w:tr>
      <w:tr w:rsidR="00530616" w:rsidRPr="006C2324" w14:paraId="2B883951"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385F3CCF"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lastRenderedPageBreak/>
              <w:t xml:space="preserve">   </w:t>
            </w:r>
            <w:proofErr w:type="spellStart"/>
            <w:r w:rsidRPr="006C2324">
              <w:rPr>
                <w:rFonts w:eastAsia="Times New Roman"/>
                <w:color w:val="000000"/>
                <w:lang w:val="fi-FI" w:eastAsia="fi-FI"/>
              </w:rPr>
              <w:t>Risperidone</w:t>
            </w:r>
            <w:proofErr w:type="spellEnd"/>
          </w:p>
        </w:tc>
        <w:tc>
          <w:tcPr>
            <w:tcW w:w="915" w:type="dxa"/>
            <w:tcBorders>
              <w:top w:val="nil"/>
              <w:left w:val="single" w:sz="4" w:space="0" w:color="auto"/>
              <w:bottom w:val="nil"/>
              <w:right w:val="nil"/>
            </w:tcBorders>
            <w:shd w:val="clear" w:color="auto" w:fill="auto"/>
            <w:noWrap/>
            <w:vAlign w:val="bottom"/>
            <w:hideMark/>
          </w:tcPr>
          <w:p w14:paraId="38AC9A1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1506</w:t>
            </w:r>
          </w:p>
        </w:tc>
        <w:tc>
          <w:tcPr>
            <w:tcW w:w="968" w:type="dxa"/>
            <w:tcBorders>
              <w:top w:val="nil"/>
              <w:left w:val="nil"/>
              <w:bottom w:val="nil"/>
              <w:right w:val="nil"/>
            </w:tcBorders>
            <w:shd w:val="clear" w:color="auto" w:fill="auto"/>
            <w:noWrap/>
            <w:vAlign w:val="bottom"/>
            <w:hideMark/>
          </w:tcPr>
          <w:p w14:paraId="50A0CD8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613</w:t>
            </w:r>
          </w:p>
        </w:tc>
        <w:tc>
          <w:tcPr>
            <w:tcW w:w="1844" w:type="dxa"/>
            <w:tcBorders>
              <w:top w:val="nil"/>
              <w:left w:val="nil"/>
              <w:bottom w:val="nil"/>
              <w:right w:val="single" w:sz="4" w:space="0" w:color="auto"/>
            </w:tcBorders>
            <w:shd w:val="clear" w:color="auto" w:fill="auto"/>
            <w:noWrap/>
            <w:vAlign w:val="bottom"/>
            <w:hideMark/>
          </w:tcPr>
          <w:p w14:paraId="43F9BE70"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2800</w:t>
            </w:r>
          </w:p>
        </w:tc>
        <w:tc>
          <w:tcPr>
            <w:tcW w:w="834" w:type="dxa"/>
            <w:tcBorders>
              <w:top w:val="nil"/>
              <w:left w:val="single" w:sz="4" w:space="0" w:color="auto"/>
              <w:bottom w:val="nil"/>
              <w:right w:val="nil"/>
            </w:tcBorders>
            <w:shd w:val="clear" w:color="auto" w:fill="auto"/>
            <w:noWrap/>
            <w:vAlign w:val="bottom"/>
            <w:hideMark/>
          </w:tcPr>
          <w:p w14:paraId="5F0B94F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771</w:t>
            </w:r>
          </w:p>
        </w:tc>
        <w:tc>
          <w:tcPr>
            <w:tcW w:w="978" w:type="dxa"/>
            <w:tcBorders>
              <w:top w:val="nil"/>
              <w:left w:val="nil"/>
              <w:bottom w:val="nil"/>
              <w:right w:val="nil"/>
            </w:tcBorders>
            <w:shd w:val="clear" w:color="auto" w:fill="auto"/>
            <w:noWrap/>
            <w:vAlign w:val="bottom"/>
            <w:hideMark/>
          </w:tcPr>
          <w:p w14:paraId="5A5ED67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260</w:t>
            </w:r>
          </w:p>
        </w:tc>
        <w:tc>
          <w:tcPr>
            <w:tcW w:w="1844" w:type="dxa"/>
            <w:tcBorders>
              <w:top w:val="nil"/>
              <w:left w:val="nil"/>
              <w:bottom w:val="nil"/>
              <w:right w:val="single" w:sz="4" w:space="0" w:color="auto"/>
            </w:tcBorders>
            <w:shd w:val="clear" w:color="auto" w:fill="auto"/>
            <w:noWrap/>
            <w:vAlign w:val="bottom"/>
            <w:hideMark/>
          </w:tcPr>
          <w:p w14:paraId="0356946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1439</w:t>
            </w:r>
          </w:p>
        </w:tc>
      </w:tr>
      <w:tr w:rsidR="00530616" w:rsidRPr="006C2324" w14:paraId="291C9C0F"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240BA29B"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Aripiprazole</w:t>
            </w:r>
            <w:proofErr w:type="spellEnd"/>
          </w:p>
        </w:tc>
        <w:tc>
          <w:tcPr>
            <w:tcW w:w="915" w:type="dxa"/>
            <w:tcBorders>
              <w:top w:val="nil"/>
              <w:left w:val="single" w:sz="4" w:space="0" w:color="auto"/>
              <w:bottom w:val="nil"/>
              <w:right w:val="nil"/>
            </w:tcBorders>
            <w:shd w:val="clear" w:color="auto" w:fill="auto"/>
            <w:noWrap/>
            <w:vAlign w:val="bottom"/>
            <w:hideMark/>
          </w:tcPr>
          <w:p w14:paraId="6D69E76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696</w:t>
            </w:r>
          </w:p>
        </w:tc>
        <w:tc>
          <w:tcPr>
            <w:tcW w:w="968" w:type="dxa"/>
            <w:tcBorders>
              <w:top w:val="nil"/>
              <w:left w:val="nil"/>
              <w:bottom w:val="nil"/>
              <w:right w:val="nil"/>
            </w:tcBorders>
            <w:shd w:val="clear" w:color="auto" w:fill="auto"/>
            <w:noWrap/>
            <w:vAlign w:val="bottom"/>
            <w:hideMark/>
          </w:tcPr>
          <w:p w14:paraId="12DF451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147</w:t>
            </w:r>
          </w:p>
        </w:tc>
        <w:tc>
          <w:tcPr>
            <w:tcW w:w="1844" w:type="dxa"/>
            <w:tcBorders>
              <w:top w:val="nil"/>
              <w:left w:val="nil"/>
              <w:bottom w:val="nil"/>
              <w:right w:val="single" w:sz="4" w:space="0" w:color="auto"/>
            </w:tcBorders>
            <w:shd w:val="clear" w:color="auto" w:fill="auto"/>
            <w:noWrap/>
            <w:vAlign w:val="bottom"/>
            <w:hideMark/>
          </w:tcPr>
          <w:p w14:paraId="1A6B5C8D"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780</w:t>
            </w:r>
          </w:p>
        </w:tc>
        <w:tc>
          <w:tcPr>
            <w:tcW w:w="834" w:type="dxa"/>
            <w:tcBorders>
              <w:top w:val="nil"/>
              <w:left w:val="single" w:sz="4" w:space="0" w:color="auto"/>
              <w:bottom w:val="nil"/>
              <w:right w:val="nil"/>
            </w:tcBorders>
            <w:shd w:val="clear" w:color="auto" w:fill="auto"/>
            <w:noWrap/>
            <w:vAlign w:val="bottom"/>
            <w:hideMark/>
          </w:tcPr>
          <w:p w14:paraId="23CA6018"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842</w:t>
            </w:r>
          </w:p>
        </w:tc>
        <w:tc>
          <w:tcPr>
            <w:tcW w:w="978" w:type="dxa"/>
            <w:tcBorders>
              <w:top w:val="nil"/>
              <w:left w:val="nil"/>
              <w:bottom w:val="nil"/>
              <w:right w:val="nil"/>
            </w:tcBorders>
            <w:shd w:val="clear" w:color="auto" w:fill="auto"/>
            <w:noWrap/>
            <w:vAlign w:val="bottom"/>
            <w:hideMark/>
          </w:tcPr>
          <w:p w14:paraId="25D54E8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211</w:t>
            </w:r>
          </w:p>
        </w:tc>
        <w:tc>
          <w:tcPr>
            <w:tcW w:w="1844" w:type="dxa"/>
            <w:tcBorders>
              <w:top w:val="nil"/>
              <w:left w:val="nil"/>
              <w:bottom w:val="nil"/>
              <w:right w:val="single" w:sz="4" w:space="0" w:color="auto"/>
            </w:tcBorders>
            <w:shd w:val="clear" w:color="auto" w:fill="auto"/>
            <w:noWrap/>
            <w:vAlign w:val="bottom"/>
            <w:hideMark/>
          </w:tcPr>
          <w:p w14:paraId="0331D09C"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1180</w:t>
            </w:r>
          </w:p>
        </w:tc>
      </w:tr>
      <w:tr w:rsidR="00530616" w:rsidRPr="006C2324" w14:paraId="781664F1"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499BA572"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AP </w:t>
            </w:r>
            <w:proofErr w:type="spellStart"/>
            <w:r w:rsidRPr="006C2324">
              <w:rPr>
                <w:rFonts w:eastAsia="Times New Roman"/>
                <w:color w:val="000000"/>
                <w:lang w:val="fi-FI" w:eastAsia="fi-FI"/>
              </w:rPr>
              <w:t>Polytherapy</w:t>
            </w:r>
            <w:proofErr w:type="spellEnd"/>
          </w:p>
        </w:tc>
        <w:tc>
          <w:tcPr>
            <w:tcW w:w="915" w:type="dxa"/>
            <w:tcBorders>
              <w:top w:val="nil"/>
              <w:left w:val="single" w:sz="4" w:space="0" w:color="auto"/>
              <w:bottom w:val="nil"/>
              <w:right w:val="nil"/>
            </w:tcBorders>
            <w:shd w:val="clear" w:color="auto" w:fill="auto"/>
            <w:noWrap/>
            <w:vAlign w:val="bottom"/>
            <w:hideMark/>
          </w:tcPr>
          <w:p w14:paraId="7326E785"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6306</w:t>
            </w:r>
          </w:p>
        </w:tc>
        <w:tc>
          <w:tcPr>
            <w:tcW w:w="968" w:type="dxa"/>
            <w:tcBorders>
              <w:top w:val="nil"/>
              <w:left w:val="nil"/>
              <w:bottom w:val="nil"/>
              <w:right w:val="nil"/>
            </w:tcBorders>
            <w:shd w:val="clear" w:color="auto" w:fill="auto"/>
            <w:noWrap/>
            <w:vAlign w:val="bottom"/>
            <w:hideMark/>
          </w:tcPr>
          <w:p w14:paraId="368CC2B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6553</w:t>
            </w:r>
          </w:p>
        </w:tc>
        <w:tc>
          <w:tcPr>
            <w:tcW w:w="1844" w:type="dxa"/>
            <w:tcBorders>
              <w:top w:val="nil"/>
              <w:left w:val="nil"/>
              <w:bottom w:val="nil"/>
              <w:right w:val="single" w:sz="4" w:space="0" w:color="auto"/>
            </w:tcBorders>
            <w:shd w:val="clear" w:color="auto" w:fill="auto"/>
            <w:noWrap/>
            <w:vAlign w:val="bottom"/>
            <w:hideMark/>
          </w:tcPr>
          <w:p w14:paraId="5117BC61"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33204</w:t>
            </w:r>
          </w:p>
        </w:tc>
        <w:tc>
          <w:tcPr>
            <w:tcW w:w="834" w:type="dxa"/>
            <w:tcBorders>
              <w:top w:val="nil"/>
              <w:left w:val="single" w:sz="4" w:space="0" w:color="auto"/>
              <w:bottom w:val="nil"/>
              <w:right w:val="nil"/>
            </w:tcBorders>
            <w:shd w:val="clear" w:color="auto" w:fill="auto"/>
            <w:noWrap/>
            <w:vAlign w:val="bottom"/>
            <w:hideMark/>
          </w:tcPr>
          <w:p w14:paraId="16A2A869"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3286</w:t>
            </w:r>
          </w:p>
        </w:tc>
        <w:tc>
          <w:tcPr>
            <w:tcW w:w="978" w:type="dxa"/>
            <w:tcBorders>
              <w:top w:val="nil"/>
              <w:left w:val="nil"/>
              <w:bottom w:val="nil"/>
              <w:right w:val="nil"/>
            </w:tcBorders>
            <w:shd w:val="clear" w:color="auto" w:fill="auto"/>
            <w:noWrap/>
            <w:vAlign w:val="bottom"/>
            <w:hideMark/>
          </w:tcPr>
          <w:p w14:paraId="79238F7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2661</w:t>
            </w:r>
          </w:p>
        </w:tc>
        <w:tc>
          <w:tcPr>
            <w:tcW w:w="1844" w:type="dxa"/>
            <w:tcBorders>
              <w:top w:val="nil"/>
              <w:left w:val="nil"/>
              <w:bottom w:val="nil"/>
              <w:right w:val="single" w:sz="4" w:space="0" w:color="auto"/>
            </w:tcBorders>
            <w:shd w:val="clear" w:color="auto" w:fill="auto"/>
            <w:noWrap/>
            <w:vAlign w:val="bottom"/>
            <w:hideMark/>
          </w:tcPr>
          <w:p w14:paraId="6442F74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11294</w:t>
            </w:r>
          </w:p>
        </w:tc>
      </w:tr>
      <w:tr w:rsidR="00530616" w:rsidRPr="006C2324" w14:paraId="0E155851" w14:textId="77777777" w:rsidTr="00530616">
        <w:trPr>
          <w:trHeight w:val="300"/>
        </w:trPr>
        <w:tc>
          <w:tcPr>
            <w:tcW w:w="2589" w:type="dxa"/>
            <w:tcBorders>
              <w:top w:val="nil"/>
              <w:left w:val="single" w:sz="4" w:space="0" w:color="auto"/>
              <w:bottom w:val="nil"/>
              <w:right w:val="single" w:sz="4" w:space="0" w:color="auto"/>
            </w:tcBorders>
            <w:shd w:val="clear" w:color="auto" w:fill="auto"/>
            <w:noWrap/>
            <w:vAlign w:val="bottom"/>
            <w:hideMark/>
          </w:tcPr>
          <w:p w14:paraId="0E2B6A30"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Other</w:t>
            </w:r>
            <w:proofErr w:type="spellEnd"/>
            <w:r w:rsidRPr="006C2324">
              <w:rPr>
                <w:rFonts w:eastAsia="Times New Roman"/>
                <w:color w:val="000000"/>
                <w:lang w:val="fi-FI" w:eastAsia="fi-FI"/>
              </w:rPr>
              <w:t xml:space="preserve"> </w:t>
            </w:r>
            <w:proofErr w:type="spellStart"/>
            <w:r w:rsidRPr="006C2324">
              <w:rPr>
                <w:rFonts w:eastAsia="Times New Roman"/>
                <w:color w:val="000000"/>
                <w:lang w:val="fi-FI" w:eastAsia="fi-FI"/>
              </w:rPr>
              <w:t>oral</w:t>
            </w:r>
            <w:proofErr w:type="spellEnd"/>
            <w:r w:rsidRPr="006C2324">
              <w:rPr>
                <w:rFonts w:eastAsia="Times New Roman"/>
                <w:color w:val="000000"/>
                <w:lang w:val="fi-FI" w:eastAsia="fi-FI"/>
              </w:rPr>
              <w:t xml:space="preserve"> AP</w:t>
            </w:r>
          </w:p>
        </w:tc>
        <w:tc>
          <w:tcPr>
            <w:tcW w:w="915" w:type="dxa"/>
            <w:tcBorders>
              <w:top w:val="nil"/>
              <w:left w:val="single" w:sz="4" w:space="0" w:color="auto"/>
              <w:bottom w:val="nil"/>
              <w:right w:val="nil"/>
            </w:tcBorders>
            <w:shd w:val="clear" w:color="auto" w:fill="auto"/>
            <w:noWrap/>
            <w:vAlign w:val="bottom"/>
            <w:hideMark/>
          </w:tcPr>
          <w:p w14:paraId="329577F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2766</w:t>
            </w:r>
          </w:p>
        </w:tc>
        <w:tc>
          <w:tcPr>
            <w:tcW w:w="968" w:type="dxa"/>
            <w:tcBorders>
              <w:top w:val="nil"/>
              <w:left w:val="nil"/>
              <w:bottom w:val="nil"/>
              <w:right w:val="nil"/>
            </w:tcBorders>
            <w:shd w:val="clear" w:color="auto" w:fill="auto"/>
            <w:noWrap/>
            <w:vAlign w:val="bottom"/>
            <w:hideMark/>
          </w:tcPr>
          <w:p w14:paraId="2B295332"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1345</w:t>
            </w:r>
          </w:p>
        </w:tc>
        <w:tc>
          <w:tcPr>
            <w:tcW w:w="1844" w:type="dxa"/>
            <w:tcBorders>
              <w:top w:val="nil"/>
              <w:left w:val="nil"/>
              <w:bottom w:val="nil"/>
              <w:right w:val="single" w:sz="4" w:space="0" w:color="auto"/>
            </w:tcBorders>
            <w:shd w:val="clear" w:color="auto" w:fill="auto"/>
            <w:noWrap/>
            <w:vAlign w:val="bottom"/>
            <w:hideMark/>
          </w:tcPr>
          <w:p w14:paraId="6B696BAB"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5336</w:t>
            </w:r>
          </w:p>
        </w:tc>
        <w:tc>
          <w:tcPr>
            <w:tcW w:w="834" w:type="dxa"/>
            <w:tcBorders>
              <w:top w:val="nil"/>
              <w:left w:val="single" w:sz="4" w:space="0" w:color="auto"/>
              <w:bottom w:val="nil"/>
              <w:right w:val="nil"/>
            </w:tcBorders>
            <w:shd w:val="clear" w:color="auto" w:fill="auto"/>
            <w:noWrap/>
            <w:vAlign w:val="bottom"/>
            <w:hideMark/>
          </w:tcPr>
          <w:p w14:paraId="46547C6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1402</w:t>
            </w:r>
          </w:p>
        </w:tc>
        <w:tc>
          <w:tcPr>
            <w:tcW w:w="978" w:type="dxa"/>
            <w:tcBorders>
              <w:top w:val="nil"/>
              <w:left w:val="nil"/>
              <w:bottom w:val="nil"/>
              <w:right w:val="nil"/>
            </w:tcBorders>
            <w:shd w:val="clear" w:color="auto" w:fill="auto"/>
            <w:noWrap/>
            <w:vAlign w:val="bottom"/>
            <w:hideMark/>
          </w:tcPr>
          <w:p w14:paraId="323549D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637</w:t>
            </w:r>
          </w:p>
        </w:tc>
        <w:tc>
          <w:tcPr>
            <w:tcW w:w="1844" w:type="dxa"/>
            <w:tcBorders>
              <w:top w:val="nil"/>
              <w:left w:val="nil"/>
              <w:bottom w:val="nil"/>
              <w:right w:val="single" w:sz="4" w:space="0" w:color="auto"/>
            </w:tcBorders>
            <w:shd w:val="clear" w:color="auto" w:fill="auto"/>
            <w:noWrap/>
            <w:vAlign w:val="bottom"/>
            <w:hideMark/>
          </w:tcPr>
          <w:p w14:paraId="415FAA4E"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1961</w:t>
            </w:r>
          </w:p>
        </w:tc>
      </w:tr>
      <w:tr w:rsidR="00530616" w:rsidRPr="006C2324" w14:paraId="1B240FFA" w14:textId="77777777" w:rsidTr="00530616">
        <w:trPr>
          <w:trHeight w:val="300"/>
        </w:trPr>
        <w:tc>
          <w:tcPr>
            <w:tcW w:w="2589" w:type="dxa"/>
            <w:tcBorders>
              <w:top w:val="nil"/>
              <w:left w:val="single" w:sz="4" w:space="0" w:color="auto"/>
              <w:bottom w:val="single" w:sz="4" w:space="0" w:color="auto"/>
              <w:right w:val="single" w:sz="4" w:space="0" w:color="auto"/>
            </w:tcBorders>
            <w:shd w:val="clear" w:color="auto" w:fill="auto"/>
            <w:noWrap/>
            <w:vAlign w:val="bottom"/>
            <w:hideMark/>
          </w:tcPr>
          <w:p w14:paraId="63E9D711" w14:textId="77777777" w:rsidR="006C2324" w:rsidRPr="006C2324" w:rsidRDefault="006C2324" w:rsidP="006C2324">
            <w:pPr>
              <w:spacing w:after="0" w:line="240" w:lineRule="auto"/>
              <w:rPr>
                <w:rFonts w:eastAsia="Times New Roman"/>
                <w:color w:val="000000"/>
                <w:lang w:val="fi-FI" w:eastAsia="fi-FI"/>
              </w:rPr>
            </w:pPr>
            <w:r w:rsidRPr="006C2324">
              <w:rPr>
                <w:rFonts w:eastAsia="Times New Roman"/>
                <w:color w:val="000000"/>
                <w:lang w:val="fi-FI" w:eastAsia="fi-FI"/>
              </w:rPr>
              <w:t xml:space="preserve">   </w:t>
            </w:r>
            <w:proofErr w:type="spellStart"/>
            <w:r w:rsidRPr="006C2324">
              <w:rPr>
                <w:rFonts w:eastAsia="Times New Roman"/>
                <w:color w:val="000000"/>
                <w:lang w:val="fi-FI" w:eastAsia="fi-FI"/>
              </w:rPr>
              <w:t>Any</w:t>
            </w:r>
            <w:proofErr w:type="spellEnd"/>
            <w:r w:rsidRPr="006C2324">
              <w:rPr>
                <w:rFonts w:eastAsia="Times New Roman"/>
                <w:color w:val="000000"/>
                <w:lang w:val="fi-FI" w:eastAsia="fi-FI"/>
              </w:rPr>
              <w:t xml:space="preserve"> LAI</w:t>
            </w:r>
          </w:p>
        </w:tc>
        <w:tc>
          <w:tcPr>
            <w:tcW w:w="915" w:type="dxa"/>
            <w:tcBorders>
              <w:top w:val="nil"/>
              <w:left w:val="single" w:sz="4" w:space="0" w:color="auto"/>
              <w:bottom w:val="single" w:sz="4" w:space="0" w:color="auto"/>
              <w:right w:val="nil"/>
            </w:tcBorders>
            <w:shd w:val="clear" w:color="auto" w:fill="auto"/>
            <w:noWrap/>
            <w:vAlign w:val="bottom"/>
            <w:hideMark/>
          </w:tcPr>
          <w:p w14:paraId="1CEC977F"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1865</w:t>
            </w:r>
          </w:p>
        </w:tc>
        <w:tc>
          <w:tcPr>
            <w:tcW w:w="968" w:type="dxa"/>
            <w:tcBorders>
              <w:top w:val="nil"/>
              <w:left w:val="nil"/>
              <w:bottom w:val="single" w:sz="4" w:space="0" w:color="auto"/>
              <w:right w:val="nil"/>
            </w:tcBorders>
            <w:shd w:val="clear" w:color="auto" w:fill="auto"/>
            <w:noWrap/>
            <w:vAlign w:val="bottom"/>
            <w:hideMark/>
          </w:tcPr>
          <w:p w14:paraId="3B7CA154"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913</w:t>
            </w:r>
          </w:p>
        </w:tc>
        <w:tc>
          <w:tcPr>
            <w:tcW w:w="1844" w:type="dxa"/>
            <w:tcBorders>
              <w:top w:val="nil"/>
              <w:left w:val="nil"/>
              <w:bottom w:val="single" w:sz="4" w:space="0" w:color="auto"/>
              <w:right w:val="single" w:sz="4" w:space="0" w:color="auto"/>
            </w:tcBorders>
            <w:shd w:val="clear" w:color="auto" w:fill="auto"/>
            <w:noWrap/>
            <w:vAlign w:val="bottom"/>
            <w:hideMark/>
          </w:tcPr>
          <w:p w14:paraId="3745E437"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4407</w:t>
            </w:r>
          </w:p>
        </w:tc>
        <w:tc>
          <w:tcPr>
            <w:tcW w:w="834" w:type="dxa"/>
            <w:tcBorders>
              <w:top w:val="nil"/>
              <w:left w:val="single" w:sz="4" w:space="0" w:color="auto"/>
              <w:bottom w:val="single" w:sz="4" w:space="0" w:color="auto"/>
              <w:right w:val="nil"/>
            </w:tcBorders>
            <w:shd w:val="clear" w:color="auto" w:fill="auto"/>
            <w:noWrap/>
            <w:vAlign w:val="bottom"/>
            <w:hideMark/>
          </w:tcPr>
          <w:p w14:paraId="0F50DD8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1619</w:t>
            </w:r>
          </w:p>
        </w:tc>
        <w:tc>
          <w:tcPr>
            <w:tcW w:w="978" w:type="dxa"/>
            <w:tcBorders>
              <w:top w:val="nil"/>
              <w:left w:val="nil"/>
              <w:bottom w:val="single" w:sz="4" w:space="0" w:color="auto"/>
              <w:right w:val="nil"/>
            </w:tcBorders>
            <w:shd w:val="clear" w:color="auto" w:fill="auto"/>
            <w:noWrap/>
            <w:vAlign w:val="bottom"/>
            <w:hideMark/>
          </w:tcPr>
          <w:p w14:paraId="2C4EA1AA"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919</w:t>
            </w:r>
          </w:p>
        </w:tc>
        <w:tc>
          <w:tcPr>
            <w:tcW w:w="1844" w:type="dxa"/>
            <w:tcBorders>
              <w:top w:val="nil"/>
              <w:left w:val="nil"/>
              <w:bottom w:val="single" w:sz="4" w:space="0" w:color="auto"/>
              <w:right w:val="single" w:sz="4" w:space="0" w:color="auto"/>
            </w:tcBorders>
            <w:shd w:val="clear" w:color="auto" w:fill="auto"/>
            <w:noWrap/>
            <w:vAlign w:val="bottom"/>
            <w:hideMark/>
          </w:tcPr>
          <w:p w14:paraId="5F9CBDA3" w14:textId="77777777" w:rsidR="006C2324" w:rsidRPr="006C2324" w:rsidRDefault="006C2324" w:rsidP="006C2324">
            <w:pPr>
              <w:spacing w:after="0" w:line="240" w:lineRule="auto"/>
              <w:jc w:val="right"/>
              <w:rPr>
                <w:rFonts w:eastAsia="Times New Roman"/>
                <w:color w:val="000000"/>
                <w:lang w:val="fi-FI" w:eastAsia="fi-FI"/>
              </w:rPr>
            </w:pPr>
            <w:r w:rsidRPr="006C2324">
              <w:rPr>
                <w:rFonts w:eastAsia="Times New Roman"/>
                <w:color w:val="000000"/>
                <w:lang w:val="fi-FI" w:eastAsia="fi-FI"/>
              </w:rPr>
              <w:t>3175</w:t>
            </w:r>
          </w:p>
        </w:tc>
      </w:tr>
      <w:tr w:rsidR="006C2324" w:rsidRPr="006C2324" w14:paraId="0EE4934B" w14:textId="77777777" w:rsidTr="00207175">
        <w:trPr>
          <w:trHeight w:val="300"/>
        </w:trPr>
        <w:tc>
          <w:tcPr>
            <w:tcW w:w="9972" w:type="dxa"/>
            <w:gridSpan w:val="7"/>
            <w:tcBorders>
              <w:top w:val="single" w:sz="4" w:space="0" w:color="auto"/>
              <w:left w:val="nil"/>
              <w:bottom w:val="nil"/>
              <w:right w:val="nil"/>
            </w:tcBorders>
            <w:shd w:val="clear" w:color="auto" w:fill="auto"/>
            <w:noWrap/>
            <w:vAlign w:val="bottom"/>
            <w:hideMark/>
          </w:tcPr>
          <w:p w14:paraId="5185A3AA" w14:textId="77777777" w:rsidR="006C2324" w:rsidRPr="00207175" w:rsidRDefault="006C2324" w:rsidP="006C2324">
            <w:pPr>
              <w:spacing w:after="0" w:line="240" w:lineRule="auto"/>
              <w:rPr>
                <w:rFonts w:ascii="Arial" w:eastAsia="Times New Roman" w:hAnsi="Arial" w:cs="Arial"/>
                <w:color w:val="000000"/>
                <w:sz w:val="20"/>
                <w:szCs w:val="20"/>
                <w:lang w:eastAsia="fi-FI"/>
              </w:rPr>
            </w:pPr>
            <w:proofErr w:type="spellStart"/>
            <w:r w:rsidRPr="00207175">
              <w:rPr>
                <w:rFonts w:ascii="Arial" w:eastAsia="Times New Roman" w:hAnsi="Arial" w:cs="Arial"/>
                <w:color w:val="000000"/>
                <w:sz w:val="20"/>
                <w:szCs w:val="20"/>
                <w:vertAlign w:val="superscript"/>
                <w:lang w:eastAsia="fi-FI"/>
              </w:rPr>
              <w:t>a</w:t>
            </w:r>
            <w:r w:rsidRPr="00207175">
              <w:rPr>
                <w:rFonts w:ascii="Arial" w:eastAsia="Times New Roman" w:hAnsi="Arial" w:cs="Arial"/>
                <w:color w:val="000000"/>
                <w:sz w:val="20"/>
                <w:szCs w:val="20"/>
                <w:lang w:eastAsia="fi-FI"/>
              </w:rPr>
              <w:t>The</w:t>
            </w:r>
            <w:proofErr w:type="spellEnd"/>
            <w:r w:rsidRPr="00207175">
              <w:rPr>
                <w:rFonts w:ascii="Arial" w:eastAsia="Times New Roman" w:hAnsi="Arial" w:cs="Arial"/>
                <w:color w:val="000000"/>
                <w:sz w:val="20"/>
                <w:szCs w:val="20"/>
                <w:lang w:eastAsia="fi-FI"/>
              </w:rPr>
              <w:t xml:space="preserve"> rest of initial SUDs (N=143 for Finnish cohort and N=39 for Swedish cohort) happened during hospital care and could not be analyzed for outpatient drug exposures. </w:t>
            </w:r>
          </w:p>
        </w:tc>
      </w:tr>
    </w:tbl>
    <w:p w14:paraId="59954DC9" w14:textId="310082A2" w:rsidR="00B72103" w:rsidRDefault="00B72103" w:rsidP="00B72103">
      <w:pPr>
        <w:rPr>
          <w:b/>
          <w:bCs/>
        </w:rPr>
      </w:pPr>
      <w:r>
        <w:rPr>
          <w:b/>
          <w:bCs/>
        </w:rPr>
        <w:br w:type="page"/>
      </w:r>
    </w:p>
    <w:p w14:paraId="4FD60A82" w14:textId="0A3B13A2" w:rsidR="00B446C2" w:rsidRDefault="000778A7" w:rsidP="00B72103">
      <w:pPr>
        <w:rPr>
          <w:rFonts w:ascii="Arial" w:hAnsi="Arial" w:cs="Arial"/>
          <w:b/>
          <w:sz w:val="24"/>
          <w:szCs w:val="24"/>
        </w:rPr>
      </w:pPr>
      <w:proofErr w:type="spellStart"/>
      <w:r>
        <w:rPr>
          <w:rFonts w:ascii="Arial" w:hAnsi="Arial" w:cs="Arial"/>
          <w:b/>
          <w:bCs/>
          <w:sz w:val="24"/>
          <w:szCs w:val="24"/>
        </w:rPr>
        <w:lastRenderedPageBreak/>
        <w:t>S</w:t>
      </w:r>
      <w:r w:rsidR="00B72103" w:rsidRPr="00B84AAA">
        <w:rPr>
          <w:rFonts w:ascii="Arial" w:hAnsi="Arial" w:cs="Arial"/>
          <w:b/>
          <w:bCs/>
          <w:sz w:val="24"/>
          <w:szCs w:val="24"/>
        </w:rPr>
        <w:t>Figure</w:t>
      </w:r>
      <w:proofErr w:type="spellEnd"/>
      <w:r w:rsidR="00B72103" w:rsidRPr="00B84AAA">
        <w:rPr>
          <w:rFonts w:ascii="Arial" w:hAnsi="Arial" w:cs="Arial"/>
          <w:b/>
          <w:bCs/>
          <w:sz w:val="24"/>
          <w:szCs w:val="24"/>
        </w:rPr>
        <w:t xml:space="preserve"> </w:t>
      </w:r>
      <w:r w:rsidR="00B600F9">
        <w:rPr>
          <w:rFonts w:ascii="Arial" w:hAnsi="Arial" w:cs="Arial"/>
          <w:b/>
          <w:bCs/>
          <w:sz w:val="24"/>
          <w:szCs w:val="24"/>
        </w:rPr>
        <w:t>8</w:t>
      </w:r>
      <w:r w:rsidR="00B72103" w:rsidRPr="00B84AAA">
        <w:rPr>
          <w:rFonts w:ascii="Arial" w:hAnsi="Arial" w:cs="Arial"/>
          <w:b/>
          <w:bCs/>
          <w:sz w:val="24"/>
          <w:szCs w:val="24"/>
        </w:rPr>
        <w:t xml:space="preserve">. </w:t>
      </w:r>
      <w:r w:rsidR="00B72103" w:rsidRPr="00B84AAA">
        <w:rPr>
          <w:rFonts w:ascii="Arial" w:hAnsi="Arial" w:cs="Arial"/>
          <w:b/>
          <w:sz w:val="24"/>
          <w:szCs w:val="24"/>
        </w:rPr>
        <w:t xml:space="preserve">Correlation of effectiveness of antipsychotic treatments (i.e. of adjusted hazard ratios, </w:t>
      </w:r>
      <w:proofErr w:type="spellStart"/>
      <w:r w:rsidR="00B72103" w:rsidRPr="00B84AAA">
        <w:rPr>
          <w:rFonts w:ascii="Arial" w:hAnsi="Arial" w:cs="Arial"/>
          <w:b/>
          <w:sz w:val="24"/>
          <w:szCs w:val="24"/>
        </w:rPr>
        <w:t>aHRs</w:t>
      </w:r>
      <w:proofErr w:type="spellEnd"/>
      <w:r w:rsidR="00B72103" w:rsidRPr="00B84AAA">
        <w:rPr>
          <w:rFonts w:ascii="Arial" w:hAnsi="Arial" w:cs="Arial"/>
          <w:b/>
          <w:sz w:val="24"/>
          <w:szCs w:val="24"/>
        </w:rPr>
        <w:t xml:space="preserve">) in reducing risk for hospitalization due to SUD in patients with schizophrenia and comorbid SUD between the Finnish and Swedish cohorts, Pearson’s </w:t>
      </w:r>
      <w:r w:rsidR="00B72103" w:rsidRPr="00B84AAA">
        <w:rPr>
          <w:rFonts w:ascii="Arial" w:hAnsi="Arial" w:cs="Arial"/>
          <w:b/>
          <w:sz w:val="24"/>
          <w:szCs w:val="24"/>
          <w:lang w:val="en-GB"/>
        </w:rPr>
        <w:t xml:space="preserve">r=0.71, p=0.049, N=8 antipsychotics. </w:t>
      </w:r>
      <w:r w:rsidR="00B72103" w:rsidRPr="00B84AAA">
        <w:rPr>
          <w:rFonts w:ascii="Arial" w:hAnsi="Arial" w:cs="Arial"/>
          <w:b/>
          <w:sz w:val="24"/>
          <w:szCs w:val="24"/>
        </w:rPr>
        <w:t>The linear regression curve is depicted with a red line and the 95% confidence interval area for the curve with dark grey.</w:t>
      </w:r>
      <w:r w:rsidR="00B72103" w:rsidRPr="00B84AAA">
        <w:rPr>
          <w:rFonts w:ascii="Arial" w:hAnsi="Arial" w:cs="Arial"/>
          <w:b/>
          <w:sz w:val="24"/>
          <w:szCs w:val="24"/>
          <w:lang w:val="en-GB"/>
        </w:rPr>
        <w:t xml:space="preserve"> </w:t>
      </w:r>
      <w:r w:rsidR="00B72103" w:rsidRPr="00B84AAA">
        <w:rPr>
          <w:rFonts w:ascii="Arial" w:hAnsi="Arial" w:cs="Arial"/>
          <w:b/>
          <w:sz w:val="24"/>
          <w:szCs w:val="24"/>
        </w:rPr>
        <w:t xml:space="preserve">X-axis: </w:t>
      </w:r>
      <w:proofErr w:type="spellStart"/>
      <w:r w:rsidR="00B72103" w:rsidRPr="00B84AAA">
        <w:rPr>
          <w:rFonts w:ascii="Arial" w:hAnsi="Arial" w:cs="Arial"/>
          <w:b/>
          <w:sz w:val="24"/>
          <w:szCs w:val="24"/>
        </w:rPr>
        <w:t>aHRs</w:t>
      </w:r>
      <w:proofErr w:type="spellEnd"/>
      <w:r w:rsidR="00B72103" w:rsidRPr="00B84AAA">
        <w:rPr>
          <w:rFonts w:ascii="Arial" w:hAnsi="Arial" w:cs="Arial"/>
          <w:b/>
          <w:sz w:val="24"/>
          <w:szCs w:val="24"/>
        </w:rPr>
        <w:t xml:space="preserve"> in </w:t>
      </w:r>
      <w:r w:rsidR="00B72103">
        <w:rPr>
          <w:rFonts w:ascii="Arial" w:hAnsi="Arial" w:cs="Arial"/>
          <w:b/>
          <w:sz w:val="24"/>
          <w:szCs w:val="24"/>
        </w:rPr>
        <w:t xml:space="preserve">Finland. Y-axis: </w:t>
      </w:r>
      <w:proofErr w:type="spellStart"/>
      <w:r w:rsidR="00B72103">
        <w:rPr>
          <w:rFonts w:ascii="Arial" w:hAnsi="Arial" w:cs="Arial"/>
          <w:b/>
          <w:sz w:val="24"/>
          <w:szCs w:val="24"/>
        </w:rPr>
        <w:t>aHRs</w:t>
      </w:r>
      <w:proofErr w:type="spellEnd"/>
      <w:r w:rsidR="00B72103">
        <w:rPr>
          <w:rFonts w:ascii="Arial" w:hAnsi="Arial" w:cs="Arial"/>
          <w:b/>
          <w:sz w:val="24"/>
          <w:szCs w:val="24"/>
        </w:rPr>
        <w:t xml:space="preserve"> in Sweden.</w:t>
      </w:r>
    </w:p>
    <w:p w14:paraId="70C6C011" w14:textId="77777777" w:rsidR="00B446C2" w:rsidRDefault="00B446C2" w:rsidP="00B72103">
      <w:pPr>
        <w:rPr>
          <w:rFonts w:ascii="Arial" w:hAnsi="Arial" w:cs="Arial"/>
          <w:b/>
          <w:sz w:val="24"/>
          <w:szCs w:val="24"/>
        </w:rPr>
      </w:pPr>
      <w:r>
        <w:rPr>
          <w:noProof/>
          <w:color w:val="000000"/>
          <w:lang w:val="fi-FI" w:eastAsia="fi-FI"/>
        </w:rPr>
        <w:drawing>
          <wp:inline distT="0" distB="0" distL="0" distR="0" wp14:anchorId="5B24EFEF" wp14:editId="331577E5">
            <wp:extent cx="5762625" cy="4181475"/>
            <wp:effectExtent l="0" t="0" r="9525" b="9525"/>
            <wp:docPr id="1" name="Kuva 1" descr="cid:image002.png@01D70113.2B9A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_x0000_i1037" descr="cid:image002.png@01D70113.2B9A07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a:noFill/>
                    </a:ln>
                  </pic:spPr>
                </pic:pic>
              </a:graphicData>
            </a:graphic>
          </wp:inline>
        </w:drawing>
      </w:r>
    </w:p>
    <w:p w14:paraId="5E40DD8F" w14:textId="1E74A09B" w:rsidR="00412CC5" w:rsidRDefault="00412CC5" w:rsidP="00C04091">
      <w:pPr>
        <w:rPr>
          <w:b/>
          <w:bCs/>
        </w:rPr>
      </w:pPr>
    </w:p>
    <w:p w14:paraId="473BD61C" w14:textId="77777777" w:rsidR="00B9114F" w:rsidRPr="00852530" w:rsidRDefault="00B9114F" w:rsidP="00C04091">
      <w:pPr>
        <w:rPr>
          <w:b/>
          <w:bCs/>
        </w:rPr>
      </w:pPr>
    </w:p>
    <w:sectPr w:rsidR="00B9114F" w:rsidRPr="00852530" w:rsidSect="00F64CE9">
      <w:pgSz w:w="16820" w:h="11900" w:orient="landscape"/>
      <w:pgMar w:top="1134" w:right="1418" w:bottom="1134" w:left="1418" w:header="709" w:footer="709"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CD71" w14:textId="77777777" w:rsidR="008B68A3" w:rsidRDefault="008B68A3" w:rsidP="00A13041">
      <w:pPr>
        <w:spacing w:after="0" w:line="240" w:lineRule="auto"/>
      </w:pPr>
      <w:r>
        <w:separator/>
      </w:r>
    </w:p>
  </w:endnote>
  <w:endnote w:type="continuationSeparator" w:id="0">
    <w:p w14:paraId="0BEEF9E4" w14:textId="77777777" w:rsidR="008B68A3" w:rsidRDefault="008B68A3" w:rsidP="00A13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33462491"/>
      <w:docPartObj>
        <w:docPartGallery w:val="Page Numbers (Bottom of Page)"/>
        <w:docPartUnique/>
      </w:docPartObj>
    </w:sdtPr>
    <w:sdtEndPr>
      <w:rPr>
        <w:rStyle w:val="Paginanummer"/>
      </w:rPr>
    </w:sdtEndPr>
    <w:sdtContent>
      <w:p w14:paraId="50FA1775" w14:textId="5AB5ABBB" w:rsidR="00A13041" w:rsidRDefault="00A13041" w:rsidP="00D7528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91EE313" w14:textId="77777777" w:rsidR="00A13041" w:rsidRDefault="00A13041" w:rsidP="00A1304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09039366"/>
      <w:docPartObj>
        <w:docPartGallery w:val="Page Numbers (Bottom of Page)"/>
        <w:docPartUnique/>
      </w:docPartObj>
    </w:sdtPr>
    <w:sdtEndPr>
      <w:rPr>
        <w:rStyle w:val="Paginanummer"/>
      </w:rPr>
    </w:sdtEndPr>
    <w:sdtContent>
      <w:p w14:paraId="130BDDCA" w14:textId="4E69E99F" w:rsidR="00A13041" w:rsidRDefault="00A13041" w:rsidP="00D7528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1D92922" w14:textId="77777777" w:rsidR="00A13041" w:rsidRDefault="00A13041" w:rsidP="00A1304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98E3B" w14:textId="77777777" w:rsidR="008B68A3" w:rsidRDefault="008B68A3" w:rsidP="00A13041">
      <w:pPr>
        <w:spacing w:after="0" w:line="240" w:lineRule="auto"/>
      </w:pPr>
      <w:r>
        <w:separator/>
      </w:r>
    </w:p>
  </w:footnote>
  <w:footnote w:type="continuationSeparator" w:id="0">
    <w:p w14:paraId="07032EBE" w14:textId="77777777" w:rsidR="008B68A3" w:rsidRDefault="008B68A3" w:rsidP="00A13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D5BFF"/>
    <w:multiLevelType w:val="hybridMultilevel"/>
    <w:tmpl w:val="586803F0"/>
    <w:lvl w:ilvl="0" w:tplc="99061A38">
      <w:start w:val="1"/>
      <w:numFmt w:val="bullet"/>
      <w:lvlText w:val="-"/>
      <w:lvlJc w:val="left"/>
      <w:pPr>
        <w:ind w:left="720" w:hanging="360"/>
      </w:pPr>
      <w:rPr>
        <w:rFonts w:ascii="Calibri" w:eastAsia="Calibri" w:hAnsi="Calibri" w:cs="Calibri"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72639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03"/>
    <w:rsid w:val="00011DAD"/>
    <w:rsid w:val="000374ED"/>
    <w:rsid w:val="00062FF6"/>
    <w:rsid w:val="0007539C"/>
    <w:rsid w:val="000778A7"/>
    <w:rsid w:val="000971CE"/>
    <w:rsid w:val="001721E3"/>
    <w:rsid w:val="00183549"/>
    <w:rsid w:val="001941E8"/>
    <w:rsid w:val="00207175"/>
    <w:rsid w:val="0021037D"/>
    <w:rsid w:val="002362B5"/>
    <w:rsid w:val="00285BF2"/>
    <w:rsid w:val="002C451B"/>
    <w:rsid w:val="00330123"/>
    <w:rsid w:val="00394205"/>
    <w:rsid w:val="003A2FB9"/>
    <w:rsid w:val="003A77C0"/>
    <w:rsid w:val="003C28CB"/>
    <w:rsid w:val="00404666"/>
    <w:rsid w:val="00412CC5"/>
    <w:rsid w:val="00432121"/>
    <w:rsid w:val="00442FC4"/>
    <w:rsid w:val="00462EFC"/>
    <w:rsid w:val="0048596A"/>
    <w:rsid w:val="004D6350"/>
    <w:rsid w:val="00505C55"/>
    <w:rsid w:val="00513ADE"/>
    <w:rsid w:val="00530616"/>
    <w:rsid w:val="0054245F"/>
    <w:rsid w:val="0056563D"/>
    <w:rsid w:val="005746D5"/>
    <w:rsid w:val="00585302"/>
    <w:rsid w:val="005A66D3"/>
    <w:rsid w:val="005B3146"/>
    <w:rsid w:val="005E7602"/>
    <w:rsid w:val="00605178"/>
    <w:rsid w:val="006929B8"/>
    <w:rsid w:val="006C2324"/>
    <w:rsid w:val="00701762"/>
    <w:rsid w:val="00721452"/>
    <w:rsid w:val="007216A3"/>
    <w:rsid w:val="007248AE"/>
    <w:rsid w:val="00772622"/>
    <w:rsid w:val="00792A6F"/>
    <w:rsid w:val="007B63A7"/>
    <w:rsid w:val="007C32E0"/>
    <w:rsid w:val="007C5E3E"/>
    <w:rsid w:val="007D1EEF"/>
    <w:rsid w:val="007E190E"/>
    <w:rsid w:val="007E6439"/>
    <w:rsid w:val="00802A2D"/>
    <w:rsid w:val="00814C1C"/>
    <w:rsid w:val="008248FB"/>
    <w:rsid w:val="00852530"/>
    <w:rsid w:val="00872EDE"/>
    <w:rsid w:val="008B68A3"/>
    <w:rsid w:val="008D135F"/>
    <w:rsid w:val="00915BAC"/>
    <w:rsid w:val="00964BFB"/>
    <w:rsid w:val="00983EC5"/>
    <w:rsid w:val="009A3531"/>
    <w:rsid w:val="00A13041"/>
    <w:rsid w:val="00A16966"/>
    <w:rsid w:val="00A30E4B"/>
    <w:rsid w:val="00A5616E"/>
    <w:rsid w:val="00A6099D"/>
    <w:rsid w:val="00A60A10"/>
    <w:rsid w:val="00A62C6B"/>
    <w:rsid w:val="00B446C2"/>
    <w:rsid w:val="00B45AA8"/>
    <w:rsid w:val="00B600F9"/>
    <w:rsid w:val="00B72103"/>
    <w:rsid w:val="00B9114F"/>
    <w:rsid w:val="00BA07B6"/>
    <w:rsid w:val="00BD4FCD"/>
    <w:rsid w:val="00BF5F81"/>
    <w:rsid w:val="00C04091"/>
    <w:rsid w:val="00C15761"/>
    <w:rsid w:val="00C42AFD"/>
    <w:rsid w:val="00CC579C"/>
    <w:rsid w:val="00D0466B"/>
    <w:rsid w:val="00D13E01"/>
    <w:rsid w:val="00D238FC"/>
    <w:rsid w:val="00D26C87"/>
    <w:rsid w:val="00D26DFA"/>
    <w:rsid w:val="00D33B26"/>
    <w:rsid w:val="00D5083C"/>
    <w:rsid w:val="00DA1D58"/>
    <w:rsid w:val="00DB3BFE"/>
    <w:rsid w:val="00DD6394"/>
    <w:rsid w:val="00DE7346"/>
    <w:rsid w:val="00E07ED0"/>
    <w:rsid w:val="00E73072"/>
    <w:rsid w:val="00E73648"/>
    <w:rsid w:val="00EA3A6B"/>
    <w:rsid w:val="00EE001C"/>
    <w:rsid w:val="00F138F0"/>
    <w:rsid w:val="00F4180A"/>
    <w:rsid w:val="00F42607"/>
    <w:rsid w:val="00F63089"/>
    <w:rsid w:val="00F965A7"/>
    <w:rsid w:val="00FB197A"/>
    <w:rsid w:val="00FE4BE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2DFC5"/>
  <w15:docId w15:val="{F6C72AD5-EA28-4840-9A80-2DD6912F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2103"/>
    <w:pPr>
      <w:spacing w:after="160" w:line="259" w:lineRule="auto"/>
    </w:pPr>
    <w:rPr>
      <w:rFonts w:ascii="Calibri" w:eastAsia="Calibri" w:hAnsi="Calibri" w:cs="Calibri"/>
      <w:lang w:val="en-US"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2103"/>
    <w:pPr>
      <w:ind w:left="720"/>
      <w:contextualSpacing/>
    </w:pPr>
  </w:style>
  <w:style w:type="paragraph" w:styleId="Ballontekst">
    <w:name w:val="Balloon Text"/>
    <w:basedOn w:val="Standaard"/>
    <w:link w:val="BallontekstChar"/>
    <w:uiPriority w:val="99"/>
    <w:semiHidden/>
    <w:unhideWhenUsed/>
    <w:rsid w:val="00B721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2103"/>
    <w:rPr>
      <w:rFonts w:ascii="Tahoma" w:eastAsia="Calibri" w:hAnsi="Tahoma" w:cs="Tahoma"/>
      <w:sz w:val="16"/>
      <w:szCs w:val="16"/>
      <w:lang w:val="en-US" w:eastAsia="en-GB"/>
    </w:rPr>
  </w:style>
  <w:style w:type="character" w:styleId="Verwijzingopmerking">
    <w:name w:val="annotation reference"/>
    <w:basedOn w:val="Standaardalinea-lettertype"/>
    <w:uiPriority w:val="99"/>
    <w:semiHidden/>
    <w:unhideWhenUsed/>
    <w:rsid w:val="007248AE"/>
    <w:rPr>
      <w:sz w:val="16"/>
      <w:szCs w:val="16"/>
    </w:rPr>
  </w:style>
  <w:style w:type="paragraph" w:styleId="Tekstopmerking">
    <w:name w:val="annotation text"/>
    <w:basedOn w:val="Standaard"/>
    <w:link w:val="TekstopmerkingChar"/>
    <w:uiPriority w:val="99"/>
    <w:unhideWhenUsed/>
    <w:rsid w:val="007248AE"/>
    <w:pPr>
      <w:spacing w:line="240" w:lineRule="auto"/>
    </w:pPr>
    <w:rPr>
      <w:sz w:val="20"/>
      <w:szCs w:val="20"/>
    </w:rPr>
  </w:style>
  <w:style w:type="character" w:customStyle="1" w:styleId="TekstopmerkingChar">
    <w:name w:val="Tekst opmerking Char"/>
    <w:basedOn w:val="Standaardalinea-lettertype"/>
    <w:link w:val="Tekstopmerking"/>
    <w:uiPriority w:val="99"/>
    <w:rsid w:val="007248AE"/>
    <w:rPr>
      <w:rFonts w:ascii="Calibri" w:eastAsia="Calibri" w:hAnsi="Calibri" w:cs="Calibri"/>
      <w:sz w:val="20"/>
      <w:szCs w:val="20"/>
      <w:lang w:val="en-US" w:eastAsia="en-GB"/>
    </w:rPr>
  </w:style>
  <w:style w:type="paragraph" w:styleId="Onderwerpvanopmerking">
    <w:name w:val="annotation subject"/>
    <w:basedOn w:val="Tekstopmerking"/>
    <w:next w:val="Tekstopmerking"/>
    <w:link w:val="OnderwerpvanopmerkingChar"/>
    <w:uiPriority w:val="99"/>
    <w:semiHidden/>
    <w:unhideWhenUsed/>
    <w:rsid w:val="007248AE"/>
    <w:rPr>
      <w:b/>
      <w:bCs/>
    </w:rPr>
  </w:style>
  <w:style w:type="character" w:customStyle="1" w:styleId="OnderwerpvanopmerkingChar">
    <w:name w:val="Onderwerp van opmerking Char"/>
    <w:basedOn w:val="TekstopmerkingChar"/>
    <w:link w:val="Onderwerpvanopmerking"/>
    <w:uiPriority w:val="99"/>
    <w:semiHidden/>
    <w:rsid w:val="007248AE"/>
    <w:rPr>
      <w:rFonts w:ascii="Calibri" w:eastAsia="Calibri" w:hAnsi="Calibri" w:cs="Calibri"/>
      <w:b/>
      <w:bCs/>
      <w:sz w:val="20"/>
      <w:szCs w:val="20"/>
      <w:lang w:val="en-US" w:eastAsia="en-GB"/>
    </w:rPr>
  </w:style>
  <w:style w:type="paragraph" w:styleId="Revisie">
    <w:name w:val="Revision"/>
    <w:hidden/>
    <w:uiPriority w:val="99"/>
    <w:semiHidden/>
    <w:rsid w:val="00852530"/>
    <w:pPr>
      <w:spacing w:after="0" w:line="240" w:lineRule="auto"/>
    </w:pPr>
    <w:rPr>
      <w:rFonts w:ascii="Calibri" w:eastAsia="Calibri" w:hAnsi="Calibri" w:cs="Calibri"/>
      <w:lang w:val="en-US" w:eastAsia="en-GB"/>
    </w:rPr>
  </w:style>
  <w:style w:type="paragraph" w:styleId="Voettekst">
    <w:name w:val="footer"/>
    <w:basedOn w:val="Standaard"/>
    <w:link w:val="VoettekstChar"/>
    <w:uiPriority w:val="99"/>
    <w:unhideWhenUsed/>
    <w:rsid w:val="00A130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3041"/>
    <w:rPr>
      <w:rFonts w:ascii="Calibri" w:eastAsia="Calibri" w:hAnsi="Calibri" w:cs="Calibri"/>
      <w:lang w:val="en-US" w:eastAsia="en-GB"/>
    </w:rPr>
  </w:style>
  <w:style w:type="character" w:styleId="Paginanummer">
    <w:name w:val="page number"/>
    <w:basedOn w:val="Standaardalinea-lettertype"/>
    <w:uiPriority w:val="99"/>
    <w:semiHidden/>
    <w:unhideWhenUsed/>
    <w:rsid w:val="00A13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88246">
      <w:bodyDiv w:val="1"/>
      <w:marLeft w:val="0"/>
      <w:marRight w:val="0"/>
      <w:marTop w:val="0"/>
      <w:marBottom w:val="0"/>
      <w:divBdr>
        <w:top w:val="none" w:sz="0" w:space="0" w:color="auto"/>
        <w:left w:val="none" w:sz="0" w:space="0" w:color="auto"/>
        <w:bottom w:val="none" w:sz="0" w:space="0" w:color="auto"/>
        <w:right w:val="none" w:sz="0" w:space="0" w:color="auto"/>
      </w:divBdr>
    </w:div>
    <w:div w:id="505368273">
      <w:bodyDiv w:val="1"/>
      <w:marLeft w:val="0"/>
      <w:marRight w:val="0"/>
      <w:marTop w:val="0"/>
      <w:marBottom w:val="0"/>
      <w:divBdr>
        <w:top w:val="none" w:sz="0" w:space="0" w:color="auto"/>
        <w:left w:val="none" w:sz="0" w:space="0" w:color="auto"/>
        <w:bottom w:val="none" w:sz="0" w:space="0" w:color="auto"/>
        <w:right w:val="none" w:sz="0" w:space="0" w:color="auto"/>
      </w:divBdr>
    </w:div>
    <w:div w:id="603805437">
      <w:bodyDiv w:val="1"/>
      <w:marLeft w:val="0"/>
      <w:marRight w:val="0"/>
      <w:marTop w:val="0"/>
      <w:marBottom w:val="0"/>
      <w:divBdr>
        <w:top w:val="none" w:sz="0" w:space="0" w:color="auto"/>
        <w:left w:val="none" w:sz="0" w:space="0" w:color="auto"/>
        <w:bottom w:val="none" w:sz="0" w:space="0" w:color="auto"/>
        <w:right w:val="none" w:sz="0" w:space="0" w:color="auto"/>
      </w:divBdr>
    </w:div>
    <w:div w:id="924724425">
      <w:bodyDiv w:val="1"/>
      <w:marLeft w:val="0"/>
      <w:marRight w:val="0"/>
      <w:marTop w:val="0"/>
      <w:marBottom w:val="0"/>
      <w:divBdr>
        <w:top w:val="none" w:sz="0" w:space="0" w:color="auto"/>
        <w:left w:val="none" w:sz="0" w:space="0" w:color="auto"/>
        <w:bottom w:val="none" w:sz="0" w:space="0" w:color="auto"/>
        <w:right w:val="none" w:sz="0" w:space="0" w:color="auto"/>
      </w:divBdr>
    </w:div>
    <w:div w:id="17638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cid:image002.png@01D70113.2B9A07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D7A63-1631-4532-952B-3EDED0255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8671</Words>
  <Characters>47696</Characters>
  <Application>Microsoft Office Word</Application>
  <DocSecurity>0</DocSecurity>
  <Lines>397</Lines>
  <Paragraphs>112</Paragraphs>
  <ScaleCrop>false</ScaleCrop>
  <HeadingPairs>
    <vt:vector size="6" baseType="variant">
      <vt:variant>
        <vt:lpstr>Titel</vt:lpstr>
      </vt:variant>
      <vt:variant>
        <vt:i4>1</vt:i4>
      </vt:variant>
      <vt:variant>
        <vt:lpstr>Otsikko</vt:lpstr>
      </vt:variant>
      <vt:variant>
        <vt:i4>1</vt:i4>
      </vt:variant>
      <vt:variant>
        <vt:lpstr>Title</vt:lpstr>
      </vt:variant>
      <vt:variant>
        <vt:i4>1</vt:i4>
      </vt:variant>
    </vt:vector>
  </HeadingPairs>
  <TitlesOfParts>
    <vt:vector size="3" baseType="lpstr">
      <vt:lpstr/>
      <vt:lpstr/>
      <vt:lpstr/>
    </vt:vector>
  </TitlesOfParts>
  <Company>Niuvanniemi</Company>
  <LinksUpToDate>false</LinksUpToDate>
  <CharactersWithSpaces>56255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Markku Lähteenvuo</dc:creator>
  <cp:lastModifiedBy>Jurjen Luykx</cp:lastModifiedBy>
  <cp:revision>2</cp:revision>
  <dcterms:created xsi:type="dcterms:W3CDTF">2022-06-17T04:39:00Z</dcterms:created>
  <dcterms:modified xsi:type="dcterms:W3CDTF">2022-06-17T04:39:00Z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7a1c1544-a11b-3a1a-9c29-1d7af13ebb5c</vt:lpwstr>
  </property>
  <property fmtid="{D5CDD505-2E9C-101B-9397-08002B2CF9AE}" pid="24" name="Mendeley Citation Style_1">
    <vt:lpwstr>http://www.zotero.org/styles/vancouver</vt:lpwstr>
  </property>
</Properties>
</file>