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73E9" w14:textId="77777777" w:rsidR="005D21F3" w:rsidRDefault="00000000">
      <w:pPr>
        <w:pStyle w:val="Heading1"/>
      </w:pPr>
      <w:r>
        <w:t>SUPPLEMENTARY MATERIAL</w:t>
      </w:r>
    </w:p>
    <w:p w14:paraId="5CD381BE" w14:textId="77777777" w:rsidR="005D21F3" w:rsidRDefault="00000000">
      <w:pPr>
        <w:spacing w:after="200"/>
        <w:contextualSpacing/>
        <w:rPr>
          <w:rFonts w:cs="Times New Roman"/>
          <w:b/>
          <w:bCs/>
        </w:rPr>
      </w:pPr>
      <w:r>
        <w:rPr>
          <w:rFonts w:cs="Times New Roman"/>
          <w:b/>
          <w:bCs/>
        </w:rPr>
        <w:t>Supplementary Methods</w:t>
      </w:r>
    </w:p>
    <w:p w14:paraId="39253688" w14:textId="77777777" w:rsidR="005D21F3" w:rsidRDefault="00000000">
      <w:pPr>
        <w:spacing w:after="200"/>
        <w:contextualSpacing/>
        <w:rPr>
          <w:rFonts w:cs="Times New Roman"/>
          <w:i/>
          <w:iCs/>
        </w:rPr>
      </w:pPr>
      <w:r>
        <w:rPr>
          <w:rFonts w:cs="Times New Roman"/>
          <w:i/>
          <w:iCs/>
        </w:rPr>
        <w:t>Assessment of total hours of sleep as an index of sedation</w:t>
      </w:r>
    </w:p>
    <w:p w14:paraId="63A9D772" w14:textId="1B0E6BDE" w:rsidR="005D21F3" w:rsidRDefault="00000000">
      <w:pPr>
        <w:spacing w:after="200"/>
        <w:contextualSpacing/>
      </w:pPr>
      <w:r>
        <w:t xml:space="preserve">There are several ways to measure the severity of sedation in the clinical setting. First, a clinician can rely on the </w:t>
      </w:r>
      <w:r w:rsidR="000C0578">
        <w:t xml:space="preserve">patients’ </w:t>
      </w:r>
      <w:r>
        <w:t>subjective self-report</w:t>
      </w:r>
      <w:r w:rsidR="000C0578">
        <w:t>s of</w:t>
      </w:r>
      <w:r>
        <w:t xml:space="preserve"> sedation levels. However, </w:t>
      </w:r>
      <w:r w:rsidR="000C0578">
        <w:t xml:space="preserve">such </w:t>
      </w:r>
      <w:r>
        <w:t>reports tend to vary significantly, and do not necessarily correspond to more objective measures of drowsiness</w:t>
      </w:r>
      <w:r>
        <w:fldChar w:fldCharType="begin"/>
      </w:r>
      <w:r>
        <w:instrText>ADDIN ZOTERO_ITEM CSL_CITATION {"citationID":"A3kRxFAS","properties":{"formattedCitation":"\\super 1\\nosupersub{}","plainCitation":"1","noteIndex":0},"citationItems":[{"id":2670,"uris":["http://zotero.org/users/394004/items/JR5I3FKF"],"itemData":{"id":2670,"type":"article-journal","abstract":"Cancer patients often report complaints of cognitive impairment and sedation. It is not well known if subjective complaints reflect objective assessments of cognitive function (CF) and sedation. We obtained self-reports of sedation and CF from 29 patients admitted to a palliative care unit and receiving morphine treatment. Sedation was reported on a verbal rating scale (VRS) and CF was reported using the EORTC QLQ-C30 health-related quality-of-life questionnaire CF scale. The self-reports were compared with objective assessments of sedation and CF by applying the Observer's Assessment of Alertness/Sedation (OAA/S) scale and Mini Mental State Examination (MMS), respectively. The assessments were repeated for seven patients who were readmitted to the palliative care unit. The patient self-reports of memory, concentration and sedation were dichotomized into noncomplainers and complainers. The percentages of complainers were 54%, 46% and 37% for memory, concentration and sedation, respectively. Patients who complained from difficulties with concentration or memory did not score differently from noncomplainers on objective assessments of CF (MMS score), but had a significantly higher level of fatigue. Patients complaining from sedation did not score differently from noncomplainers on objective assessments of sedation (OAA/S score). We observed no significant correlations between EORTC QLQ-C30 CF scale scores and MMS scores, or between VRS sedation scores and OAA/S scores. The study demonstrates a lack of relationship between patient self-reports and objective methods for assessing sedation and cognitive failure. This finding illustrates the importance of differentiating between observations and patient self-reports. The results also question the validity of patient self-reports for measurements of cognitive failure and sedation.","container-title":"Palliative Medicine","DOI":"10.1191/0269216302pm587oa","ISSN":"0269-2163","issue":"6","journalAbbreviation":"Palliat Med","language":"en","note":"publisher: SAGE Publications Ltd STM","page":"513-519","source":"SAGE Journals","title":"Self-reports are not related to objective assessments of cognitive function and sedation in patients with cancer pain admitted to a palliative care unit","volume":"16","author":[{"family":"Klepstad","given":"Pal"},{"family":"Hilton","given":"Priscilla"},{"family":"Moen","given":"Jorunn"},{"family":"Fougner","given":"Bjørn"},{"family":"Borchgrevink","given":"Petter C"},{"family":"Kaasa","given":"Stein"}],"issued":{"date-parts":[["2002",9,1]]}}}],"schema":"https://github.com/citation-style-language/schema/raw/master/csl-citation.json"}</w:instrText>
      </w:r>
      <w:r>
        <w:fldChar w:fldCharType="separate"/>
      </w:r>
      <w:r>
        <w:rPr>
          <w:rFonts w:cs="Times New Roman"/>
          <w:color w:val="000000"/>
          <w:vertAlign w:val="superscript"/>
        </w:rPr>
        <w:t>1</w:t>
      </w:r>
      <w:r>
        <w:fldChar w:fldCharType="end"/>
      </w:r>
      <w:r>
        <w:t>. Second, one can use questionnaires measuring sleepiness and fatigue, such as the Fatigue Assessment Instrument</w:t>
      </w:r>
      <w:r>
        <w:fldChar w:fldCharType="begin"/>
      </w:r>
      <w:r>
        <w:instrText>ADDIN ZOTERO_ITEM CSL_CITATION {"citationID":"R7chlnuL","properties":{"formattedCitation":"\\super 2\\nosupersub{}","plainCitation":"2","noteIndex":0},"citationItems":[{"id":2673,"uris":["http://zotero.org/users/394004/items/KJHHNQ72"],"itemData":{"id":2673,"type":"article-journal","abstract":"Fatigue is a frequent medical symptom which has not been routinely measured. We present a 29-item fatigue assessment instrument, describe its psychometric properties, and use it to differentiate normal fatigue from fatigue related medical disorders. Differences in fatigue across a variety of medical disorders, the reproducibility of the fatigue instrument, and its convergent validity with other fatigue measures are also described.","container-title":"Journal of Psychosomatic Research","DOI":"10.1016/0022-3999(93)90104-N","ISSN":"0022-3999","issue":"7","journalAbbreviation":"Journal of Psychosomatic Research","language":"en","page":"753-762","source":"ScienceDirect","title":"The measurement of fatigue: A new instrument","title-short":"The measurement of fatigue","volume":"37","author":[{"family":"Schwartz","given":"Joseph E."},{"family":"Jandorf","given":"Lina"},{"family":"Krupp","given":"Lauren B."}],"issued":{"date-parts":[["1993",10,1]]}}}],"schema":"https://github.com/citation-style-language/schema/raw/master/csl-citation.json"}</w:instrText>
      </w:r>
      <w:r>
        <w:fldChar w:fldCharType="separate"/>
      </w:r>
      <w:r>
        <w:rPr>
          <w:rFonts w:cs="Times New Roman"/>
          <w:color w:val="000000"/>
          <w:vertAlign w:val="superscript"/>
        </w:rPr>
        <w:t>2</w:t>
      </w:r>
      <w:r>
        <w:fldChar w:fldCharType="end"/>
      </w:r>
      <w:r>
        <w:t>, but these can be quite long for regular clinical use</w:t>
      </w:r>
      <w:r w:rsidR="008954E1">
        <w:t xml:space="preserve">. </w:t>
      </w:r>
      <w:r w:rsidR="000362AB">
        <w:t xml:space="preserve">They have not been designed for use in schizophrenia patients so may conflate primary and secondary ‘fatigue’ symptoms. </w:t>
      </w:r>
      <w:r>
        <w:t>Third, sedation can be assessed by a clinician using a Likert scale</w:t>
      </w:r>
      <w:r>
        <w:fldChar w:fldCharType="begin"/>
      </w:r>
      <w:r>
        <w:instrText>ADDIN ZOTERO_ITEM CSL_CITATION {"citationID":"zp47tVkj","properties":{"formattedCitation":"\\super 3\\nosupersub{}","plainCitation":"3","noteIndex":0},"citationItems":[{"id":2763,"uris":["http://zotero.org/users/394004/items/NUJWFRE7"],"itemData":{"id":2763,"type":"article-journal","abstract":"Antipsychotic drugs are thought to produce secondary negative symptoms, which can also exacerbate primary negative symptoms. In the present study, we examined whether motivational deficits in particular were related to antipsychotic treatment in patients with schizophrenia in a dose-dependent manner. Five hundred and twenty individuals with schizophrenia who were receiving antipsychotic monotherapy for at least 6 months and followed prospectively were included in the present study. Participants were receiving one of five antipsychotic medications (olanzapine, perphenazine, quetiapine, risperidone, or ziprasidone), and analyses were conducted for patients receiving each drug separately. Analysis of covariance models were constructed to examine the effect of antipsychotic dose on level of motivational impairment, controlling for selected demographic and clinical variables (eg, positive symptoms). Level of motivation, or deficits therein, were evaluated using a derived measure from the Quality of Life Scale, and in addition with scores derived from the Positive and Negative Syndrome Scale. Antipsychotic dose was not related to the level of amotivation for any of the medications examined. Moreover, severity of sedation was not significantly related to the degree of amotivation. One hundred and twenty-one individuals were identified as antipsychotic-free at baseline, and after 6 months of antipsychotic treatment, no change in motivation was found. Chronic treatment with antipsychotics does not necessarily impede or enhance goal-directed motivation in patients with schizophrenia. It is possible that the negative impact of antipsychotics in this regard is overstated; conversely, the present results also indicate that we must look beyond antipsychotics in our efforts to improve motivation.","container-title":"Neuropsychopharmacology","DOI":"10.1038/npp.2015.3","ISSN":"1740-634X","issue":"6","journalAbbreviation":"Neuropsychopharmacol","language":"en","license":"2015 American College of Neuropsychopharmacology","note":"number: 6\npublisher: Nature Publishing Group","page":"1539-1548","source":"www.nature.com","title":"Antipsychotics and Amotivation","volume":"40","author":[{"family":"Fervaha","given":"Gagan"},{"family":"Takeuchi","given":"Hiroyoshi"},{"family":"Lee","given":"Jimmy"},{"family":"Foussias","given":"George"},{"family":"Fletcher","given":"Paul J."},{"family":"Agid","given":"Ofer"},{"family":"Remington","given":"Gary"}],"issued":{"date-parts":[["2015",5]]}}}],"schema":"https://github.com/citation-style-language/schema/raw/master/csl-citation.json"}</w:instrText>
      </w:r>
      <w:r>
        <w:fldChar w:fldCharType="separate"/>
      </w:r>
      <w:r>
        <w:rPr>
          <w:rFonts w:cs="Times New Roman"/>
          <w:vertAlign w:val="superscript"/>
        </w:rPr>
        <w:t>3</w:t>
      </w:r>
      <w:r>
        <w:fldChar w:fldCharType="end"/>
      </w:r>
      <w:r>
        <w:t>; however, this rating is clinician-dependent and can be heavily biased. Fourth, patient daily sleeping habits can provide information about the level of sedation</w:t>
      </w:r>
      <w:r>
        <w:fldChar w:fldCharType="begin"/>
      </w:r>
      <w:r>
        <w:instrText>ADDIN ZOTERO_ITEM CSL_CITATION {"citationID":"sJGnAQQ8","properties":{"formattedCitation":"\\super 4\\nosupersub{}","plainCitation":"4","noteIndex":0},"citationItems":[{"id":2669,"uris":["http://zotero.org/users/394004/items/2S56CDNS"],"itemData":{"id":2669,"type":"article-journal","abstract":"Background \n        Sedation is a common and incapacitating clozapine adverse effect, but the factors associated with sedation and its pharmacological management remain poorly studied.\n        Methods \n        We conducted a retrospective cohort study based on deidentified electronic clinical records of clozapine-treated patients from the secondary mental health care provider for Cambridgeshire and Peterborough, United Kingdom. We first evaluated cross-sectionally the influence of clozapine dose, clozapine, and norclozapine plasma levels on self-reported hours slept, as a proxy for sedation, using bivariate correlation and then the longitudinal effect of changes in clozapine dose and other 23 medications using linear mixed effect models. We followed 241 clozapine-treated patients for 56 months on average, with 2237 face-to-face assessments in total.\n        Results \n        Patients slept for a mean of 9.35 h/d, with 46% reporting 10 h/d or more. Cross-sectionally, sleep duration did not correlate with clozapine dose (r = 0.14, P = 0.106), but with clozapine plasma levels (r = 0.38, P &lt; 0.0001) and norclozapine plasma levels (r = 0.25, P = 0.005). Longitudinally, the final mixed-effects model revealed 4 pharmacological variables that had a significant impact on hours slept: clozapine, risperidone augmentation, and atenolol were associated with increased sleep, whereas aripiprazole augmentation was associated with decreased sleep. We found that 20 other psychotropic medications measured were not associated with changes in sleep when added to clozapine. Excess sleep is a clozapine level-dependent adverse effect.\n        Conclusions \n        The impact of different augmentation strategies might help clinicians decide on the most adequate strategy, albeit further studies should confirm our results.","container-title":"Journal of Clinical Psychopharmacology","DOI":"10.1097/JCP.0000000000001432","ISSN":"0271-0749","issue":"5","language":"en-US","page":"534–539","source":"journals.lww.com","title":"The Effect of Clozapine on Self-reported Duration of Sleep and Its Interaction With 23 Other Medications: A 5-Year Naturalistic Study","title-short":"The Effect of Clozapine on Self-reported Duration of Sleep and Its Interaction With 23 Other Medications","volume":"41","author":[{"family":"Fernandez-Egea","given":"Emilio"},{"family":"Chen","given":"Shanquan"},{"family":"Jenkins","given":"Christopher"},{"family":"Turrion","given":"Concha"},{"family":"Mitchell","given":"Simon P."},{"family":"Dodwell","given":"David J. F."},{"family":"Mann","given":"Louisa M."},{"family":"Deakin","given":"Julia B."},{"family":"Syed","given":"Zahoor H."},{"family":"Hafizi","given":"Sepehr"},{"family":"Zimbron","given":"Jorge"},{"family":"Praseedom","given":"Asha S."},{"family":"Cardinal","given":"Rudolf N."}],"issued":{"date-parts":[["2021",10]]}}}],"schema":"https://github.com/citation-style-language/schema/raw/master/csl-citation.json"}</w:instrText>
      </w:r>
      <w:r>
        <w:fldChar w:fldCharType="separate"/>
      </w:r>
      <w:r>
        <w:rPr>
          <w:rFonts w:cs="Times New Roman"/>
          <w:color w:val="000000"/>
          <w:vertAlign w:val="superscript"/>
        </w:rPr>
        <w:t>4</w:t>
      </w:r>
      <w:r>
        <w:fldChar w:fldCharType="end"/>
      </w:r>
      <w:r>
        <w:t xml:space="preserve">. We have shown that the </w:t>
      </w:r>
      <w:r>
        <w:rPr>
          <w:rFonts w:cs="Times New Roman"/>
          <w:color w:val="000000"/>
        </w:rPr>
        <w:t>total number of hours of sleep per day (overall daytime and night-time sleep)</w:t>
      </w:r>
      <w:r>
        <w:t xml:space="preserve"> provides a reliable measure of anti-psychotic induced sedation</w:t>
      </w:r>
      <w:r>
        <w:fldChar w:fldCharType="begin"/>
      </w:r>
      <w:r>
        <w:instrText>ADDIN ZOTERO_ITEM CSL_CITATION {"citationID":"A8K1r8WJ","properties":{"formattedCitation":"\\super 4\\nosupersub{}","plainCitation":"4","noteIndex":0},"citationItems":[{"id":2669,"uris":["http://zotero.org/users/394004/items/2S56CDNS"],"itemData":{"id":2669,"type":"article-journal","abstract":"Background \n        Sedation is a common and incapacitating clozapine adverse effect, but the factors associated with sedation and its pharmacological management remain poorly studied.\n        Methods \n        We conducted a retrospective cohort study based on deidentified electronic clinical records of clozapine-treated patients from the secondary mental health care provider for Cambridgeshire and Peterborough, United Kingdom. We first evaluated cross-sectionally the influence of clozapine dose, clozapine, and norclozapine plasma levels on self-reported hours slept, as a proxy for sedation, using bivariate correlation and then the longitudinal effect of changes in clozapine dose and other 23 medications using linear mixed effect models. We followed 241 clozapine-treated patients for 56 months on average, with 2237 face-to-face assessments in total.\n        Results \n        Patients slept for a mean of 9.35 h/d, with 46% reporting 10 h/d or more. Cross-sectionally, sleep duration did not correlate with clozapine dose (r = 0.14, P = 0.106), but with clozapine plasma levels (r = 0.38, P &lt; 0.0001) and norclozapine plasma levels (r = 0.25, P = 0.005). Longitudinally, the final mixed-effects model revealed 4 pharmacological variables that had a significant impact on hours slept: clozapine, risperidone augmentation, and atenolol were associated with increased sleep, whereas aripiprazole augmentation was associated with decreased sleep. We found that 20 other psychotropic medications measured were not associated with changes in sleep when added to clozapine. Excess sleep is a clozapine level-dependent adverse effect.\n        Conclusions \n        The impact of different augmentation strategies might help clinicians decide on the most adequate strategy, albeit further studies should confirm our results.","container-title":"Journal of Clinical Psychopharmacology","DOI":"10.1097/JCP.0000000000001432","ISSN":"0271-0749","issue":"5","language":"en-US","page":"534–539","source":"journals.lww.com","title":"The Effect of Clozapine on Self-reported Duration of Sleep and Its Interaction With 23 Other Medications: A 5-Year Naturalistic Study","title-short":"The Effect of Clozapine on Self-reported Duration of Sleep and Its Interaction With 23 Other Medications","volume":"41","author":[{"family":"Fernandez-Egea","given":"Emilio"},{"family":"Chen","given":"Shanquan"},{"family":"Jenkins","given":"Christopher"},{"family":"Turrion","given":"Concha"},{"family":"Mitchell","given":"Simon P."},{"family":"Dodwell","given":"David J. F."},{"family":"Mann","given":"Louisa M."},{"family":"Deakin","given":"Julia B."},{"family":"Syed","given":"Zahoor H."},{"family":"Hafizi","given":"Sepehr"},{"family":"Zimbron","given":"Jorge"},{"family":"Praseedom","given":"Asha S."},{"family":"Cardinal","given":"Rudolf N."}],"issued":{"date-parts":[["2021",10]]}}}],"schema":"https://github.com/citation-style-language/schema/raw/master/csl-citation.json"}</w:instrText>
      </w:r>
      <w:r>
        <w:fldChar w:fldCharType="separate"/>
      </w:r>
      <w:r>
        <w:rPr>
          <w:rFonts w:cs="Times New Roman"/>
          <w:color w:val="000000"/>
          <w:vertAlign w:val="superscript"/>
        </w:rPr>
        <w:t>4</w:t>
      </w:r>
      <w:r>
        <w:fldChar w:fldCharType="end"/>
      </w:r>
      <w:r>
        <w:t xml:space="preserve">, particularly when corroborated with additional questions about sleeping habits. </w:t>
      </w:r>
      <w:r>
        <w:rPr>
          <w:rFonts w:cs="Times New Roman"/>
          <w:color w:val="121212"/>
        </w:rPr>
        <w:t>Estimating the average daily number of hours of sleep provides a robust approach to sleep pattern, shows high reproducibility</w:t>
      </w:r>
      <w:r>
        <w:fldChar w:fldCharType="begin"/>
      </w:r>
      <w:r w:rsidR="00BD172F">
        <w:rPr>
          <w:rFonts w:cs="Times New Roman"/>
          <w:color w:val="121212"/>
        </w:rPr>
        <w:instrText xml:space="preserve"> ADDIN ZOTERO_ITEM CSL_CITATION {"citationID":"ZeBfxln2","properties":{"formattedCitation":"\\super 5\\nosupersub{}","plainCitation":"5","noteIndex":0},"citationItems":[{"id":"mXUrEYuz/aQOiOYHc","uris":["http://www.mendeley.com/documents/?uuid=cc8a3934-a40e-4d77-81c5-b8350700d6a5"],"itemData":{"DOI":"10.1093/sleep/27.3.440","ISSN":"01618105","PMID":"15164896","abstract":"Study Objectives: It is commonly believed that 8 hours of sleep per night is optimal for good health. However, recent studies suggest the risk of death is lower in those sleeping 7 hours. We prospectively examined the association between sleep duration and mortality in women to better understand the effect of sleep duration on health. Design: Prospective observational study. Setting: Community-based. Participants: Women in the Nurses Health Study who answered a mailed questionnaire asking about sleep duration in 1986. Interventions: None. Measurements and Results: Vital status was ascertained through questionnaires, contact with next of kin, and the National Death Index. During the 14 years of this study (1986-2000), 5409 deaths occurred in the 82,969 women who responded to the initial questionnaire. Mortality risk was lowest among nurses reporting 7 hours of sleep per night. After adjusting for age, smoking, alcohol, exercise, depression, snoring, obesity, and history of cancer and cardiovascular disease, sleeping less than 6 hours or more than 7 hours remained associated with an increased risk of death. The relative mortality risk for sleeping 5 hours or less was 1.15 (95% confidence interval [CI], 1.02-1.29) for 6 hours, 1.01 (95% CI, 0.94-1.08), for 7 hours, 1.00 (reference group), for 8 hours, 1.12 (95% CI, 1.05-1.20), and for 9 or more hours 1.42 (95% CI, 1.27-1.58). Conclusions: These results confirm previous findings that mortality risk in women is lowest among those sleeping 6 to 7 hours. Further research is needed to understand the mechanisms by which short and long sleep times can affect health.","author":[{"dropping-particle":"","family":"Patel","given":"Sanjay R.","non-dropping-particle":"","parse-names":false,"suffix":""},{"dropping-particle":"","family":"Ayas","given":"Najib T.","non-dropping-particle":"","parse-names":false,"suffix":""},{"dropping-particle":"","family":"Malhotra","given":"Mark R.","non-dropping-particle":"","parse-names":false,"suffix":""},{"dropping-particle":"","family":"White","given":"David P.","non-dropping-particle":"","parse-names":false,"suffix":""},{"dropping-particle":"","family":"Schernhammer","given":"Eva S.","non-dropping-particle":"","parse-names":false,"suffix":""},{"dropping-particle":"","family":"Speizer","given":"Frank E.","non-dropping-particle":"","parse-names":false,"suffix":""},{"dropping-particle":"","family":"Stampler","given":"Meir J.","non-dropping-particle":"","parse-names":false,"suffix":""},{"dropping-particle":"","family":"Hu","given":"Frank B.","non-dropping-particle":"","parse-names":false,"suffix":""}],"container-title":"Sleep","id":"ITEM-1","issued":{"date-parts":[["2004"]]},"title":"A prospective study of sleep duration and mortality risk in women","type":"article-journal"}}],"schema":"https://github.com/citation-style-language/schema/raw/master/csl-citation.json"} </w:instrText>
      </w:r>
      <w:r>
        <w:rPr>
          <w:rFonts w:cs="Times New Roman"/>
          <w:color w:val="121212"/>
        </w:rPr>
        <w:fldChar w:fldCharType="separate"/>
      </w:r>
      <w:r>
        <w:rPr>
          <w:rFonts w:cs="Times New Roman"/>
          <w:color w:val="000000"/>
          <w:vertAlign w:val="superscript"/>
        </w:rPr>
        <w:t>5</w:t>
      </w:r>
      <w:r>
        <w:rPr>
          <w:rFonts w:cs="Times New Roman"/>
          <w:color w:val="121212"/>
        </w:rPr>
        <w:fldChar w:fldCharType="end"/>
      </w:r>
      <w:r>
        <w:rPr>
          <w:rFonts w:cs="Times New Roman"/>
          <w:color w:val="121212"/>
        </w:rPr>
        <w:t xml:space="preserve"> and correlates well with objective measures of sleep</w:t>
      </w:r>
      <w:r>
        <w:fldChar w:fldCharType="begin"/>
      </w:r>
      <w:r w:rsidR="00BD172F">
        <w:rPr>
          <w:rFonts w:cs="Times New Roman"/>
          <w:color w:val="121212"/>
        </w:rPr>
        <w:instrText xml:space="preserve"> ADDIN ZOTERO_ITEM CSL_CITATION {"citationID":"gIDiqOyO","properties":{"formattedCitation":"\\super 6\\nosupersub{}","plainCitation":"6","noteIndex":0},"citationItems":[{"id":"mXUrEYuz/x4Zy69jU","uris":["http://www.mendeley.com/documents/?uuid=1aba7f36-ab32-4cfb-b3a1-d99bc42cc798"],"itemData":{"DOI":"10.2188/jea.14.1","ISSN":"09175040","PMID":"15065685","abstract":"Background: The validity of sleep quality and quantity indices as reported by schoolchildren has not been established. The purpose of this study is to evaluate the relationship between subjective sleep habits estimation and objective measurement data in schoolchildren. Methods: The study consisted of 42 healthy, junior high school children aged 13-14. Sleep log information was gathered over 7 consecutive days, using a sleep- monitoring device (Actiwatch®) and a questionnaire which covered the following aspects for sleep quality and quantity: bed time, sleep latency, sleep start, sleep end, wake up and assumed sleep length. The means of the sleep indices for 5 weekdays were used for analysis. Pearson's correlation coefficients and paired t-tests were used to evaluate the correlation and difference between subjective and objective sleep parameters. Results: The correlation coefficient between subjective and objective records was 0.49 (p&lt;0.001) for sleep latency, 0.99 (p&lt;0.001) for sleep start time, 0.99 (p&lt;0.001) for sleep end time, and 0.97 (p&lt;0.001) for assumed sleep length. The difference between subjective and objective records was 7.67 min (95% confidence interval [Cl]: 4.64-10.71) for sleep latency, and 0:02 min (95% Cl: -0:.01-0.05) for sleep start time, 0:02 min (95% Cl: 0:01 -0:03) for sleep end time, and 8.19 min (95% Cl: 4.93-11.45) for assumed sleep length. Conclusions: Although children tended to overestimate sleeping hours, the correlation between subjective and objective sleep indices except sleep latency was quite high. Thus, children's sleep questionnaire can be applied to surveys for sleep habits screening. Copyright © 2005 by Japan Epidemiological Association.","author":[{"dropping-particle":"","family":"Gaina","given":"Alexandru","non-dropping-particle":"","parse-names":false,"suffix":""},{"dropping-particle":"","family":"Sekine","given":"Michikazu","non-dropping-particle":"","parse-names":false,"suffix":""},{"dropping-particle":"","family":"Chen","given":"Xiaoli","non-dropping-particle":"","parse-names":false,"suffix":""},{"dropping-particle":"","family":"Hamanishi","given":"Shimako","non-dropping-particle":"","parse-names":false,"suffix":""},{"dropping-particle":"","family":"Kagamimori","given":"Sadanobu","non-dropping-particle":"","parse-names":false,"suffix":""}],"container-title":"Journal of Epidemiology","id":"ITEM-1","issued":{"date-parts":[["2004"]]},"title":"Validity of child sleep diary questionnaire among junior high school children","type":"article-journal"}}],"schema":"https://github.com/citation-style-language/schema/raw/master/csl-citation.json"} </w:instrText>
      </w:r>
      <w:r>
        <w:rPr>
          <w:rFonts w:cs="Times New Roman"/>
          <w:color w:val="121212"/>
        </w:rPr>
        <w:fldChar w:fldCharType="separate"/>
      </w:r>
      <w:r>
        <w:rPr>
          <w:rFonts w:cs="Times New Roman"/>
          <w:color w:val="000000"/>
          <w:vertAlign w:val="superscript"/>
        </w:rPr>
        <w:t>6</w:t>
      </w:r>
      <w:r>
        <w:rPr>
          <w:rFonts w:cs="Times New Roman"/>
          <w:color w:val="121212"/>
        </w:rPr>
        <w:fldChar w:fldCharType="end"/>
      </w:r>
      <w:r>
        <w:rPr>
          <w:rFonts w:cs="Times New Roman"/>
          <w:color w:val="121212"/>
        </w:rPr>
        <w:t xml:space="preserve">. </w:t>
      </w:r>
      <w:r>
        <w:t>We showed that the total number of hours of sleep is (antipsychotic) dose-dependent within and across patients. We therefore used this measure as a clinical proxy for antipsychotic-induced (clozapine-induced) sedation.</w:t>
      </w:r>
    </w:p>
    <w:p w14:paraId="05BB1AAB" w14:textId="77777777" w:rsidR="005D21F3" w:rsidRDefault="005D21F3">
      <w:pPr>
        <w:spacing w:after="200"/>
        <w:contextualSpacing/>
        <w:rPr>
          <w:rFonts w:cs="Times New Roman"/>
        </w:rPr>
      </w:pPr>
    </w:p>
    <w:p w14:paraId="75FAB4F6" w14:textId="09853B79" w:rsidR="005D21F3" w:rsidRDefault="00000000">
      <w:pPr>
        <w:spacing w:after="200"/>
        <w:contextualSpacing/>
      </w:pPr>
      <w:r>
        <w:rPr>
          <w:rFonts w:cs="Times New Roman"/>
        </w:rPr>
        <w:t xml:space="preserve">In addition to direct questions about day and night sleep duration, the following questions were used to corroborate the patient’s response: </w:t>
      </w:r>
      <w:r>
        <w:rPr>
          <w:rFonts w:cs="Times New Roman"/>
          <w:color w:val="121212"/>
        </w:rPr>
        <w:t xml:space="preserve">1) How many hours do you sleep at night on average? 2) Do you have any naps during the day? 3) What time do you go to bed at night? 4) What time do you wake up in the morning? 5) Has your sleep pattern changed in the last few </w:t>
      </w:r>
      <w:r>
        <w:rPr>
          <w:rFonts w:cs="Times New Roman"/>
          <w:color w:val="121212"/>
        </w:rPr>
        <w:lastRenderedPageBreak/>
        <w:t xml:space="preserve">weeks or months? These different questions were used to obtain a consistent estimate of total daily sleep duration. In case of a discrepancy between responses, the conflict was pointed out to the patient and questions were repeated until a consistent response was obtained. </w:t>
      </w:r>
      <w:r>
        <w:fldChar w:fldCharType="begin"/>
      </w:r>
      <w:r w:rsidR="00BD172F">
        <w:rPr>
          <w:rFonts w:cs="Times New Roman"/>
          <w:color w:val="121212"/>
        </w:rPr>
        <w:instrText xml:space="preserve"> ADDIN ZOTERO_ITEM CSL_CITATION {"citationID":"NQpTMDjY","properties":{"formattedCitation":"\\super 5,6\\nosupersub{}","plainCitation":"5,6","noteIndex":0},"citationItems":[{"id":"mXUrEYuz/x4Zy69jU","uris":["http://www.mendeley.com/documents/?uuid=1aba7f36-ab32-4cfb-b3a1-d99bc42cc798"],"itemData":{"DOI":"10.2188/jea.14.1","ISSN":"09175040","PMID":"15065685","abstract":"Background: The validity of sleep quality and quantity indices as reported by schoolchildren has not been established. The purpose of this study is to evaluate the relationship between subjective sleep habits estimation and objective measurement data in schoolchildren. Methods: The study consisted of 42 healthy, junior high school children aged 13-14. Sleep log information was gathered over 7 consecutive days, using a sleep- monitoring device (Actiwatch®) and a questionnaire which covered the following aspects for sleep quality and quantity: bed time, sleep latency, sleep start, sleep end, wake up and assumed sleep length. The means of the sleep indices for 5 weekdays were used for analysis. Pearson's correlation coefficients and paired t-tests were used to evaluate the correlation and difference between subjective and objective sleep parameters. Results: The correlation coefficient between subjective and objective records was 0.49 (p&lt;0.001) for sleep latency, 0.99 (p&lt;0.001) for sleep start time, 0.99 (p&lt;0.001) for sleep end time, and 0.97 (p&lt;0.001) for assumed sleep length. The difference between subjective and objective records was 7.67 min (95% confidence interval [Cl]: 4.64-10.71) for sleep latency, and 0:02 min (95% Cl: -0:.01-0.05) for sleep start time, 0:02 min (95% Cl: 0:01 -0:03) for sleep end time, and 8.19 min (95% Cl: 4.93-11.45) for assumed sleep length. Conclusions: Although children tended to overestimate sleeping hours, the correlation between subjective and objective sleep indices except sleep latency was quite high. Thus, children's sleep questionnaire can be applied to surveys for sleep habits screening. Copyright © 2005 by Japan Epidemiological Association.","author":[{"dropping-particle":"","family":"Gaina","given":"Alexandru","non-dropping-particle":"","parse-names":false,"suffix":""},{"dropping-particle":"","family":"Sekine","given":"Michikazu","non-dropping-particle":"","parse-names":false,"suffix":""},{"dropping-particle":"","family":"Chen","given":"Xiaoli","non-dropping-particle":"","parse-names":false,"suffix":""},{"dropping-particle":"","family":"Hamanishi","given":"Shimako","non-dropping-particle":"","parse-names":false,"suffix":""},{"dropping-particle":"","family":"Kagamimori","given":"Sadanobu","non-dropping-particle":"","parse-names":false,"suffix":""}],"container-title":"Journal of Epidemiology","id":"ITEM-1","issued":{"date-parts":[["2004"]]},"title":"Validity of child sleep diary questionnaire among junior high school children","type":"article-journal"}},{"id":"mXUrEYuz/aQOiOYHc","uris":["http://www.mendeley.com/documents/?uuid=cc8a3934-a40e-4d77-81c5-b8350700d6a5"],"itemData":{"DOI":"10.1093/sleep/27.3.440","ISSN":"01618105","PMID":"15164896","abstract":"Study Objectives: It is commonly believed that 8 hours of sleep per night is optimal for good health. However, recent studies suggest the risk of death is lower in those sleeping 7 hours. We prospectively examined the association between sleep duration and mortality in women to better understand the effect of sleep duration on health. Design: Prospective observational study. Setting: Community-based. Participants: Women in the Nurses Health Study who answered a mailed questionnaire asking about sleep duration in 1986. Interventions: None. Measurements and Results: Vital status was ascertained through questionnaires, contact with next of kin, and the National Death Index. During the 14 years of this study (1986-2000), 5409 deaths occurred in the 82,969 women who responded to the initial questionnaire. Mortality risk was lowest among nurses reporting 7 hours of sleep per night. After adjusting for age, smoking, alcohol, exercise, depression, snoring, obesity, and history of cancer and cardiovascular disease, sleeping less than 6 hours or more than 7 hours remained associated with an increased risk of death. The relative mortality risk for sleeping 5 hours or less was 1.15 (95% confidence interval [CI], 1.02-1.29) for 6 hours, 1.01 (95% CI, 0.94-1.08), for 7 hours, 1.00 (reference group), for 8 hours, 1.12 (95% CI, 1.05-1.20), and for 9 or more hours 1.42 (95% CI, 1.27-1.58). Conclusions: These results confirm previous findings that mortality risk in women is lowest among those sleeping 6 to 7 hours. Further research is needed to understand the mechanisms by which short and long sleep times can affect health.","author":[{"dropping-particle":"","family":"Patel","given":"Sanjay R.","non-dropping-particle":"","parse-names":false,"suffix":""},{"dropping-particle":"","family":"Ayas","given":"Najib T.","non-dropping-particle":"","parse-names":false,"suffix":""},{"dropping-particle":"","family":"Malhotra","given":"Mark R.","non-dropping-particle":"","parse-names":false,"suffix":""},{"dropping-particle":"","family":"White","given":"David P.","non-dropping-particle":"","parse-names":false,"suffix":""},{"dropping-particle":"","family":"Schernhammer","given":"Eva S.","non-dropping-particle":"","parse-names":false,"suffix":""},{"dropping-particle":"","family":"Speizer","given":"Frank E.","non-dropping-particle":"","parse-names":false,"suffix":""},{"dropping-particle":"","family":"Stampler","given":"Meir J.","non-dropping-particle":"","parse-names":false,"suffix":""},{"dropping-particle":"","family":"Hu","given":"Frank B.","non-dropping-particle":"","parse-names":false,"suffix":""}],"container-title":"Sleep","id":"ITEM-1","issued":{"date-parts":[["2004"]]},"title":"A prospective study of sleep duration and mortality risk in women","type":"article-journal"}}],"schema":"https://github.com/citation-style-language/schema/raw/master/csl-citation.json"} </w:instrText>
      </w:r>
      <w:r>
        <w:rPr>
          <w:rFonts w:cs="Times New Roman"/>
          <w:color w:val="121212"/>
        </w:rPr>
        <w:fldChar w:fldCharType="separate"/>
      </w:r>
      <w:r w:rsidR="00BD172F" w:rsidRPr="00BD172F">
        <w:rPr>
          <w:rFonts w:cs="Times New Roman"/>
          <w:color w:val="000000"/>
          <w:vertAlign w:val="superscript"/>
        </w:rPr>
        <w:t>5,6</w:t>
      </w:r>
      <w:r>
        <w:rPr>
          <w:rFonts w:cs="Times New Roman"/>
          <w:color w:val="121212"/>
        </w:rPr>
        <w:fldChar w:fldCharType="end"/>
      </w:r>
    </w:p>
    <w:p w14:paraId="2DFD2CF7" w14:textId="77777777" w:rsidR="005D21F3" w:rsidRDefault="005D21F3">
      <w:pPr>
        <w:spacing w:after="200"/>
        <w:contextualSpacing/>
        <w:rPr>
          <w:rFonts w:cs="Times New Roman"/>
          <w:color w:val="000000"/>
        </w:rPr>
      </w:pPr>
    </w:p>
    <w:p w14:paraId="64B2D346" w14:textId="77777777" w:rsidR="005D21F3" w:rsidRDefault="00000000">
      <w:pPr>
        <w:keepNext/>
        <w:keepLines/>
        <w:widowControl w:val="0"/>
        <w:spacing w:before="40"/>
        <w:outlineLvl w:val="1"/>
        <w:rPr>
          <w:rFonts w:cs="Times New Roman"/>
          <w:i/>
          <w:iCs/>
          <w:color w:val="000000"/>
          <w:kern w:val="2"/>
          <w:lang w:eastAsia="zh-CN"/>
        </w:rPr>
      </w:pPr>
      <w:r>
        <w:rPr>
          <w:rFonts w:cs="Times New Roman"/>
          <w:i/>
          <w:iCs/>
          <w:color w:val="000000"/>
          <w:kern w:val="2"/>
          <w:lang w:eastAsia="zh-CN"/>
        </w:rPr>
        <w:t>Study design and participants</w:t>
      </w:r>
    </w:p>
    <w:p w14:paraId="3B601293" w14:textId="7C6ABCAA" w:rsidR="005D21F3" w:rsidRDefault="00000000">
      <w:pPr>
        <w:rPr>
          <w:rFonts w:eastAsia="Times New Roman" w:cs="Times New Roman"/>
          <w:color w:val="000000"/>
          <w:lang w:eastAsia="en-GB" w:bidi="he-IL"/>
        </w:rPr>
      </w:pPr>
      <w:r>
        <w:rPr>
          <w:rFonts w:eastAsia="Times New Roman" w:cs="Times New Roman"/>
          <w:color w:val="000000"/>
          <w:lang w:eastAsia="en-GB"/>
        </w:rPr>
        <w:t xml:space="preserve">This was a naturalistic longitudinal cohort study of clozapine-treated patients attending clinical services at Cambridgeshire and Peterborough NHS Foundation Trust, UK. The Trust provides secondary mental health services for </w:t>
      </w:r>
      <w:r w:rsidR="002C7133">
        <w:rPr>
          <w:rFonts w:eastAsia="Times New Roman" w:cs="Times New Roman"/>
          <w:color w:val="000000" w:themeColor="text1"/>
          <w:lang w:eastAsia="en-GB"/>
        </w:rPr>
        <w:t xml:space="preserve">a resident population of </w:t>
      </w:r>
      <w:r>
        <w:rPr>
          <w:rFonts w:eastAsia="Times New Roman" w:cs="Times New Roman"/>
          <w:color w:val="000000"/>
          <w:lang w:eastAsia="en-GB"/>
        </w:rPr>
        <w:t xml:space="preserve">nearly 1 million people in a mixed urban and rural region of the East of England and is the only </w:t>
      </w:r>
      <w:r w:rsidR="002C7133">
        <w:rPr>
          <w:rFonts w:eastAsia="Times New Roman" w:cs="Times New Roman"/>
          <w:color w:val="000000"/>
          <w:lang w:eastAsia="en-GB"/>
        </w:rPr>
        <w:t xml:space="preserve">local </w:t>
      </w:r>
      <w:r>
        <w:rPr>
          <w:rFonts w:eastAsia="Times New Roman" w:cs="Times New Roman"/>
          <w:color w:val="000000"/>
          <w:lang w:eastAsia="en-GB"/>
        </w:rPr>
        <w:t>provider of clozapine. All patients in the study were diagnosed with schizophrenia or schizoaffective disorder according to DSM-IV</w:t>
      </w:r>
      <w:r>
        <w:fldChar w:fldCharType="begin"/>
      </w:r>
      <w:r>
        <w:rPr>
          <w:rFonts w:eastAsia="Times New Roman" w:cs="Times New Roman"/>
          <w:color w:val="000000"/>
          <w:lang w:eastAsia="en-GB"/>
        </w:rPr>
        <w:instrText>ADDIN ZOTERO_ITEM CSL_CITATION {"citationID":"Dpi9ocqq","properties":{"formattedCitation":"\\super 7\\nosupersub{}","plainCitation":"7","noteIndex":0},"citationItems":[{"id":1038,"uris":["http://zotero.org/users/394004/items/UGWTUL63"],"itemData":{"id":1038,"type":"book","edition":"4","event-place":"Arlington, VA","ISBN":"978-0-89042-334-9","language":"en","note":"DOI: 10.1176/appi.books.9780890423349","publisher":"American Psychiatric Association","publisher-place":"Arlington, VA","source":"Crossref","title":"Diagnostic and Statistical Manual of Mental Disorders, Fourth Edition, Text Revision (DSM-IV-TR)","URL":"http://www.psychiatryonline.com/resourceTOC.aspx?resourceID=1","volume":"1","author":[{"literal":"American Psychiatric Association"}],"accessed":{"date-parts":[["2020",12,26]]},"issued":{"date-parts":[["2000"]]}}}],"schema":"https://github.com/citation-style-language/schema/raw/master/csl-citation.json"}</w:instrText>
      </w:r>
      <w:r>
        <w:rPr>
          <w:rFonts w:eastAsia="Times New Roman" w:cs="Times New Roman"/>
          <w:color w:val="000000"/>
          <w:lang w:eastAsia="en-GB"/>
        </w:rPr>
        <w:fldChar w:fldCharType="separate"/>
      </w:r>
      <w:r>
        <w:rPr>
          <w:rFonts w:cs="Times New Roman"/>
          <w:color w:val="000000"/>
          <w:vertAlign w:val="superscript"/>
        </w:rPr>
        <w:t>7</w:t>
      </w:r>
      <w:r>
        <w:rPr>
          <w:rFonts w:eastAsia="Times New Roman" w:cs="Times New Roman"/>
          <w:color w:val="000000"/>
          <w:lang w:eastAsia="en-GB"/>
        </w:rPr>
        <w:fldChar w:fldCharType="end"/>
      </w:r>
      <w:r>
        <w:rPr>
          <w:rFonts w:eastAsia="Times New Roman" w:cs="Times New Roman"/>
          <w:color w:val="000000"/>
          <w:lang w:eastAsia="en-GB"/>
        </w:rPr>
        <w:t xml:space="preserve">. </w:t>
      </w:r>
      <w:r>
        <w:rPr>
          <w:rFonts w:eastAsia="Times New Roman" w:cs="Times New Roman"/>
          <w:color w:val="000000"/>
          <w:lang w:eastAsia="en-GB" w:bidi="he-IL"/>
        </w:rPr>
        <w:t>All patients started to take clozapine at least one year prior to being recruited to the study. This makes transient sedative effects less relevant, as sedation typically stabilises after six months of clozapine use (see Fernandez-</w:t>
      </w:r>
      <w:proofErr w:type="spellStart"/>
      <w:r>
        <w:rPr>
          <w:rFonts w:eastAsia="Times New Roman" w:cs="Times New Roman"/>
          <w:color w:val="000000"/>
          <w:lang w:eastAsia="en-GB" w:bidi="he-IL"/>
        </w:rPr>
        <w:t>Egea</w:t>
      </w:r>
      <w:proofErr w:type="spellEnd"/>
      <w:r>
        <w:rPr>
          <w:rFonts w:eastAsia="Times New Roman" w:cs="Times New Roman"/>
          <w:color w:val="000000"/>
          <w:lang w:eastAsia="en-GB" w:bidi="he-IL"/>
        </w:rPr>
        <w:t xml:space="preserve"> et al., 2021). </w:t>
      </w:r>
    </w:p>
    <w:p w14:paraId="25D4B64D" w14:textId="77777777" w:rsidR="00EF0FE0" w:rsidRDefault="00EF0FE0"/>
    <w:p w14:paraId="1DF13A6C" w14:textId="69BF642C" w:rsidR="005D21F3" w:rsidRDefault="00000000">
      <w:r>
        <w:rPr>
          <w:rFonts w:eastAsia="Times New Roman" w:cs="Times New Roman"/>
          <w:color w:val="000000"/>
          <w:lang w:eastAsia="en-GB"/>
        </w:rPr>
        <w:t>All patients were under the care of a senior consultant psychiatrist (EFE) who performed all relevant clinical assessments, scales, and questionnaires during routine care. All assessments were entered into the Clinical and Research Database for Persistent Schizophrenia (CRDPS). The database was approved by an NHS Research Ethics Committee (REC; references 13/EE/0121 and 18/EE/0239). This study covers information obtained from 11</w:t>
      </w:r>
      <w:r>
        <w:rPr>
          <w:rFonts w:eastAsia="Times New Roman" w:cs="Times New Roman"/>
          <w:color w:val="000000"/>
          <w:vertAlign w:val="superscript"/>
          <w:lang w:eastAsia="en-GB"/>
        </w:rPr>
        <w:t>th</w:t>
      </w:r>
      <w:r>
        <w:rPr>
          <w:rFonts w:eastAsia="Times New Roman" w:cs="Times New Roman"/>
          <w:color w:val="000000"/>
          <w:lang w:eastAsia="en-GB"/>
        </w:rPr>
        <w:t xml:space="preserve"> December 2012 to 31</w:t>
      </w:r>
      <w:r>
        <w:rPr>
          <w:rFonts w:eastAsia="Times New Roman" w:cs="Times New Roman"/>
          <w:color w:val="000000"/>
          <w:vertAlign w:val="superscript"/>
          <w:lang w:eastAsia="en-GB"/>
        </w:rPr>
        <w:t>st</w:t>
      </w:r>
      <w:r>
        <w:rPr>
          <w:rFonts w:eastAsia="Times New Roman" w:cs="Times New Roman"/>
          <w:color w:val="000000"/>
          <w:lang w:eastAsia="en-GB"/>
        </w:rPr>
        <w:t xml:space="preserve"> December 2021. Only assessments with a standardised evaluation of negative symptom using the Brief Negative Symptom Scale (see below) were included; this is routinely completed every two years. </w:t>
      </w:r>
    </w:p>
    <w:p w14:paraId="4A5B01E6" w14:textId="77777777" w:rsidR="005D21F3" w:rsidRDefault="005D21F3"/>
    <w:p w14:paraId="2064A508" w14:textId="1EFDD9A0" w:rsidR="005D21F3" w:rsidRDefault="00000000" w:rsidP="00233481">
      <w:r>
        <w:rPr>
          <w:rFonts w:cs="Times New Roman"/>
          <w:color w:val="000000"/>
        </w:rPr>
        <w:t xml:space="preserve">All care plan assessments include relevant sociodemographic and clinical information, such as sex and age, a review and confirmation of all prescribed medication (including dose), last </w:t>
      </w:r>
      <w:r>
        <w:rPr>
          <w:rFonts w:cs="Times New Roman"/>
          <w:color w:val="000000"/>
        </w:rPr>
        <w:lastRenderedPageBreak/>
        <w:t xml:space="preserve">medication change, smoking status (average number of cigarettes per day), alcohol use (average number of alcohol units per week). We did not </w:t>
      </w:r>
      <w:r>
        <w:rPr>
          <w:rFonts w:eastAsia="Times New Roman" w:cs="Times New Roman"/>
          <w:color w:val="000000"/>
          <w:lang w:eastAsia="en-GB" w:bidi="he-IL"/>
        </w:rPr>
        <w:t>assess the extent of caffeine use in patients. Importantly, however, caffeine use has a significantly smaller impact on clozapine levels than smoking</w:t>
      </w:r>
      <w:r>
        <w:fldChar w:fldCharType="begin"/>
      </w:r>
      <w:r>
        <w:rPr>
          <w:rFonts w:eastAsia="Times New Roman" w:cs="Times New Roman"/>
          <w:color w:val="000000"/>
          <w:lang w:eastAsia="en-GB" w:bidi="he-IL"/>
        </w:rPr>
        <w:instrText>ADDIN ZOTERO_ITEM CSL_CITATION {"citationID":"tm7ADfnc","properties":{"formattedCitation":"\\super 8\\nosupersub{}","plainCitation":"8","noteIndex":0},"citationItems":[{"id":2879,"uris":["http://zotero.org/users/394004/items/HRJURJVR"],"itemData":{"id":2879,"type":"article-journal","container-title":"Psychiatric Services","DOI":"10.1176/appi.ps.55.5.491","ISSN":"1075-2730, 1557-9700","issue":"5","journalAbbreviation":"PS","language":"en","page":"491-493","source":"DOI.org (Crossref)","title":"Psychopharmacology: Atypical Antipsychotic Dosing: The Effect of Smoking and Caffeine","title-short":"Psychopharmacology","volume":"55","author":[{"family":"Leon","given":"Jose","non-dropping-particle":"de"}],"issued":{"date-parts":[["2004",5]]}}}],"schema":"https://github.com/citation-style-language/schema/raw/master/csl-citation.json"}</w:instrText>
      </w:r>
      <w:r>
        <w:rPr>
          <w:rFonts w:eastAsia="Times New Roman" w:cs="Times New Roman"/>
          <w:color w:val="000000"/>
          <w:lang w:eastAsia="en-GB" w:bidi="he-IL"/>
        </w:rPr>
        <w:fldChar w:fldCharType="separate"/>
      </w:r>
      <w:r>
        <w:rPr>
          <w:rFonts w:cs="Times New Roman"/>
          <w:color w:val="000000"/>
          <w:vertAlign w:val="superscript"/>
        </w:rPr>
        <w:t>8</w:t>
      </w:r>
      <w:r>
        <w:rPr>
          <w:rFonts w:eastAsia="Times New Roman" w:cs="Times New Roman"/>
          <w:color w:val="000000"/>
          <w:lang w:eastAsia="en-GB" w:bidi="he-IL"/>
        </w:rPr>
        <w:fldChar w:fldCharType="end"/>
      </w:r>
      <w:r>
        <w:rPr>
          <w:rFonts w:eastAsia="Times New Roman" w:cs="Times New Roman"/>
          <w:color w:val="000000"/>
          <w:lang w:eastAsia="en-GB" w:bidi="he-IL"/>
        </w:rPr>
        <w:t xml:space="preserve">. Moreover, caffeine use is unlikely to </w:t>
      </w:r>
      <w:r w:rsidR="00233481">
        <w:rPr>
          <w:rFonts w:eastAsia="Times New Roman" w:cs="Times New Roman"/>
          <w:color w:val="000000"/>
          <w:lang w:eastAsia="en-GB" w:bidi="he-IL"/>
        </w:rPr>
        <w:t xml:space="preserve">lead to a consistent bias, as different people would likely consume different amount of caffeine. The absence of caffeine use in our model would therefore likely lead to a loss of power in the analyses. </w:t>
      </w:r>
    </w:p>
    <w:p w14:paraId="501BDA87" w14:textId="77777777" w:rsidR="005D21F3" w:rsidRDefault="00000000">
      <w:pPr>
        <w:spacing w:after="200"/>
        <w:contextualSpacing/>
        <w:rPr>
          <w:b/>
          <w:bCs/>
          <w:lang w:eastAsia="en-GB"/>
        </w:rPr>
      </w:pPr>
      <w:r>
        <w:br w:type="page"/>
      </w:r>
    </w:p>
    <w:p w14:paraId="579B56D7" w14:textId="77777777" w:rsidR="005D21F3" w:rsidRDefault="00000000">
      <w:pPr>
        <w:suppressAutoHyphens w:val="0"/>
        <w:jc w:val="left"/>
        <w:rPr>
          <w:b/>
          <w:bCs/>
          <w:lang w:eastAsia="en-GB"/>
        </w:rPr>
      </w:pPr>
      <w:r>
        <w:rPr>
          <w:b/>
          <w:bCs/>
          <w:lang w:eastAsia="en-GB"/>
        </w:rPr>
        <w:lastRenderedPageBreak/>
        <w:t>Supplementary Discussion</w:t>
      </w:r>
    </w:p>
    <w:p w14:paraId="7D5F6239" w14:textId="77777777" w:rsidR="005D21F3" w:rsidRDefault="00000000">
      <w:pPr>
        <w:pStyle w:val="Heading3"/>
        <w:rPr>
          <w:rFonts w:ascii="Times New Roman" w:hAnsi="Times New Roman"/>
          <w:i/>
          <w:iCs/>
          <w:color w:val="000000"/>
        </w:rPr>
      </w:pPr>
      <w:r>
        <w:rPr>
          <w:rFonts w:ascii="Times New Roman" w:hAnsi="Times New Roman"/>
          <w:i/>
          <w:iCs/>
          <w:color w:val="000000"/>
        </w:rPr>
        <w:t>Future directions</w:t>
      </w:r>
    </w:p>
    <w:p w14:paraId="4F482908" w14:textId="1CF1C2A5" w:rsidR="005D21F3" w:rsidRDefault="00000000">
      <w:r>
        <w:t>Although negative symptoms are highly debilitating and determine patient long-term prognosis in patients with schizophrenia, these symptoms remain poorly understood and poorly treated</w:t>
      </w:r>
      <w:r>
        <w:fldChar w:fldCharType="begin"/>
      </w:r>
      <w:r>
        <w:instrText>ADDIN ZOTERO_ITEM CSL_CITATION {"citationID":"QBU4o6su","properties":{"formattedCitation":"\\super 9\\uc0\\u8211{}11\\nosupersub{}","plainCitation":"9–11","noteIndex":0},"citationItems":[{"id":2305,"uris":["http://zotero.org/users/394004/items/7X333RB4"],"itemData":{"id":2305,"type":"article-journal","abstract":"Negative symptoms of schizophrenia comprise a group of severe symptoms contributing to high disease burden and poor long-term prognosis. Conceptual work has shown that these symptoms can be mapped onto, at least, two distinct dimensions: apathy including the domains avolition, asociality and anhedonia, and diminished expression including the domains blunted affect and alogia. Growing evidence suggest that these dimensions have partly distinct behavioral, cognitive and neural correlates. Nonetheless, modulation and treatment of specific processes and brain correlates related to these negative symptom dimensions through behavioral, pharmacological, and brain stimulation interventions remains poorly understood. Here, we address this question by employing an integrative approach and comprehensively synthesizing the current literature on neuroimaging, behavior and clinical studies of both negative symptom dimensions. While considerable progress has been made, it remains an open challenge to develop integrative mechanistic pathophysiological models for apathy and diminished expression. We conclude that such multi-level frameworks are key for the development of new biological and psychosocial treatments and may advance progress towards an individualized treatment of negative symptoms.","container-title":"Neuroscience &amp; Biobehavioral Reviews","DOI":"10.1016/j.neubiorev.2020.06.004","ISSN":"0149-7634","journalAbbreviation":"Neuroscience &amp; Biobehavioral Reviews","language":"en","page":"74-88","source":"ScienceDirect","title":"Pathophysiology of negative symptom dimensions of schizophrenia – Current developments and implications for treatment","volume":"116","author":[{"family":"Bègue","given":"Indrit"},{"family":"Kaiser","given":"Stefan"},{"family":"Kirschner","given":"Matthias"}],"issued":{"date-parts":[["2020",9,1]]}}},{"id":2654,"uris":["http://zotero.org/users/394004/items/X7CRLLM3"],"itemData":{"id":2654,"type":"article-journal","abstract":"The rational treatment of the negative symptoms of schizophrenia requires a careful differentiation of those secondary to a range of other factors and those that constitute enduring primary or deficit symptoms. Secondary negative symptoms are usually responsive to treatment of the underlying cause. In contrast, there is no intervention currently available with established efficacy in treating deficit symptoms. These distinctions serve to reduce the heterogeneity of negative symptoms. A discussion of the diagnosis and treatment of the various forms of secondary negative symptoms is followed by suggestions for future research in the treatment of deficit symptoms.","container-title":"Schizophrenia Bulletin","DOI":"10.1093/schbul/11.3.440","ISSN":"0586-7614","issue":"3","journalAbbreviation":"Schizophrenia Bulletin","page":"440-452","source":"Silverchair","title":"Treatment of Negative Symptoms","volume":"11","author":[{"family":"Carpenter","given":"William T.","suffix":"Jr."},{"family":"Heinrichs","given":"Douglas W."},{"family":"Alphs","given":"Larry D."}],"issued":{"date-parts":[["1985",1,1]]}}},{"id":2710,"uris":["http://zotero.org/users/394004/items/EDGF5JZ2"],"itemData":{"id":2710,"type":"article-journal","abstract":"Negative symptoms of schizophrenia remain a major therapeutic challenge. The progress in the conceptualization and assessment is not yet fully reflected by treatment research. Nevertheless, there is a growing evidence base regarding the effects of biological and psychosocial interventions on negative symptoms. The importance of the distinction between primary and secondary negative symptoms for treatment selection might seem evident, but the currently available evidence remains limited. Good clinical practice is recommended for the treatment of secondary negative symptoms. Antipsychotic treatment should be optimized to avoid secondary negative symptoms due to side effects and due to positive symptoms. For most available interventions, further evidence is needed to formulate sound recommendations for primary, persistent, or predominant negative symptoms.However, based on currently available evidence recommendations for the treatment of undifferentiated negative symptoms (including both primary and secondary negative symptoms) are provided. Although it has proven difficult to formulate an evidence-based recommendation for the choice of an antipsychotic, a switch to a second-generation antipsychotic should be considered for patients who are treated with a first-generation antipsychotic. Antidepressant add-on to antipsychotic treatment is an option. Social skills training is recommended as well as cognitive remediation for patients who also show cognitive impairment. Exercise interventions also have shown promise. Finally, access to treatment and to psychosocial rehabilitation should be ensured for patients with negative symptoms. Overall, there is definitive progress in the field, but further research is clearly needed to develop specific treatments for negative symptoms.","container-title":"European Psychiatry","DOI":"10.1192/j.eurpsy.2021.13","ISSN":"0924-9338, 1778-3585","issue":"1","language":"en","note":"publisher: Cambridge University Press","source":"Cambridge University Press","title":"EPA guidance on treatment of negative symptoms in schizophrenia","URL":"https://www.cambridge.org/core/journals/european-psychiatry/article/epa-guidance-on-treatment-of-negative-symptoms-in-schizophrenia/701FA0159B54917D1927A240F4B72547","volume":"64","author":[{"family":"Galderisi","given":"S."},{"family":"Kaiser","given":"S."},{"family":"Bitter","given":"I."},{"family":"Nordentoft","given":"M."},{"family":"Mucci","given":"A."},{"family":"Sabé","given":"M."},{"family":"Giordano","given":"G. M."},{"family":"Nielsen","given":"M. Ø"},{"family":"Glenthøj","given":"L. B."},{"family":"Pezzella","given":"P."},{"family":"Falkai","given":"P."},{"family":"Dollfus","given":"S."},{"family":"Gaebel","given":"W."}],"accessed":{"date-parts":[["2022",2,18]]},"issued":{"date-parts":[["2021"]],"season":"ed"}}}],"schema":"https://github.com/citation-style-language/schema/raw/master/csl-citation.json"}</w:instrText>
      </w:r>
      <w:r>
        <w:fldChar w:fldCharType="separate"/>
      </w:r>
      <w:r>
        <w:rPr>
          <w:rFonts w:cs="Times New Roman"/>
          <w:color w:val="000000"/>
          <w:vertAlign w:val="superscript"/>
        </w:rPr>
        <w:t>9–11</w:t>
      </w:r>
      <w:r>
        <w:fldChar w:fldCharType="end"/>
      </w:r>
      <w:r>
        <w:t>. The major relevance of our findings is in establishing the relationship between clozapine dose, sedation severity, and motivation and pleasure deficits in schizophrenia, via direct and indirect pathways. We did not explore the effects of other medications on negative symptom domains as this was not within the scope of this project on sedation. Only aripiprazole was included as we have previously shown an effect on sedation</w:t>
      </w:r>
      <w:r>
        <w:fldChar w:fldCharType="begin"/>
      </w:r>
      <w:r>
        <w:instrText>ADDIN ZOTERO_ITEM CSL_CITATION {"citationID":"6oNJXhRC","properties":{"formattedCitation":"\\super 4\\nosupersub{}","plainCitation":"4","noteIndex":0},"citationItems":[{"id":2669,"uris":["http://zotero.org/users/394004/items/2S56CDNS"],"itemData":{"id":2669,"type":"article-journal","abstract":"Background \n        Sedation is a common and incapacitating clozapine adverse effect, but the factors associated with sedation and its pharmacological management remain poorly studied.\n        Methods \n        We conducted a retrospective cohort study based on deidentified electronic clinical records of clozapine-treated patients from the secondary mental health care provider for Cambridgeshire and Peterborough, United Kingdom. We first evaluated cross-sectionally the influence of clozapine dose, clozapine, and norclozapine plasma levels on self-reported hours slept, as a proxy for sedation, using bivariate correlation and then the longitudinal effect of changes in clozapine dose and other 23 medications using linear mixed effect models. We followed 241 clozapine-treated patients for 56 months on average, with 2237 face-to-face assessments in total.\n        Results \n        Patients slept for a mean of 9.35 h/d, with 46% reporting 10 h/d or more. Cross-sectionally, sleep duration did not correlate with clozapine dose (r = 0.14, P = 0.106), but with clozapine plasma levels (r = 0.38, P &lt; 0.0001) and norclozapine plasma levels (r = 0.25, P = 0.005). Longitudinally, the final mixed-effects model revealed 4 pharmacological variables that had a significant impact on hours slept: clozapine, risperidone augmentation, and atenolol were associated with increased sleep, whereas aripiprazole augmentation was associated with decreased sleep. We found that 20 other psychotropic medications measured were not associated with changes in sleep when added to clozapine. Excess sleep is a clozapine level-dependent adverse effect.\n        Conclusions \n        The impact of different augmentation strategies might help clinicians decide on the most adequate strategy, albeit further studies should confirm our results.","container-title":"Journal of Clinical Psychopharmacology","DOI":"10.1097/JCP.0000000000001432","ISSN":"0271-0749","issue":"5","language":"en-US","page":"534–539","source":"journals.lww.com","title":"The Effect of Clozapine on Self-reported Duration of Sleep and Its Interaction With 23 Other Medications: A 5-Year Naturalistic Study","title-short":"The Effect of Clozapine on Self-reported Duration of Sleep and Its Interaction With 23 Other Medications","volume":"41","author":[{"family":"Fernandez-Egea","given":"Emilio"},{"family":"Chen","given":"Shanquan"},{"family":"Jenkins","given":"Christopher"},{"family":"Turrion","given":"Concha"},{"family":"Mitchell","given":"Simon P."},{"family":"Dodwell","given":"David J. F."},{"family":"Mann","given":"Louisa M."},{"family":"Deakin","given":"Julia B."},{"family":"Syed","given":"Zahoor H."},{"family":"Hafizi","given":"Sepehr"},{"family":"Zimbron","given":"Jorge"},{"family":"Praseedom","given":"Asha S."},{"family":"Cardinal","given":"Rudolf N."}],"issued":{"date-parts":[["2021",10]]}}}],"schema":"https://github.com/citation-style-language/schema/raw/master/csl-citation.json"}</w:instrText>
      </w:r>
      <w:r>
        <w:fldChar w:fldCharType="separate"/>
      </w:r>
      <w:r>
        <w:rPr>
          <w:rFonts w:cs="Times New Roman"/>
          <w:color w:val="000000"/>
          <w:vertAlign w:val="superscript"/>
        </w:rPr>
        <w:t>4</w:t>
      </w:r>
      <w:r>
        <w:fldChar w:fldCharType="end"/>
      </w:r>
      <w:r>
        <w:t xml:space="preserve"> and due to a high prevalence in our sample (~30% cases, </w:t>
      </w:r>
      <w:r>
        <w:rPr>
          <w:b/>
          <w:bCs/>
        </w:rPr>
        <w:t>Table S1</w:t>
      </w:r>
      <w:r>
        <w:t>). Nevertheless, for instance, antidepressants are considered the first choice for treating negative symptoms, but with weak evidence to date</w:t>
      </w:r>
      <w:r>
        <w:fldChar w:fldCharType="begin"/>
      </w:r>
      <w:r>
        <w:instrText>ADDIN ZOTERO_ITEM CSL_CITATION {"citationID":"2N5MgyEU","properties":{"formattedCitation":"\\super 11\\nosupersub{}","plainCitation":"11","noteIndex":0},"citationItems":[{"id":2710,"uris":["http://zotero.org/users/394004/items/EDGF5JZ2"],"itemData":{"id":2710,"type":"article-journal","abstract":"Negative symptoms of schizophrenia remain a major therapeutic challenge. The progress in the conceptualization and assessment is not yet fully reflected by treatment research. Nevertheless, there is a growing evidence base regarding the effects of biological and psychosocial interventions on negative symptoms. The importance of the distinction between primary and secondary negative symptoms for treatment selection might seem evident, but the currently available evidence remains limited. Good clinical practice is recommended for the treatment of secondary negative symptoms. Antipsychotic treatment should be optimized to avoid secondary negative symptoms due to side effects and due to positive symptoms. For most available interventions, further evidence is needed to formulate sound recommendations for primary, persistent, or predominant negative symptoms.However, based on currently available evidence recommendations for the treatment of undifferentiated negative symptoms (including both primary and secondary negative symptoms) are provided. Although it has proven difficult to formulate an evidence-based recommendation for the choice of an antipsychotic, a switch to a second-generation antipsychotic should be considered for patients who are treated with a first-generation antipsychotic. Antidepressant add-on to antipsychotic treatment is an option. Social skills training is recommended as well as cognitive remediation for patients who also show cognitive impairment. Exercise interventions also have shown promise. Finally, access to treatment and to psychosocial rehabilitation should be ensured for patients with negative symptoms. Overall, there is definitive progress in the field, but further research is clearly needed to develop specific treatments for negative symptoms.","container-title":"European Psychiatry","DOI":"10.1192/j.eurpsy.2021.13","ISSN":"0924-9338, 1778-3585","issue":"1","language":"en","note":"publisher: Cambridge University Press","source":"Cambridge University Press","title":"EPA guidance on treatment of negative symptoms in schizophrenia","URL":"https://www.cambridge.org/core/journals/european-psychiatry/article/epa-guidance-on-treatment-of-negative-symptoms-in-schizophrenia/701FA0159B54917D1927A240F4B72547","volume":"64","author":[{"family":"Galderisi","given":"S."},{"family":"Kaiser","given":"S."},{"family":"Bitter","given":"I."},{"family":"Nordentoft","given":"M."},{"family":"Mucci","given":"A."},{"family":"Sabé","given":"M."},{"family":"Giordano","given":"G. M."},{"family":"Nielsen","given":"M. Ø"},{"family":"Glenthøj","given":"L. B."},{"family":"Pezzella","given":"P."},{"family":"Falkai","given":"P."},{"family":"Dollfus","given":"S."},{"family":"Gaebel","given":"W."}],"accessed":{"date-parts":[["2022",2,18]]},"issued":{"date-parts":[["2021"]],"season":"ed"}}}],"schema":"https://github.com/citation-style-language/schema/raw/master/csl-citation.json"}</w:instrText>
      </w:r>
      <w:r>
        <w:fldChar w:fldCharType="separate"/>
      </w:r>
      <w:r>
        <w:rPr>
          <w:rFonts w:cs="Times New Roman"/>
          <w:vertAlign w:val="superscript"/>
        </w:rPr>
        <w:t>11</w:t>
      </w:r>
      <w:r>
        <w:fldChar w:fldCharType="end"/>
      </w:r>
      <w:r>
        <w:t>, as studies and meta-analyses have used non-specific assessment tools for negative symptoms. We believe that the longitudinal mediation analysis shown here might provide a blueprint for future studies to examine the differential effect of medications on primary and secondary negative symptoms (and their main factors). Here we only explored sedation, but other more complex models could incorporate more than one indirect path (e.g.</w:t>
      </w:r>
      <w:r w:rsidR="00233481">
        <w:t>,</w:t>
      </w:r>
      <w:r>
        <w:t xml:space="preserve"> a mirtazapine direct effect on negative symptoms, but also an indirect effect via sedation and depression). This will require larger sample sizes of longitudinal cohorts.</w:t>
      </w:r>
    </w:p>
    <w:p w14:paraId="1E5AE95B" w14:textId="77777777" w:rsidR="005D21F3" w:rsidRDefault="005D21F3"/>
    <w:p w14:paraId="20B70C8C" w14:textId="77777777" w:rsidR="005D21F3" w:rsidRDefault="00000000">
      <w:pPr>
        <w:rPr>
          <w:i/>
          <w:iCs/>
        </w:rPr>
      </w:pPr>
      <w:r>
        <w:rPr>
          <w:i/>
          <w:iCs/>
        </w:rPr>
        <w:t>Strengths and limitations</w:t>
      </w:r>
    </w:p>
    <w:p w14:paraId="29690B16" w14:textId="63F3592A" w:rsidR="005D21F3" w:rsidRDefault="00000000">
      <w:r>
        <w:t xml:space="preserve">The strengths of this study include a relatively large cohort of patients, followed up in the natural setting of a UK National Health Service clinic. Moreover, we used the BNSS, which is a specific assessment tool for negative symptoms, with high content validity </w:t>
      </w:r>
      <w:r>
        <w:fldChar w:fldCharType="begin"/>
      </w:r>
      <w:r>
        <w:instrText>ADDIN ZOTERO_ITEM CSL_CITATION {"citationID":"BymARIZf","properties":{"formattedCitation":"\\super 12\\uc0\\u8211{}14\\nosupersub{}","plainCitation":"12–14","noteIndex":0},"citationItems":[{"id":2724,"uris":["http://zotero.org/users/394004/items/IMMMHU7X"],"itemData":{"id":2724,"type":"article-journal","abstract":"The construct of negative symptoms has undergone significant changes since the introduction of first generation assessment scales, such as the Scale for the Assessment of Negative Symptoms or the Positive and Negative Syndrome Scale. Blunted affect, Alogia, Asociality, Anhedonia and Avolition are largely recognized as valid domains of the negative symptoms construct.Among the new assessment instruments, both the Brief Negative Symptom Scale (BNSS) and the Clinical Assessment Interview for Negative Symptoms (CAINS) are considered adequate in their coverage of the negative symptoms domains. They include the assessment of both behavior and internal experience for Anhedonia, Asociality and Avolition to avoid overlap with functional outcome measures, as well as consummatory and anticipatory components of anhedonia with an emphasis on the internal experience of pleasure.Strengths and limitations of these new assessment instruments will be reviewed in the light of some existing challenges, such as the distinction between primary and secondary negative symptoms and development of innovative treatments.Disclosure of interestThe authors have not supplied their declaration of competing interest.","container-title":"European Psychiatry","DOI":"10.1016/j.eurpsy.2016.01.980","ISSN":"0924-9338, 1778-3585","issue":"S1","language":"en","note":"publisher: Cambridge University Press","page":"S70-S70","source":"Cambridge University Press","title":"The second-generation assessment scales: Brief negative symptom scale and clinical assessment interview for negative symptoms","title-short":"The second-generation assessment scales","volume":"33","author":[{"family":"Mucci","given":"A."},{"family":"Galderisi","given":"S."}],"issued":{"date-parts":[["2016",3]]}}},{"id":2701,"uris":["http://zotero.org/users/394004/items/ZRN4X2NG"],"itemData":{"id":2701,"type":"article-journal","abstract":"The current study examined the psychometric properties of the Brief Negative Symptom Scale (BNSS), a next-generation rating instrument developed in response to the NIMH sponsored consensus development conference on negative symptoms. Participants included 100 individuals with a DSM-IV diagnosis of schizophrenia or schizoaffective disorder who completed a clinical interview designed to assess negative, positive, disorganized, and general psychiatric symptoms, as well as functional outcome. A battery of anhedonia questionnaires and neuropsychological tests were also administered. Results indicated that the BNSS has excellent internal consistency and temporal stability, as well as good convergent and discriminant validity in its relationships with other symptom rating scales, functional outcome, self-reported anhedonia, and neuropsychological test scores. Given its brevity (13-items, 15-minute interview) and good psychometric characteristics, the BNSS can be considered a promising new instrument for use in clinical trials.","container-title":"Schizophrenia Research","DOI":"10.1016/j.schres.2012.10.012","ISSN":"0920-9964","issue":"1","journalAbbreviation":"Schizophrenia Research","language":"en","page":"88-92","source":"ScienceDirect","title":"Next-generation negative symptom assessment for clinical trials: Validation of the Brief Negative Symptom Scale","title-short":"Next-generation negative symptom assessment for clinical trials","volume":"142","author":[{"family":"Strauss","given":"Gregory P."},{"family":"Keller","given":"William R."},{"family":"Buchanan","given":"Robert W."},{"family":"Gold","given":"James M."},{"family":"Fischer","given":"Bernard A."},{"family":"McMahon","given":"Robert P."},{"family":"Catalano","given":"Lauren T."},{"family":"Culbreth","given":"Adam J."},{"family":"Carpenter","given":"William T."},{"family":"Kirkpatrick","given":"Brian"}],"issued":{"date-parts":[["2012",12,1]]}}},{"id":2674,"uris":["http://zotero.org/users/394004/items/L2JU2Y5A"],"itemData":{"id":2674,"type":"article-journal","abstract":"The participants in the NIMH-MATRICS Consensus Development Conference on Negative Symptoms recommended that an instrument be developed that measured blunted affect, alogia, asociality, anhedonia, and avolition. The Brief Negative Symptom Scale (BNSS) is a 13-item instrument designed for clinical trials and other studies that measures these 5 domains. The interrater, test–retest, and internal consistency of the instrument were strong, with respective intraclass correlation coefficients of 0.93 for the BNSS total score and values of 0.89–0.95 for individual subscales. Comparisons with positive symptoms and other negative symptom instruments supported the discriminant and concurrent validity of the instrument.","container-title":"Schizophrenia Bulletin","DOI":"10.1093/schbul/sbq059","ISSN":"0586-7614","issue":"2","journalAbbreviation":"Schizophrenia Bulletin","page":"300-305","source":"Silverchair","title":"The Brief Negative Symptom Scale: Psychometric Properties","title-short":"The Brief Negative Symptom Scale","volume":"37","author":[{"family":"Kirkpatrick","given":"Brian"},{"family":"Strauss","given":"Gregory P."},{"family":"Nguyen","given":"Linh"},{"family":"Fischer","given":"Bernard A."},{"family":"Daniel","given":"David G."},{"family":"Cienfuegos","given":"Angel"},{"family":"Marder","given":"Stephen R."}],"issued":{"date-parts":[["2011",3,1]]}}}],"schema":"https://github.com/citation-style-language/schema/raw/master/csl-citation.json"}</w:instrText>
      </w:r>
      <w:r>
        <w:fldChar w:fldCharType="separate"/>
      </w:r>
      <w:r>
        <w:rPr>
          <w:rFonts w:cs="Times New Roman"/>
          <w:color w:val="000000"/>
          <w:vertAlign w:val="superscript"/>
        </w:rPr>
        <w:t>12–14</w:t>
      </w:r>
      <w:r>
        <w:fldChar w:fldCharType="end"/>
      </w:r>
      <w:r>
        <w:t>. Further, we use</w:t>
      </w:r>
      <w:r w:rsidR="00EF0FE0">
        <w:t>d</w:t>
      </w:r>
      <w:r>
        <w:t xml:space="preserve"> multi-level mediation</w:t>
      </w:r>
      <w:r w:rsidR="00EF0FE0">
        <w:fldChar w:fldCharType="begin"/>
      </w:r>
      <w:r w:rsidR="00507124">
        <w:instrText xml:space="preserve"> ADDIN ZOTERO_ITEM CSL_CITATION {"citationID":"Umh0GS4H","properties":{"formattedCitation":"\\super 15\\nosupersub{}","plainCitation":"15","noteIndex":0},"citationItems":[{"id":2904,"uris":["http://zotero.org/users/394004/items/L2XMMYGZ"],"itemData":{"id":2904,"type":"article-journal","container-title":"Multivariate Behavioral Research","DOI":"10.1207/S15327906MBR3602_06","ISSN":"0027-3171, 1532-7906","issue":"2","journalAbbreviation":"Multivariate Behavioral Research","language":"en","page":"249-277","source":"DOI.org (Crossref)","title":"Multilevel Modeling of Individual and Group Level Mediated Effects","volume":"36","author":[{"family":"Krull","given":"Jennifer L."},{"family":"MacKinnon","given":"David P."}],"issued":{"date-parts":[["2001",4,1]]}}}],"schema":"https://github.com/citation-style-language/schema/raw/master/csl-citation.json"} </w:instrText>
      </w:r>
      <w:r w:rsidR="00EF0FE0">
        <w:fldChar w:fldCharType="separate"/>
      </w:r>
      <w:r w:rsidR="00507124" w:rsidRPr="00507124">
        <w:rPr>
          <w:rFonts w:cs="Times New Roman"/>
          <w:vertAlign w:val="superscript"/>
        </w:rPr>
        <w:t>15</w:t>
      </w:r>
      <w:r w:rsidR="00EF0FE0">
        <w:fldChar w:fldCharType="end"/>
      </w:r>
      <w:r>
        <w:t xml:space="preserve"> to separate clozapine-related sedation from the direct effect of clozapine on motivation, as discussed in the main text. Finally, the longitudinal design allowed </w:t>
      </w:r>
      <w:r>
        <w:lastRenderedPageBreak/>
        <w:t>assessment of the effects of changes in medication, sedation, and other clinical factors on negative symptom factors within a patient. A within-patient design allows a more robust statistical analysis and enables the separation of effects of confounding variables from the effect of interest. For example, clozapine dose is influenced by smoking status and sex, which we controlled for, but also by individual differences in drug metabolism, which we control for using the within-patient design (in contrast to a cross-sectional design, in which dose is not a reliable measure of clozapine levels).</w:t>
      </w:r>
    </w:p>
    <w:p w14:paraId="3DDB159F" w14:textId="77777777" w:rsidR="005D21F3" w:rsidRDefault="005D21F3"/>
    <w:p w14:paraId="18D94B4E" w14:textId="6B409FC0" w:rsidR="005D21F3" w:rsidRDefault="00000000">
      <w:r>
        <w:t xml:space="preserve">Our study has limitations that should be considered. Although the sample size was relatively large, it was not large enough to address more specific questions about BNSS items, or the role of other medications and modifiers of negative symptoms. Confidence intervals were wide; a larger sample size is therefore required for a replication and a better estimation of effect sizes, although there is a scarcity of well-characterised clozapine-treated cohorts. An additional contributor to uncertainty in our study is likely to have been clinical variables that were not accounted for, such as medications. </w:t>
      </w:r>
      <w:r>
        <w:rPr>
          <w:lang w:eastAsia="en-GB"/>
        </w:rPr>
        <w:t xml:space="preserve">Importantly, however, medications and other unaccounted-for clinical variables are unlikely to have been unevenly or systematically distributed in the patient sample, so are likely to have reduced statistical power (making it more difficult to establish a significant association between clozapine and MAP and EXP) but unlikely to have caused a systematic bias in the results. </w:t>
      </w:r>
      <w:r>
        <w:t xml:space="preserve">Furthermore, patients were only included who had been treated with clozapine for at least 12 months, to assess “established” sedative effects. Other studies are needed to explore the sedating effect of patients treated with other antipsychotics. Moreover, approximately 80% of the patients were male. While this is a common sex distribution bias in treatment-resistant schizophrenia cohorts, we recognise this might impact the generalisability of our results. Lastly, there is currently no widely accepted method to assess sedation routinely in clinics for patients with schizophrenia. This calls for further clinical </w:t>
      </w:r>
      <w:r>
        <w:lastRenderedPageBreak/>
        <w:t>research to look at the commonalities and differences across the different methods used for assessing sedation routinely.</w:t>
      </w:r>
      <w:r>
        <w:br w:type="page"/>
      </w:r>
    </w:p>
    <w:p w14:paraId="632AC14E" w14:textId="77777777" w:rsidR="005D21F3" w:rsidRDefault="00000000">
      <w:pPr>
        <w:rPr>
          <w:b/>
          <w:bCs/>
          <w:lang w:eastAsia="en-GB"/>
        </w:rPr>
      </w:pPr>
      <w:r>
        <w:rPr>
          <w:b/>
          <w:bCs/>
          <w:lang w:eastAsia="en-GB"/>
        </w:rPr>
        <w:lastRenderedPageBreak/>
        <w:t>Supplementary figures and tables</w:t>
      </w:r>
    </w:p>
    <w:p w14:paraId="7A46C298" w14:textId="77777777" w:rsidR="005D21F3" w:rsidRDefault="00000000">
      <w:r>
        <w:rPr>
          <w:noProof/>
        </w:rPr>
        <w:drawing>
          <wp:inline distT="0" distB="0" distL="0" distR="0" wp14:anchorId="5FD9D254" wp14:editId="1661DAF8">
            <wp:extent cx="5720266" cy="2346960"/>
            <wp:effectExtent l="0" t="0" r="0" b="254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720266" cy="2346960"/>
                    </a:xfrm>
                    <a:prstGeom prst="rect">
                      <a:avLst/>
                    </a:prstGeom>
                  </pic:spPr>
                </pic:pic>
              </a:graphicData>
            </a:graphic>
          </wp:inline>
        </w:drawing>
      </w:r>
    </w:p>
    <w:p w14:paraId="07A44BB1" w14:textId="645D801D" w:rsidR="005D21F3" w:rsidRDefault="00000000">
      <w:r>
        <w:rPr>
          <w:rFonts w:cs="Times New Roman"/>
          <w:b/>
          <w:bCs/>
        </w:rPr>
        <w:t xml:space="preserve">Figure S1. Association between sedation and individual symptom domains. </w:t>
      </w:r>
      <w:r>
        <w:rPr>
          <w:rFonts w:cs="Times New Roman"/>
        </w:rPr>
        <w:t xml:space="preserve">Coefficients and their 95% confidence intervals (CI). Coefficients, CIs, and </w:t>
      </w:r>
      <w:r>
        <w:rPr>
          <w:rFonts w:cs="Times New Roman"/>
          <w:i/>
          <w:iCs/>
        </w:rPr>
        <w:t>p</w:t>
      </w:r>
      <w:r>
        <w:rPr>
          <w:rFonts w:cs="Times New Roman"/>
        </w:rPr>
        <w:t xml:space="preserve"> values were estimated from a multi-level linear regression with sedation as the key predictor, controlling for age at baseline, sex, severity of psychosis, severity of depression, clozapine dose, aripiprazole dose, smoking status, and alcohol consumption. A random-effects intercept was fitted for each participant. BNSS, Brief Negative Symptom Scale.</w:t>
      </w:r>
    </w:p>
    <w:p w14:paraId="44F86C30" w14:textId="77777777" w:rsidR="005D21F3" w:rsidRDefault="00000000">
      <w:pPr>
        <w:suppressAutoHyphens w:val="0"/>
        <w:spacing w:line="240" w:lineRule="auto"/>
        <w:jc w:val="left"/>
        <w:rPr>
          <w:rFonts w:cs="Times New Roman"/>
        </w:rPr>
      </w:pPr>
      <w:r>
        <w:br w:type="page"/>
      </w:r>
    </w:p>
    <w:tbl>
      <w:tblPr>
        <w:tblW w:w="9400" w:type="dxa"/>
        <w:tblInd w:w="108" w:type="dxa"/>
        <w:tblLook w:val="04A0" w:firstRow="1" w:lastRow="0" w:firstColumn="1" w:lastColumn="0" w:noHBand="0" w:noVBand="1"/>
      </w:tblPr>
      <w:tblGrid>
        <w:gridCol w:w="5813"/>
        <w:gridCol w:w="3587"/>
      </w:tblGrid>
      <w:tr w:rsidR="005D21F3" w14:paraId="03536D6D" w14:textId="77777777">
        <w:trPr>
          <w:trHeight w:val="309"/>
        </w:trPr>
        <w:tc>
          <w:tcPr>
            <w:tcW w:w="5812" w:type="dxa"/>
            <w:tcBorders>
              <w:top w:val="single" w:sz="12" w:space="0" w:color="000000"/>
              <w:bottom w:val="single" w:sz="8" w:space="0" w:color="000000"/>
            </w:tcBorders>
            <w:vAlign w:val="center"/>
          </w:tcPr>
          <w:p w14:paraId="095B51B2" w14:textId="77777777" w:rsidR="005D21F3" w:rsidRDefault="00000000">
            <w:pPr>
              <w:pageBreakBefore/>
              <w:spacing w:line="240" w:lineRule="auto"/>
              <w:rPr>
                <w:rFonts w:eastAsia="Times New Roman" w:cs="Times New Roman"/>
                <w:b/>
                <w:bCs/>
                <w:color w:val="000000"/>
                <w:sz w:val="22"/>
                <w:szCs w:val="22"/>
              </w:rPr>
            </w:pPr>
            <w:r>
              <w:rPr>
                <w:rFonts w:eastAsia="Times New Roman" w:cs="Times New Roman"/>
                <w:b/>
                <w:bCs/>
                <w:color w:val="000000"/>
                <w:sz w:val="22"/>
                <w:szCs w:val="22"/>
              </w:rPr>
              <w:lastRenderedPageBreak/>
              <w:t>Variables</w:t>
            </w:r>
          </w:p>
        </w:tc>
        <w:tc>
          <w:tcPr>
            <w:tcW w:w="3587" w:type="dxa"/>
            <w:tcBorders>
              <w:top w:val="single" w:sz="12" w:space="0" w:color="000000"/>
              <w:bottom w:val="single" w:sz="8" w:space="0" w:color="000000"/>
            </w:tcBorders>
            <w:vAlign w:val="center"/>
          </w:tcPr>
          <w:p w14:paraId="0F59CE7E" w14:textId="77777777" w:rsidR="005D21F3" w:rsidRDefault="00000000">
            <w:pPr>
              <w:spacing w:line="240" w:lineRule="auto"/>
              <w:jc w:val="center"/>
              <w:rPr>
                <w:rFonts w:eastAsia="Times New Roman" w:cs="Times New Roman"/>
                <w:b/>
                <w:bCs/>
                <w:color w:val="000000"/>
                <w:sz w:val="22"/>
                <w:szCs w:val="22"/>
              </w:rPr>
            </w:pPr>
            <w:r>
              <w:rPr>
                <w:rFonts w:eastAsia="Times New Roman" w:cs="Times New Roman"/>
                <w:b/>
                <w:bCs/>
                <w:color w:val="000000"/>
                <w:sz w:val="22"/>
                <w:szCs w:val="22"/>
              </w:rPr>
              <w:t>Number (percentage %) or mean (standard deviation)</w:t>
            </w:r>
          </w:p>
        </w:tc>
      </w:tr>
      <w:tr w:rsidR="005D21F3" w14:paraId="57FD80BB" w14:textId="77777777">
        <w:trPr>
          <w:trHeight w:val="292"/>
        </w:trPr>
        <w:tc>
          <w:tcPr>
            <w:tcW w:w="5812" w:type="dxa"/>
            <w:vAlign w:val="center"/>
          </w:tcPr>
          <w:p w14:paraId="3299A42C" w14:textId="77777777" w:rsidR="005D21F3" w:rsidRDefault="00000000">
            <w:pPr>
              <w:spacing w:line="240" w:lineRule="auto"/>
              <w:rPr>
                <w:rFonts w:eastAsia="Times New Roman" w:cs="Times New Roman"/>
                <w:b/>
                <w:bCs/>
                <w:color w:val="000000"/>
                <w:sz w:val="22"/>
                <w:szCs w:val="22"/>
              </w:rPr>
            </w:pPr>
            <w:r>
              <w:rPr>
                <w:rFonts w:eastAsia="Times New Roman" w:cs="Times New Roman"/>
                <w:b/>
                <w:bCs/>
                <w:color w:val="000000"/>
                <w:sz w:val="22"/>
                <w:szCs w:val="22"/>
              </w:rPr>
              <w:t>Per person:</w:t>
            </w:r>
          </w:p>
        </w:tc>
        <w:tc>
          <w:tcPr>
            <w:tcW w:w="3587" w:type="dxa"/>
            <w:vAlign w:val="center"/>
          </w:tcPr>
          <w:p w14:paraId="4B3C00F4" w14:textId="77777777" w:rsidR="005D21F3" w:rsidRDefault="005D21F3">
            <w:pPr>
              <w:spacing w:line="240" w:lineRule="auto"/>
              <w:rPr>
                <w:rFonts w:eastAsia="Times New Roman" w:cs="Times New Roman"/>
                <w:b/>
                <w:bCs/>
                <w:color w:val="000000"/>
                <w:sz w:val="22"/>
                <w:szCs w:val="22"/>
              </w:rPr>
            </w:pPr>
          </w:p>
        </w:tc>
      </w:tr>
      <w:tr w:rsidR="005D21F3" w14:paraId="643A7439" w14:textId="77777777">
        <w:trPr>
          <w:trHeight w:val="292"/>
        </w:trPr>
        <w:tc>
          <w:tcPr>
            <w:tcW w:w="5812" w:type="dxa"/>
            <w:vAlign w:val="center"/>
          </w:tcPr>
          <w:p w14:paraId="33407BF2"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Age (baseline)</w:t>
            </w:r>
          </w:p>
        </w:tc>
        <w:tc>
          <w:tcPr>
            <w:tcW w:w="3587" w:type="dxa"/>
          </w:tcPr>
          <w:p w14:paraId="4BDFCFF9"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47.4 (10.4)</w:t>
            </w:r>
          </w:p>
        </w:tc>
      </w:tr>
      <w:tr w:rsidR="005D21F3" w14:paraId="4B104C21" w14:textId="77777777">
        <w:trPr>
          <w:trHeight w:val="292"/>
        </w:trPr>
        <w:tc>
          <w:tcPr>
            <w:tcW w:w="5812" w:type="dxa"/>
            <w:vAlign w:val="center"/>
          </w:tcPr>
          <w:p w14:paraId="318996B5"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Sex (= male)</w:t>
            </w:r>
          </w:p>
        </w:tc>
        <w:tc>
          <w:tcPr>
            <w:tcW w:w="3587" w:type="dxa"/>
          </w:tcPr>
          <w:p w14:paraId="06677C18"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150 (80.2%)</w:t>
            </w:r>
          </w:p>
        </w:tc>
      </w:tr>
      <w:tr w:rsidR="005D21F3" w14:paraId="089D93EF" w14:textId="77777777">
        <w:trPr>
          <w:trHeight w:val="292"/>
        </w:trPr>
        <w:tc>
          <w:tcPr>
            <w:tcW w:w="5812" w:type="dxa"/>
            <w:vAlign w:val="center"/>
          </w:tcPr>
          <w:p w14:paraId="4B457CA8"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Follow-up (months)</w:t>
            </w:r>
          </w:p>
        </w:tc>
        <w:tc>
          <w:tcPr>
            <w:tcW w:w="3587" w:type="dxa"/>
          </w:tcPr>
          <w:p w14:paraId="43CC1DBC"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25.4 (21.4)</w:t>
            </w:r>
          </w:p>
        </w:tc>
      </w:tr>
      <w:tr w:rsidR="005D21F3" w14:paraId="0A016C44" w14:textId="77777777">
        <w:trPr>
          <w:trHeight w:val="292"/>
        </w:trPr>
        <w:tc>
          <w:tcPr>
            <w:tcW w:w="5812" w:type="dxa"/>
            <w:vAlign w:val="center"/>
          </w:tcPr>
          <w:p w14:paraId="2040FB1D"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Number of face-to-face assessments</w:t>
            </w:r>
          </w:p>
        </w:tc>
        <w:tc>
          <w:tcPr>
            <w:tcW w:w="3587" w:type="dxa"/>
          </w:tcPr>
          <w:p w14:paraId="77EE3F5B" w14:textId="77777777" w:rsidR="005D21F3" w:rsidRDefault="005D21F3">
            <w:pPr>
              <w:spacing w:line="240" w:lineRule="auto"/>
              <w:rPr>
                <w:rFonts w:eastAsia="Times New Roman" w:cs="Times New Roman"/>
                <w:sz w:val="22"/>
                <w:szCs w:val="22"/>
              </w:rPr>
            </w:pPr>
          </w:p>
        </w:tc>
      </w:tr>
      <w:tr w:rsidR="005D21F3" w14:paraId="0DE17CB4" w14:textId="77777777">
        <w:trPr>
          <w:trHeight w:val="292"/>
        </w:trPr>
        <w:tc>
          <w:tcPr>
            <w:tcW w:w="5812" w:type="dxa"/>
            <w:vAlign w:val="center"/>
          </w:tcPr>
          <w:p w14:paraId="73A316E3"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 xml:space="preserve">   1</w:t>
            </w:r>
          </w:p>
        </w:tc>
        <w:tc>
          <w:tcPr>
            <w:tcW w:w="3587" w:type="dxa"/>
          </w:tcPr>
          <w:p w14:paraId="52B1E66B"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53 (28.3%)</w:t>
            </w:r>
          </w:p>
        </w:tc>
      </w:tr>
      <w:tr w:rsidR="005D21F3" w14:paraId="3956BF99" w14:textId="77777777">
        <w:trPr>
          <w:trHeight w:val="292"/>
        </w:trPr>
        <w:tc>
          <w:tcPr>
            <w:tcW w:w="5812" w:type="dxa"/>
            <w:vAlign w:val="center"/>
          </w:tcPr>
          <w:p w14:paraId="1E79B319"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 xml:space="preserve">   2–4</w:t>
            </w:r>
          </w:p>
        </w:tc>
        <w:tc>
          <w:tcPr>
            <w:tcW w:w="3587" w:type="dxa"/>
          </w:tcPr>
          <w:p w14:paraId="3DD89847"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130 (69.5%)</w:t>
            </w:r>
          </w:p>
        </w:tc>
      </w:tr>
      <w:tr w:rsidR="005D21F3" w14:paraId="35F102BC" w14:textId="77777777">
        <w:trPr>
          <w:trHeight w:val="292"/>
        </w:trPr>
        <w:tc>
          <w:tcPr>
            <w:tcW w:w="5812" w:type="dxa"/>
            <w:vAlign w:val="center"/>
          </w:tcPr>
          <w:p w14:paraId="50012853"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 xml:space="preserve">   5–10</w:t>
            </w:r>
          </w:p>
        </w:tc>
        <w:tc>
          <w:tcPr>
            <w:tcW w:w="3587" w:type="dxa"/>
          </w:tcPr>
          <w:p w14:paraId="5774C687"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 xml:space="preserve">4 (2.14%) </w:t>
            </w:r>
          </w:p>
        </w:tc>
      </w:tr>
      <w:tr w:rsidR="005D21F3" w14:paraId="1FD039B0" w14:textId="77777777">
        <w:trPr>
          <w:trHeight w:val="292"/>
        </w:trPr>
        <w:tc>
          <w:tcPr>
            <w:tcW w:w="5812" w:type="dxa"/>
            <w:vAlign w:val="center"/>
          </w:tcPr>
          <w:p w14:paraId="7A02AA07" w14:textId="77777777" w:rsidR="005D21F3" w:rsidRDefault="00000000">
            <w:pPr>
              <w:spacing w:line="240" w:lineRule="auto"/>
              <w:rPr>
                <w:rFonts w:eastAsia="Times New Roman" w:cs="Times New Roman"/>
                <w:b/>
                <w:bCs/>
                <w:color w:val="000000"/>
                <w:sz w:val="22"/>
                <w:szCs w:val="22"/>
              </w:rPr>
            </w:pPr>
            <w:r>
              <w:rPr>
                <w:rFonts w:eastAsia="Times New Roman" w:cs="Times New Roman"/>
                <w:b/>
                <w:bCs/>
                <w:color w:val="000000"/>
                <w:sz w:val="22"/>
                <w:szCs w:val="22"/>
              </w:rPr>
              <w:t>Per assessment:</w:t>
            </w:r>
          </w:p>
        </w:tc>
        <w:tc>
          <w:tcPr>
            <w:tcW w:w="3587" w:type="dxa"/>
          </w:tcPr>
          <w:p w14:paraId="5341D689" w14:textId="77777777" w:rsidR="005D21F3" w:rsidRDefault="005D21F3">
            <w:pPr>
              <w:spacing w:line="240" w:lineRule="auto"/>
              <w:rPr>
                <w:rFonts w:eastAsia="Times New Roman" w:cs="Times New Roman"/>
                <w:sz w:val="22"/>
                <w:szCs w:val="22"/>
              </w:rPr>
            </w:pPr>
          </w:p>
        </w:tc>
      </w:tr>
      <w:tr w:rsidR="005D21F3" w14:paraId="6740C035" w14:textId="77777777">
        <w:trPr>
          <w:trHeight w:val="292"/>
        </w:trPr>
        <w:tc>
          <w:tcPr>
            <w:tcW w:w="5812" w:type="dxa"/>
            <w:vAlign w:val="center"/>
          </w:tcPr>
          <w:p w14:paraId="1241C857"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Overall sleep duration (hours per day)</w:t>
            </w:r>
          </w:p>
        </w:tc>
        <w:tc>
          <w:tcPr>
            <w:tcW w:w="3587" w:type="dxa"/>
          </w:tcPr>
          <w:p w14:paraId="00AF7C50"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9.17 (1.7)</w:t>
            </w:r>
          </w:p>
        </w:tc>
      </w:tr>
      <w:tr w:rsidR="005D21F3" w14:paraId="6ECDE071" w14:textId="77777777">
        <w:trPr>
          <w:trHeight w:val="292"/>
        </w:trPr>
        <w:tc>
          <w:tcPr>
            <w:tcW w:w="5812" w:type="dxa"/>
            <w:vAlign w:val="center"/>
          </w:tcPr>
          <w:p w14:paraId="3A1AA578"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Smoking status (= yes)</w:t>
            </w:r>
          </w:p>
        </w:tc>
        <w:tc>
          <w:tcPr>
            <w:tcW w:w="3587" w:type="dxa"/>
          </w:tcPr>
          <w:p w14:paraId="2B4AC755"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151 (37.9%)</w:t>
            </w:r>
          </w:p>
        </w:tc>
      </w:tr>
      <w:tr w:rsidR="005D21F3" w14:paraId="4B23F0B1" w14:textId="77777777">
        <w:trPr>
          <w:trHeight w:val="292"/>
        </w:trPr>
        <w:tc>
          <w:tcPr>
            <w:tcW w:w="5812" w:type="dxa"/>
            <w:vAlign w:val="center"/>
          </w:tcPr>
          <w:p w14:paraId="6B2843B6"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 xml:space="preserve">   Amount among smokers (cigarettes per day)</w:t>
            </w:r>
          </w:p>
        </w:tc>
        <w:tc>
          <w:tcPr>
            <w:tcW w:w="3587" w:type="dxa"/>
          </w:tcPr>
          <w:p w14:paraId="02BA9648"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18.0 (9.82)</w:t>
            </w:r>
          </w:p>
        </w:tc>
      </w:tr>
      <w:tr w:rsidR="005D21F3" w14:paraId="0AEA7076" w14:textId="77777777">
        <w:trPr>
          <w:trHeight w:val="292"/>
        </w:trPr>
        <w:tc>
          <w:tcPr>
            <w:tcW w:w="5812" w:type="dxa"/>
            <w:vAlign w:val="center"/>
          </w:tcPr>
          <w:p w14:paraId="3CD59A68"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Alcohol status (= yes)</w:t>
            </w:r>
          </w:p>
        </w:tc>
        <w:tc>
          <w:tcPr>
            <w:tcW w:w="3587" w:type="dxa"/>
          </w:tcPr>
          <w:p w14:paraId="69916C08"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164 (40.8%)</w:t>
            </w:r>
          </w:p>
        </w:tc>
      </w:tr>
      <w:tr w:rsidR="005D21F3" w14:paraId="5300EACC" w14:textId="77777777">
        <w:trPr>
          <w:trHeight w:val="292"/>
        </w:trPr>
        <w:tc>
          <w:tcPr>
            <w:tcW w:w="5812" w:type="dxa"/>
            <w:vAlign w:val="center"/>
          </w:tcPr>
          <w:p w14:paraId="5EE91484"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 xml:space="preserve">   Amount among drinkers (units/week)</w:t>
            </w:r>
          </w:p>
        </w:tc>
        <w:tc>
          <w:tcPr>
            <w:tcW w:w="3587" w:type="dxa"/>
          </w:tcPr>
          <w:p w14:paraId="2EC4E7E4"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15.4 (22.5)</w:t>
            </w:r>
          </w:p>
        </w:tc>
      </w:tr>
      <w:tr w:rsidR="005D21F3" w14:paraId="680024C2" w14:textId="77777777">
        <w:trPr>
          <w:trHeight w:val="292"/>
        </w:trPr>
        <w:tc>
          <w:tcPr>
            <w:tcW w:w="5812" w:type="dxa"/>
            <w:vAlign w:val="bottom"/>
          </w:tcPr>
          <w:p w14:paraId="653C6D32"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BNSS score (total)</w:t>
            </w:r>
          </w:p>
        </w:tc>
        <w:tc>
          <w:tcPr>
            <w:tcW w:w="3587" w:type="dxa"/>
          </w:tcPr>
          <w:p w14:paraId="5A36163E" w14:textId="43AE977D" w:rsidR="005D21F3" w:rsidRDefault="00BC229C">
            <w:pPr>
              <w:spacing w:line="240" w:lineRule="auto"/>
              <w:jc w:val="center"/>
              <w:rPr>
                <w:rFonts w:eastAsia="Times New Roman" w:cs="Times New Roman"/>
                <w:sz w:val="22"/>
                <w:szCs w:val="22"/>
              </w:rPr>
            </w:pPr>
            <w:r>
              <w:rPr>
                <w:rFonts w:eastAsia="Times New Roman" w:cs="Times New Roman"/>
                <w:sz w:val="22"/>
                <w:szCs w:val="22"/>
              </w:rPr>
              <w:t>49</w:t>
            </w:r>
            <w:r w:rsidR="00000000">
              <w:rPr>
                <w:rFonts w:eastAsia="Times New Roman" w:cs="Times New Roman"/>
                <w:sz w:val="22"/>
                <w:szCs w:val="22"/>
              </w:rPr>
              <w:t>.</w:t>
            </w:r>
            <w:r>
              <w:rPr>
                <w:rFonts w:eastAsia="Times New Roman" w:cs="Times New Roman"/>
                <w:sz w:val="22"/>
                <w:szCs w:val="22"/>
              </w:rPr>
              <w:t>03</w:t>
            </w:r>
            <w:r w:rsidR="00000000">
              <w:rPr>
                <w:rFonts w:eastAsia="Times New Roman" w:cs="Times New Roman"/>
                <w:sz w:val="22"/>
                <w:szCs w:val="22"/>
              </w:rPr>
              <w:t xml:space="preserve"> (16.66)</w:t>
            </w:r>
          </w:p>
        </w:tc>
      </w:tr>
      <w:tr w:rsidR="005D21F3" w14:paraId="113795E9" w14:textId="77777777">
        <w:trPr>
          <w:trHeight w:val="292"/>
        </w:trPr>
        <w:tc>
          <w:tcPr>
            <w:tcW w:w="5812" w:type="dxa"/>
            <w:vAlign w:val="bottom"/>
          </w:tcPr>
          <w:p w14:paraId="688F1751" w14:textId="3DB585F5"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 xml:space="preserve">   </w:t>
            </w:r>
            <w:r w:rsidR="00BC229C">
              <w:rPr>
                <w:rFonts w:eastAsia="Times New Roman" w:cs="Times New Roman"/>
                <w:color w:val="000000"/>
                <w:sz w:val="22"/>
                <w:szCs w:val="22"/>
              </w:rPr>
              <w:t>M</w:t>
            </w:r>
            <w:r>
              <w:rPr>
                <w:rFonts w:eastAsia="Times New Roman" w:cs="Times New Roman"/>
                <w:color w:val="000000"/>
                <w:sz w:val="22"/>
                <w:szCs w:val="22"/>
              </w:rPr>
              <w:t>otivation and pleasure (sum of items 1–3, 5–8)</w:t>
            </w:r>
          </w:p>
        </w:tc>
        <w:tc>
          <w:tcPr>
            <w:tcW w:w="3587" w:type="dxa"/>
          </w:tcPr>
          <w:p w14:paraId="547E6D65" w14:textId="143EEB6B" w:rsidR="005D21F3" w:rsidRDefault="00BC229C">
            <w:pPr>
              <w:spacing w:line="240" w:lineRule="auto"/>
              <w:jc w:val="center"/>
              <w:rPr>
                <w:rFonts w:eastAsia="Times New Roman" w:cs="Times New Roman"/>
                <w:sz w:val="22"/>
                <w:szCs w:val="22"/>
              </w:rPr>
            </w:pPr>
            <w:r>
              <w:rPr>
                <w:rFonts w:eastAsia="Times New Roman" w:cs="Times New Roman"/>
                <w:sz w:val="22"/>
                <w:szCs w:val="22"/>
              </w:rPr>
              <w:t>27</w:t>
            </w:r>
            <w:r w:rsidR="00000000">
              <w:rPr>
                <w:rFonts w:eastAsia="Times New Roman" w:cs="Times New Roman"/>
                <w:sz w:val="22"/>
                <w:szCs w:val="22"/>
              </w:rPr>
              <w:t>.</w:t>
            </w:r>
            <w:r>
              <w:rPr>
                <w:rFonts w:eastAsia="Times New Roman" w:cs="Times New Roman"/>
                <w:sz w:val="22"/>
                <w:szCs w:val="22"/>
              </w:rPr>
              <w:t>89</w:t>
            </w:r>
            <w:r w:rsidR="00000000">
              <w:rPr>
                <w:rFonts w:eastAsia="Times New Roman" w:cs="Times New Roman"/>
                <w:sz w:val="22"/>
                <w:szCs w:val="22"/>
              </w:rPr>
              <w:t xml:space="preserve"> (10.2)</w:t>
            </w:r>
          </w:p>
        </w:tc>
      </w:tr>
      <w:tr w:rsidR="005D21F3" w14:paraId="48AAF845" w14:textId="77777777">
        <w:trPr>
          <w:trHeight w:val="292"/>
        </w:trPr>
        <w:tc>
          <w:tcPr>
            <w:tcW w:w="5812" w:type="dxa"/>
            <w:vAlign w:val="bottom"/>
          </w:tcPr>
          <w:p w14:paraId="1C7EB36F" w14:textId="77E0D986"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 xml:space="preserve">   Emotional expressivity (sum of items 9–13)</w:t>
            </w:r>
          </w:p>
        </w:tc>
        <w:tc>
          <w:tcPr>
            <w:tcW w:w="3587" w:type="dxa"/>
          </w:tcPr>
          <w:p w14:paraId="43B66E1C" w14:textId="682F25BC" w:rsidR="005D21F3" w:rsidRDefault="00BC229C">
            <w:pPr>
              <w:spacing w:line="240" w:lineRule="auto"/>
              <w:jc w:val="center"/>
              <w:rPr>
                <w:rFonts w:eastAsia="Times New Roman" w:cs="Times New Roman"/>
                <w:sz w:val="22"/>
                <w:szCs w:val="22"/>
              </w:rPr>
            </w:pPr>
            <w:r>
              <w:rPr>
                <w:rFonts w:eastAsia="Times New Roman" w:cs="Times New Roman"/>
                <w:sz w:val="22"/>
                <w:szCs w:val="22"/>
              </w:rPr>
              <w:t>27.14</w:t>
            </w:r>
            <w:r w:rsidR="00000000">
              <w:rPr>
                <w:rFonts w:eastAsia="Times New Roman" w:cs="Times New Roman"/>
                <w:sz w:val="22"/>
                <w:szCs w:val="22"/>
              </w:rPr>
              <w:t xml:space="preserve"> (7.97)</w:t>
            </w:r>
          </w:p>
        </w:tc>
      </w:tr>
      <w:tr w:rsidR="005D21F3" w14:paraId="7ACEE34C" w14:textId="77777777">
        <w:trPr>
          <w:trHeight w:val="292"/>
        </w:trPr>
        <w:tc>
          <w:tcPr>
            <w:tcW w:w="5812" w:type="dxa"/>
            <w:vAlign w:val="bottom"/>
          </w:tcPr>
          <w:p w14:paraId="62034F93"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 xml:space="preserve">   Anhedonia (sum of items 1–3)</w:t>
            </w:r>
          </w:p>
        </w:tc>
        <w:tc>
          <w:tcPr>
            <w:tcW w:w="3587" w:type="dxa"/>
          </w:tcPr>
          <w:p w14:paraId="34109272" w14:textId="076638AE" w:rsidR="005D21F3" w:rsidRDefault="00BC229C">
            <w:pPr>
              <w:spacing w:line="240" w:lineRule="auto"/>
              <w:jc w:val="center"/>
              <w:rPr>
                <w:rFonts w:eastAsia="Times New Roman" w:cs="Times New Roman"/>
                <w:sz w:val="22"/>
                <w:szCs w:val="22"/>
              </w:rPr>
            </w:pPr>
            <w:r>
              <w:rPr>
                <w:rFonts w:eastAsia="Times New Roman" w:cs="Times New Roman"/>
                <w:sz w:val="22"/>
                <w:szCs w:val="22"/>
              </w:rPr>
              <w:t>12</w:t>
            </w:r>
            <w:r w:rsidR="00000000">
              <w:rPr>
                <w:rFonts w:eastAsia="Times New Roman" w:cs="Times New Roman"/>
                <w:sz w:val="22"/>
                <w:szCs w:val="22"/>
              </w:rPr>
              <w:t>.</w:t>
            </w:r>
            <w:r>
              <w:rPr>
                <w:rFonts w:eastAsia="Times New Roman" w:cs="Times New Roman"/>
                <w:sz w:val="22"/>
                <w:szCs w:val="22"/>
              </w:rPr>
              <w:t>24</w:t>
            </w:r>
            <w:r w:rsidR="00000000">
              <w:rPr>
                <w:rFonts w:eastAsia="Times New Roman" w:cs="Times New Roman"/>
                <w:sz w:val="22"/>
                <w:szCs w:val="22"/>
              </w:rPr>
              <w:t xml:space="preserve"> (4.75)</w:t>
            </w:r>
          </w:p>
        </w:tc>
      </w:tr>
      <w:tr w:rsidR="005D21F3" w14:paraId="2530F668" w14:textId="77777777">
        <w:trPr>
          <w:trHeight w:val="292"/>
        </w:trPr>
        <w:tc>
          <w:tcPr>
            <w:tcW w:w="5812" w:type="dxa"/>
            <w:vAlign w:val="bottom"/>
          </w:tcPr>
          <w:p w14:paraId="6DF2CA2D"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 xml:space="preserve">   </w:t>
            </w:r>
            <w:proofErr w:type="spellStart"/>
            <w:r>
              <w:rPr>
                <w:rFonts w:eastAsia="Times New Roman" w:cs="Times New Roman"/>
                <w:color w:val="000000"/>
                <w:sz w:val="22"/>
                <w:szCs w:val="22"/>
              </w:rPr>
              <w:t>Asociality</w:t>
            </w:r>
            <w:proofErr w:type="spellEnd"/>
            <w:r>
              <w:rPr>
                <w:rFonts w:eastAsia="Times New Roman" w:cs="Times New Roman"/>
                <w:color w:val="000000"/>
                <w:sz w:val="22"/>
                <w:szCs w:val="22"/>
              </w:rPr>
              <w:t xml:space="preserve"> (sum of items 5–6)</w:t>
            </w:r>
          </w:p>
        </w:tc>
        <w:tc>
          <w:tcPr>
            <w:tcW w:w="3587" w:type="dxa"/>
          </w:tcPr>
          <w:p w14:paraId="16430C06" w14:textId="06A26F92" w:rsidR="005D21F3" w:rsidRDefault="00BC229C">
            <w:pPr>
              <w:spacing w:line="240" w:lineRule="auto"/>
              <w:jc w:val="center"/>
              <w:rPr>
                <w:rFonts w:eastAsia="Times New Roman" w:cs="Times New Roman"/>
                <w:sz w:val="22"/>
                <w:szCs w:val="22"/>
              </w:rPr>
            </w:pPr>
            <w:r>
              <w:rPr>
                <w:rFonts w:eastAsia="Times New Roman" w:cs="Times New Roman"/>
                <w:sz w:val="22"/>
                <w:szCs w:val="22"/>
              </w:rPr>
              <w:t>7.62</w:t>
            </w:r>
            <w:r w:rsidR="00000000">
              <w:rPr>
                <w:rFonts w:eastAsia="Times New Roman" w:cs="Times New Roman"/>
                <w:sz w:val="22"/>
                <w:szCs w:val="22"/>
              </w:rPr>
              <w:t xml:space="preserve"> (3.45)</w:t>
            </w:r>
          </w:p>
        </w:tc>
      </w:tr>
      <w:tr w:rsidR="005D21F3" w14:paraId="4A8069E9" w14:textId="77777777">
        <w:trPr>
          <w:trHeight w:val="292"/>
        </w:trPr>
        <w:tc>
          <w:tcPr>
            <w:tcW w:w="5812" w:type="dxa"/>
            <w:vAlign w:val="bottom"/>
          </w:tcPr>
          <w:p w14:paraId="6269BE68"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 xml:space="preserve">   Avolition (sum of items 7–8)</w:t>
            </w:r>
          </w:p>
        </w:tc>
        <w:tc>
          <w:tcPr>
            <w:tcW w:w="3587" w:type="dxa"/>
          </w:tcPr>
          <w:p w14:paraId="0DBA98B1" w14:textId="0543D17F" w:rsidR="005D21F3" w:rsidRDefault="00BC229C">
            <w:pPr>
              <w:spacing w:line="240" w:lineRule="auto"/>
              <w:jc w:val="center"/>
              <w:rPr>
                <w:rFonts w:eastAsia="Times New Roman" w:cs="Times New Roman"/>
                <w:sz w:val="22"/>
                <w:szCs w:val="22"/>
              </w:rPr>
            </w:pPr>
            <w:r>
              <w:rPr>
                <w:rFonts w:eastAsia="Times New Roman" w:cs="Times New Roman"/>
                <w:sz w:val="22"/>
                <w:szCs w:val="22"/>
              </w:rPr>
              <w:t>8.03</w:t>
            </w:r>
            <w:r w:rsidR="00000000">
              <w:rPr>
                <w:rFonts w:eastAsia="Times New Roman" w:cs="Times New Roman"/>
                <w:sz w:val="22"/>
                <w:szCs w:val="22"/>
              </w:rPr>
              <w:t xml:space="preserve"> (3.29)</w:t>
            </w:r>
          </w:p>
        </w:tc>
      </w:tr>
      <w:tr w:rsidR="005D21F3" w14:paraId="644B0732" w14:textId="77777777">
        <w:trPr>
          <w:trHeight w:val="292"/>
        </w:trPr>
        <w:tc>
          <w:tcPr>
            <w:tcW w:w="5812" w:type="dxa"/>
            <w:vAlign w:val="bottom"/>
          </w:tcPr>
          <w:p w14:paraId="3B6BDE8B"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 xml:space="preserve">   Blunted affect (sum of items 9–11)</w:t>
            </w:r>
          </w:p>
        </w:tc>
        <w:tc>
          <w:tcPr>
            <w:tcW w:w="3587" w:type="dxa"/>
          </w:tcPr>
          <w:p w14:paraId="34455E9A" w14:textId="0267C4A4" w:rsidR="005D21F3" w:rsidRDefault="00BC229C">
            <w:pPr>
              <w:spacing w:line="240" w:lineRule="auto"/>
              <w:jc w:val="center"/>
              <w:rPr>
                <w:rFonts w:eastAsia="Times New Roman" w:cs="Times New Roman"/>
                <w:sz w:val="22"/>
                <w:szCs w:val="22"/>
              </w:rPr>
            </w:pPr>
            <w:r>
              <w:rPr>
                <w:rFonts w:eastAsia="Times New Roman" w:cs="Times New Roman"/>
                <w:sz w:val="22"/>
                <w:szCs w:val="22"/>
              </w:rPr>
              <w:t>12.44</w:t>
            </w:r>
            <w:r w:rsidR="00000000">
              <w:rPr>
                <w:rFonts w:eastAsia="Times New Roman" w:cs="Times New Roman"/>
                <w:sz w:val="22"/>
                <w:szCs w:val="22"/>
              </w:rPr>
              <w:t xml:space="preserve"> (5.02)</w:t>
            </w:r>
          </w:p>
        </w:tc>
      </w:tr>
      <w:tr w:rsidR="005D21F3" w14:paraId="03B00477" w14:textId="77777777">
        <w:trPr>
          <w:trHeight w:val="292"/>
        </w:trPr>
        <w:tc>
          <w:tcPr>
            <w:tcW w:w="5812" w:type="dxa"/>
            <w:vAlign w:val="bottom"/>
          </w:tcPr>
          <w:p w14:paraId="2D5FED6B"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 xml:space="preserve">   Alogia (sum of items 12–13)</w:t>
            </w:r>
          </w:p>
        </w:tc>
        <w:tc>
          <w:tcPr>
            <w:tcW w:w="3587" w:type="dxa"/>
          </w:tcPr>
          <w:p w14:paraId="5423FD0F" w14:textId="13EE92A5" w:rsidR="005D21F3" w:rsidRDefault="00BC229C">
            <w:pPr>
              <w:spacing w:line="240" w:lineRule="auto"/>
              <w:jc w:val="center"/>
              <w:rPr>
                <w:rFonts w:eastAsia="Times New Roman" w:cs="Times New Roman"/>
                <w:sz w:val="22"/>
                <w:szCs w:val="22"/>
              </w:rPr>
            </w:pPr>
            <w:r>
              <w:rPr>
                <w:rFonts w:eastAsia="Times New Roman" w:cs="Times New Roman"/>
                <w:sz w:val="22"/>
                <w:szCs w:val="22"/>
              </w:rPr>
              <w:t>8.69</w:t>
            </w:r>
            <w:r w:rsidR="00000000">
              <w:rPr>
                <w:rFonts w:eastAsia="Times New Roman" w:cs="Times New Roman"/>
                <w:sz w:val="22"/>
                <w:szCs w:val="22"/>
              </w:rPr>
              <w:t xml:space="preserve"> (3.52)</w:t>
            </w:r>
          </w:p>
        </w:tc>
      </w:tr>
      <w:tr w:rsidR="005D21F3" w14:paraId="250A2CED" w14:textId="77777777">
        <w:trPr>
          <w:trHeight w:val="292"/>
        </w:trPr>
        <w:tc>
          <w:tcPr>
            <w:tcW w:w="5812" w:type="dxa"/>
            <w:vAlign w:val="bottom"/>
          </w:tcPr>
          <w:p w14:paraId="12A7FECF"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PANSS Positive score (sum of items P1 to P7)</w:t>
            </w:r>
          </w:p>
        </w:tc>
        <w:tc>
          <w:tcPr>
            <w:tcW w:w="3587" w:type="dxa"/>
          </w:tcPr>
          <w:p w14:paraId="51E6F9CE"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12.5 (4.56)</w:t>
            </w:r>
          </w:p>
        </w:tc>
      </w:tr>
      <w:tr w:rsidR="005D21F3" w14:paraId="23AB25F4" w14:textId="77777777">
        <w:trPr>
          <w:trHeight w:val="292"/>
        </w:trPr>
        <w:tc>
          <w:tcPr>
            <w:tcW w:w="5812" w:type="dxa"/>
            <w:vAlign w:val="bottom"/>
          </w:tcPr>
          <w:p w14:paraId="126A58D1"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Calgary Depression Scale score</w:t>
            </w:r>
          </w:p>
        </w:tc>
        <w:tc>
          <w:tcPr>
            <w:tcW w:w="3587" w:type="dxa"/>
          </w:tcPr>
          <w:p w14:paraId="14DDFFCD"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3.69 (4.12)</w:t>
            </w:r>
          </w:p>
        </w:tc>
      </w:tr>
      <w:tr w:rsidR="005D21F3" w14:paraId="56FF8C98" w14:textId="77777777">
        <w:trPr>
          <w:trHeight w:val="292"/>
        </w:trPr>
        <w:tc>
          <w:tcPr>
            <w:tcW w:w="5812" w:type="dxa"/>
            <w:vAlign w:val="center"/>
          </w:tcPr>
          <w:p w14:paraId="77DBCA3E"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Duration of clozapine treatment (years)</w:t>
            </w:r>
          </w:p>
        </w:tc>
        <w:tc>
          <w:tcPr>
            <w:tcW w:w="3587" w:type="dxa"/>
          </w:tcPr>
          <w:p w14:paraId="45EAAD1A"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17.86 (11.25)</w:t>
            </w:r>
          </w:p>
        </w:tc>
      </w:tr>
      <w:tr w:rsidR="005D21F3" w14:paraId="25CE5D65" w14:textId="77777777">
        <w:trPr>
          <w:trHeight w:val="292"/>
        </w:trPr>
        <w:tc>
          <w:tcPr>
            <w:tcW w:w="5812" w:type="dxa"/>
            <w:vAlign w:val="center"/>
          </w:tcPr>
          <w:p w14:paraId="24C18E5E"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Clozapine dose (mg/day)</w:t>
            </w:r>
          </w:p>
        </w:tc>
        <w:tc>
          <w:tcPr>
            <w:tcW w:w="3587" w:type="dxa"/>
          </w:tcPr>
          <w:p w14:paraId="307F7C40"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321.42 (137.83)</w:t>
            </w:r>
          </w:p>
        </w:tc>
      </w:tr>
      <w:tr w:rsidR="005D21F3" w14:paraId="1FCC1F6E" w14:textId="77777777">
        <w:trPr>
          <w:trHeight w:val="300"/>
        </w:trPr>
        <w:tc>
          <w:tcPr>
            <w:tcW w:w="5812" w:type="dxa"/>
            <w:tcBorders>
              <w:bottom w:val="single" w:sz="12" w:space="0" w:color="000000"/>
            </w:tcBorders>
            <w:vAlign w:val="center"/>
          </w:tcPr>
          <w:p w14:paraId="78E1C3BB" w14:textId="77777777" w:rsidR="005D21F3" w:rsidRDefault="00000000">
            <w:pPr>
              <w:spacing w:line="240" w:lineRule="auto"/>
              <w:rPr>
                <w:rFonts w:eastAsia="Times New Roman" w:cs="Times New Roman"/>
                <w:color w:val="000000"/>
                <w:sz w:val="22"/>
                <w:szCs w:val="22"/>
              </w:rPr>
            </w:pPr>
            <w:r>
              <w:rPr>
                <w:rFonts w:eastAsia="Times New Roman" w:cs="Times New Roman"/>
                <w:color w:val="000000"/>
                <w:sz w:val="22"/>
                <w:szCs w:val="22"/>
              </w:rPr>
              <w:t>Aripiprazole dose (%BNF maximum [30 mg/day])</w:t>
            </w:r>
          </w:p>
        </w:tc>
        <w:tc>
          <w:tcPr>
            <w:tcW w:w="3587" w:type="dxa"/>
            <w:tcBorders>
              <w:bottom w:val="single" w:sz="12" w:space="0" w:color="000000"/>
            </w:tcBorders>
          </w:tcPr>
          <w:p w14:paraId="081EC730" w14:textId="77777777" w:rsidR="005D21F3" w:rsidRDefault="00000000">
            <w:pPr>
              <w:spacing w:line="240" w:lineRule="auto"/>
              <w:jc w:val="center"/>
              <w:rPr>
                <w:rFonts w:eastAsia="Times New Roman" w:cs="Times New Roman"/>
                <w:sz w:val="22"/>
                <w:szCs w:val="22"/>
              </w:rPr>
            </w:pPr>
            <w:r>
              <w:rPr>
                <w:rFonts w:eastAsia="Times New Roman" w:cs="Times New Roman"/>
                <w:sz w:val="22"/>
                <w:szCs w:val="22"/>
              </w:rPr>
              <w:t>12.31 (22.7)</w:t>
            </w:r>
          </w:p>
        </w:tc>
      </w:tr>
    </w:tbl>
    <w:p w14:paraId="74DE9221" w14:textId="77777777" w:rsidR="005D21F3" w:rsidRDefault="005D21F3">
      <w:pPr>
        <w:rPr>
          <w:rFonts w:cs="Times New Roman"/>
        </w:rPr>
      </w:pPr>
    </w:p>
    <w:p w14:paraId="1998EDA8" w14:textId="77777777" w:rsidR="005D21F3" w:rsidRDefault="00000000">
      <w:r>
        <w:rPr>
          <w:rFonts w:cs="Times New Roman"/>
          <w:b/>
          <w:bCs/>
        </w:rPr>
        <w:t>Table S1. Basic demographic and clinical information of the patient sample (</w:t>
      </w:r>
      <w:r>
        <w:rPr>
          <w:rFonts w:cs="Times New Roman"/>
          <w:b/>
          <w:bCs/>
          <w:i/>
          <w:iCs/>
        </w:rPr>
        <w:t>n</w:t>
      </w:r>
      <w:r>
        <w:rPr>
          <w:rFonts w:cs="Times New Roman"/>
          <w:b/>
          <w:bCs/>
        </w:rPr>
        <w:t xml:space="preserve"> = 187 patients, 398 assessments). </w:t>
      </w:r>
      <w:r>
        <w:rPr>
          <w:rFonts w:cs="Times New Roman"/>
        </w:rPr>
        <w:t xml:space="preserve">BNF, British National Formulary; BNSS, Brief Negative Symptom Scale; PANSS, Positive and Negative Syndrome Scale. </w:t>
      </w:r>
    </w:p>
    <w:p w14:paraId="1AE20EA4" w14:textId="77777777" w:rsidR="005D21F3" w:rsidRDefault="00000000">
      <w:pPr>
        <w:suppressAutoHyphens w:val="0"/>
        <w:spacing w:line="240" w:lineRule="auto"/>
        <w:jc w:val="left"/>
        <w:rPr>
          <w:rFonts w:cs="Times New Roman"/>
        </w:rPr>
      </w:pPr>
      <w:r>
        <w:br w:type="page"/>
      </w:r>
    </w:p>
    <w:tbl>
      <w:tblPr>
        <w:tblW w:w="9400" w:type="dxa"/>
        <w:tblInd w:w="108" w:type="dxa"/>
        <w:tblLook w:val="04A0" w:firstRow="1" w:lastRow="0" w:firstColumn="1" w:lastColumn="0" w:noHBand="0" w:noVBand="1"/>
      </w:tblPr>
      <w:tblGrid>
        <w:gridCol w:w="4963"/>
        <w:gridCol w:w="4437"/>
      </w:tblGrid>
      <w:tr w:rsidR="005D21F3" w14:paraId="47BB0465" w14:textId="77777777">
        <w:trPr>
          <w:trHeight w:val="309"/>
        </w:trPr>
        <w:tc>
          <w:tcPr>
            <w:tcW w:w="4962" w:type="dxa"/>
            <w:tcBorders>
              <w:top w:val="single" w:sz="12" w:space="0" w:color="000000"/>
              <w:bottom w:val="single" w:sz="8" w:space="0" w:color="000000"/>
            </w:tcBorders>
            <w:vAlign w:val="center"/>
          </w:tcPr>
          <w:p w14:paraId="6D585D6D" w14:textId="77777777" w:rsidR="005D21F3" w:rsidRDefault="00000000">
            <w:pPr>
              <w:pageBreakBefore/>
              <w:spacing w:line="240" w:lineRule="auto"/>
              <w:rPr>
                <w:rFonts w:eastAsia="Times New Roman" w:cs="Times New Roman"/>
                <w:b/>
                <w:bCs/>
                <w:color w:val="000000"/>
                <w:sz w:val="22"/>
                <w:szCs w:val="22"/>
              </w:rPr>
            </w:pPr>
            <w:r>
              <w:rPr>
                <w:rFonts w:eastAsia="Times New Roman" w:cs="Times New Roman"/>
                <w:b/>
                <w:bCs/>
                <w:color w:val="000000"/>
                <w:sz w:val="22"/>
                <w:szCs w:val="22"/>
              </w:rPr>
              <w:lastRenderedPageBreak/>
              <w:t>Medication</w:t>
            </w:r>
          </w:p>
        </w:tc>
        <w:tc>
          <w:tcPr>
            <w:tcW w:w="4437" w:type="dxa"/>
            <w:tcBorders>
              <w:top w:val="single" w:sz="12" w:space="0" w:color="000000"/>
              <w:bottom w:val="single" w:sz="8" w:space="0" w:color="000000"/>
            </w:tcBorders>
            <w:vAlign w:val="center"/>
          </w:tcPr>
          <w:p w14:paraId="7205131C" w14:textId="77777777" w:rsidR="005D21F3" w:rsidRDefault="00000000">
            <w:pPr>
              <w:spacing w:line="240" w:lineRule="auto"/>
              <w:jc w:val="center"/>
            </w:pPr>
            <w:r>
              <w:rPr>
                <w:rFonts w:eastAsia="Times New Roman" w:cs="Times New Roman"/>
                <w:b/>
                <w:bCs/>
                <w:color w:val="000000"/>
                <w:sz w:val="22"/>
                <w:szCs w:val="22"/>
              </w:rPr>
              <w:t>Number (proportion) of patients treated</w:t>
            </w:r>
          </w:p>
        </w:tc>
      </w:tr>
      <w:tr w:rsidR="005D21F3" w14:paraId="25966BBE" w14:textId="77777777">
        <w:trPr>
          <w:trHeight w:val="292"/>
        </w:trPr>
        <w:tc>
          <w:tcPr>
            <w:tcW w:w="4962" w:type="dxa"/>
            <w:vAlign w:val="bottom"/>
          </w:tcPr>
          <w:p w14:paraId="6CA46DD5" w14:textId="6D2931FE" w:rsidR="005D21F3" w:rsidRDefault="00000000">
            <w:pPr>
              <w:spacing w:line="240" w:lineRule="auto"/>
            </w:pPr>
            <w:r>
              <w:rPr>
                <w:rFonts w:cs="Times New Roman"/>
                <w:color w:val="000000"/>
                <w:sz w:val="22"/>
                <w:szCs w:val="22"/>
              </w:rPr>
              <w:t>aripiprazole</w:t>
            </w:r>
          </w:p>
        </w:tc>
        <w:tc>
          <w:tcPr>
            <w:tcW w:w="4437" w:type="dxa"/>
            <w:vAlign w:val="bottom"/>
          </w:tcPr>
          <w:p w14:paraId="7B1667BB" w14:textId="77777777" w:rsidR="005D21F3" w:rsidRDefault="00000000">
            <w:pPr>
              <w:spacing w:line="240" w:lineRule="auto"/>
              <w:jc w:val="center"/>
            </w:pPr>
            <w:r>
              <w:rPr>
                <w:rFonts w:cs="Times New Roman"/>
                <w:color w:val="000000"/>
                <w:sz w:val="22"/>
                <w:szCs w:val="22"/>
              </w:rPr>
              <w:t>59 (31.6)</w:t>
            </w:r>
          </w:p>
        </w:tc>
      </w:tr>
      <w:tr w:rsidR="005D21F3" w14:paraId="7F29A492" w14:textId="77777777">
        <w:trPr>
          <w:trHeight w:val="292"/>
        </w:trPr>
        <w:tc>
          <w:tcPr>
            <w:tcW w:w="4962" w:type="dxa"/>
            <w:vAlign w:val="bottom"/>
          </w:tcPr>
          <w:p w14:paraId="16B026C7" w14:textId="612CDDAF" w:rsidR="005D21F3" w:rsidRDefault="00000000">
            <w:pPr>
              <w:spacing w:line="240" w:lineRule="auto"/>
            </w:pPr>
            <w:r>
              <w:rPr>
                <w:rFonts w:cs="Times New Roman"/>
                <w:color w:val="000000"/>
                <w:sz w:val="22"/>
                <w:szCs w:val="22"/>
              </w:rPr>
              <w:t>risperidone</w:t>
            </w:r>
          </w:p>
        </w:tc>
        <w:tc>
          <w:tcPr>
            <w:tcW w:w="4437" w:type="dxa"/>
            <w:vAlign w:val="bottom"/>
          </w:tcPr>
          <w:p w14:paraId="7ECC5018" w14:textId="77777777" w:rsidR="005D21F3" w:rsidRDefault="00000000">
            <w:pPr>
              <w:spacing w:line="240" w:lineRule="auto"/>
              <w:jc w:val="center"/>
            </w:pPr>
            <w:r>
              <w:rPr>
                <w:rFonts w:cs="Times New Roman"/>
                <w:color w:val="000000"/>
                <w:sz w:val="22"/>
                <w:szCs w:val="22"/>
              </w:rPr>
              <w:t>2 (1.1)</w:t>
            </w:r>
          </w:p>
        </w:tc>
      </w:tr>
      <w:tr w:rsidR="005D21F3" w14:paraId="57790649" w14:textId="77777777">
        <w:trPr>
          <w:trHeight w:val="292"/>
        </w:trPr>
        <w:tc>
          <w:tcPr>
            <w:tcW w:w="4962" w:type="dxa"/>
            <w:vAlign w:val="bottom"/>
          </w:tcPr>
          <w:p w14:paraId="7B9B7EFB" w14:textId="763A8C82" w:rsidR="005D21F3" w:rsidRDefault="00000000">
            <w:pPr>
              <w:spacing w:line="240" w:lineRule="auto"/>
            </w:pPr>
            <w:proofErr w:type="spellStart"/>
            <w:r>
              <w:rPr>
                <w:rFonts w:cs="Times New Roman"/>
                <w:color w:val="000000"/>
                <w:sz w:val="22"/>
                <w:szCs w:val="22"/>
              </w:rPr>
              <w:t>sulpride</w:t>
            </w:r>
            <w:proofErr w:type="spellEnd"/>
          </w:p>
        </w:tc>
        <w:tc>
          <w:tcPr>
            <w:tcW w:w="4437" w:type="dxa"/>
            <w:vAlign w:val="bottom"/>
          </w:tcPr>
          <w:p w14:paraId="17634C76" w14:textId="77777777" w:rsidR="005D21F3" w:rsidRDefault="00000000">
            <w:pPr>
              <w:spacing w:line="240" w:lineRule="auto"/>
              <w:jc w:val="center"/>
            </w:pPr>
            <w:r>
              <w:rPr>
                <w:rFonts w:cs="Times New Roman"/>
                <w:color w:val="000000"/>
                <w:sz w:val="22"/>
                <w:szCs w:val="22"/>
              </w:rPr>
              <w:t>8 (4.3)</w:t>
            </w:r>
          </w:p>
        </w:tc>
      </w:tr>
      <w:tr w:rsidR="005D21F3" w14:paraId="326028D0" w14:textId="77777777">
        <w:trPr>
          <w:trHeight w:val="292"/>
        </w:trPr>
        <w:tc>
          <w:tcPr>
            <w:tcW w:w="4962" w:type="dxa"/>
            <w:vAlign w:val="bottom"/>
          </w:tcPr>
          <w:p w14:paraId="58F2F9EE" w14:textId="45723778" w:rsidR="005D21F3" w:rsidRDefault="00000000">
            <w:pPr>
              <w:spacing w:line="240" w:lineRule="auto"/>
            </w:pPr>
            <w:proofErr w:type="spellStart"/>
            <w:r>
              <w:rPr>
                <w:rFonts w:cs="Times New Roman"/>
                <w:color w:val="000000"/>
                <w:sz w:val="22"/>
                <w:szCs w:val="22"/>
              </w:rPr>
              <w:t>amisulpride</w:t>
            </w:r>
            <w:proofErr w:type="spellEnd"/>
          </w:p>
        </w:tc>
        <w:tc>
          <w:tcPr>
            <w:tcW w:w="4437" w:type="dxa"/>
            <w:vAlign w:val="bottom"/>
          </w:tcPr>
          <w:p w14:paraId="7C6B1060" w14:textId="77777777" w:rsidR="005D21F3" w:rsidRDefault="00000000">
            <w:pPr>
              <w:spacing w:line="240" w:lineRule="auto"/>
              <w:jc w:val="center"/>
            </w:pPr>
            <w:r>
              <w:rPr>
                <w:rFonts w:cs="Times New Roman"/>
                <w:color w:val="000000"/>
                <w:sz w:val="22"/>
                <w:szCs w:val="22"/>
              </w:rPr>
              <w:t>20 (10.7)</w:t>
            </w:r>
          </w:p>
        </w:tc>
      </w:tr>
      <w:tr w:rsidR="005D21F3" w14:paraId="1C27C2FF" w14:textId="77777777">
        <w:trPr>
          <w:trHeight w:val="292"/>
        </w:trPr>
        <w:tc>
          <w:tcPr>
            <w:tcW w:w="4962" w:type="dxa"/>
            <w:vAlign w:val="bottom"/>
          </w:tcPr>
          <w:p w14:paraId="2E0A89CE" w14:textId="6BF79B54" w:rsidR="005D21F3" w:rsidRDefault="00000000">
            <w:pPr>
              <w:spacing w:line="240" w:lineRule="auto"/>
            </w:pPr>
            <w:r>
              <w:rPr>
                <w:rFonts w:cs="Times New Roman"/>
                <w:color w:val="000000"/>
                <w:sz w:val="22"/>
                <w:szCs w:val="22"/>
              </w:rPr>
              <w:t>quetiapine</w:t>
            </w:r>
          </w:p>
        </w:tc>
        <w:tc>
          <w:tcPr>
            <w:tcW w:w="4437" w:type="dxa"/>
            <w:vAlign w:val="bottom"/>
          </w:tcPr>
          <w:p w14:paraId="6555804C" w14:textId="77777777" w:rsidR="005D21F3" w:rsidRDefault="00000000">
            <w:pPr>
              <w:spacing w:line="240" w:lineRule="auto"/>
              <w:jc w:val="center"/>
            </w:pPr>
            <w:r>
              <w:rPr>
                <w:rFonts w:cs="Times New Roman"/>
                <w:color w:val="000000"/>
                <w:sz w:val="22"/>
                <w:szCs w:val="22"/>
              </w:rPr>
              <w:t>1 (0.5)</w:t>
            </w:r>
          </w:p>
        </w:tc>
      </w:tr>
      <w:tr w:rsidR="005D21F3" w14:paraId="6CCDF5D9" w14:textId="77777777">
        <w:trPr>
          <w:trHeight w:val="292"/>
        </w:trPr>
        <w:tc>
          <w:tcPr>
            <w:tcW w:w="4962" w:type="dxa"/>
            <w:vAlign w:val="bottom"/>
          </w:tcPr>
          <w:p w14:paraId="3C706CE1" w14:textId="765C035A" w:rsidR="005D21F3" w:rsidRDefault="00000000">
            <w:pPr>
              <w:spacing w:line="240" w:lineRule="auto"/>
            </w:pPr>
            <w:r>
              <w:rPr>
                <w:rFonts w:cs="Times New Roman"/>
                <w:color w:val="000000"/>
                <w:sz w:val="22"/>
                <w:szCs w:val="22"/>
              </w:rPr>
              <w:t>haloperidol</w:t>
            </w:r>
          </w:p>
        </w:tc>
        <w:tc>
          <w:tcPr>
            <w:tcW w:w="4437" w:type="dxa"/>
            <w:vAlign w:val="bottom"/>
          </w:tcPr>
          <w:p w14:paraId="400DCF14" w14:textId="77777777" w:rsidR="005D21F3" w:rsidRDefault="00000000">
            <w:pPr>
              <w:spacing w:line="240" w:lineRule="auto"/>
              <w:jc w:val="center"/>
            </w:pPr>
            <w:r>
              <w:rPr>
                <w:rFonts w:cs="Times New Roman"/>
                <w:color w:val="000000"/>
                <w:sz w:val="22"/>
                <w:szCs w:val="22"/>
              </w:rPr>
              <w:t>2 (1.1)</w:t>
            </w:r>
          </w:p>
        </w:tc>
      </w:tr>
      <w:tr w:rsidR="005D21F3" w14:paraId="5A6363C6" w14:textId="77777777">
        <w:trPr>
          <w:trHeight w:val="292"/>
        </w:trPr>
        <w:tc>
          <w:tcPr>
            <w:tcW w:w="4962" w:type="dxa"/>
            <w:vAlign w:val="bottom"/>
          </w:tcPr>
          <w:p w14:paraId="345D7FE4" w14:textId="61B3DDCF" w:rsidR="005D21F3" w:rsidRDefault="00000000">
            <w:pPr>
              <w:spacing w:line="240" w:lineRule="auto"/>
            </w:pPr>
            <w:r>
              <w:rPr>
                <w:rFonts w:cs="Times New Roman"/>
                <w:color w:val="000000"/>
                <w:sz w:val="22"/>
                <w:szCs w:val="22"/>
              </w:rPr>
              <w:t>olanzapine</w:t>
            </w:r>
          </w:p>
        </w:tc>
        <w:tc>
          <w:tcPr>
            <w:tcW w:w="4437" w:type="dxa"/>
            <w:vAlign w:val="bottom"/>
          </w:tcPr>
          <w:p w14:paraId="020023A0" w14:textId="77777777" w:rsidR="005D21F3" w:rsidRDefault="00000000">
            <w:pPr>
              <w:spacing w:line="240" w:lineRule="auto"/>
              <w:jc w:val="center"/>
            </w:pPr>
            <w:r>
              <w:rPr>
                <w:rFonts w:cs="Times New Roman"/>
                <w:color w:val="000000"/>
                <w:sz w:val="22"/>
                <w:szCs w:val="22"/>
              </w:rPr>
              <w:t>1 (0.5)</w:t>
            </w:r>
          </w:p>
        </w:tc>
      </w:tr>
      <w:tr w:rsidR="005D21F3" w14:paraId="42CF88AD" w14:textId="77777777">
        <w:trPr>
          <w:trHeight w:val="292"/>
        </w:trPr>
        <w:tc>
          <w:tcPr>
            <w:tcW w:w="4962" w:type="dxa"/>
            <w:vAlign w:val="bottom"/>
          </w:tcPr>
          <w:p w14:paraId="31F79B0B" w14:textId="616B4E71" w:rsidR="005D21F3" w:rsidRDefault="00000000">
            <w:pPr>
              <w:spacing w:line="240" w:lineRule="auto"/>
            </w:pPr>
            <w:r>
              <w:rPr>
                <w:rFonts w:cs="Times New Roman"/>
                <w:color w:val="000000"/>
                <w:sz w:val="22"/>
                <w:szCs w:val="22"/>
              </w:rPr>
              <w:t>chlorpromazine</w:t>
            </w:r>
          </w:p>
        </w:tc>
        <w:tc>
          <w:tcPr>
            <w:tcW w:w="4437" w:type="dxa"/>
            <w:vAlign w:val="bottom"/>
          </w:tcPr>
          <w:p w14:paraId="0303C5FF" w14:textId="77777777" w:rsidR="005D21F3" w:rsidRDefault="00000000">
            <w:pPr>
              <w:spacing w:line="240" w:lineRule="auto"/>
              <w:jc w:val="center"/>
            </w:pPr>
            <w:r>
              <w:rPr>
                <w:rFonts w:cs="Times New Roman"/>
                <w:color w:val="000000"/>
                <w:sz w:val="22"/>
                <w:szCs w:val="22"/>
              </w:rPr>
              <w:t>1 (0.5)</w:t>
            </w:r>
          </w:p>
        </w:tc>
      </w:tr>
      <w:tr w:rsidR="005D21F3" w14:paraId="69B77829" w14:textId="77777777">
        <w:trPr>
          <w:trHeight w:val="292"/>
        </w:trPr>
        <w:tc>
          <w:tcPr>
            <w:tcW w:w="4962" w:type="dxa"/>
            <w:vAlign w:val="bottom"/>
          </w:tcPr>
          <w:p w14:paraId="2EBB21CE" w14:textId="77777777" w:rsidR="005D21F3" w:rsidRDefault="005D21F3">
            <w:pPr>
              <w:spacing w:line="240" w:lineRule="auto"/>
            </w:pPr>
          </w:p>
        </w:tc>
        <w:tc>
          <w:tcPr>
            <w:tcW w:w="4437" w:type="dxa"/>
            <w:vAlign w:val="bottom"/>
          </w:tcPr>
          <w:p w14:paraId="5C0C94DB" w14:textId="77777777" w:rsidR="005D21F3" w:rsidRDefault="005D21F3">
            <w:pPr>
              <w:spacing w:line="240" w:lineRule="auto"/>
              <w:jc w:val="center"/>
            </w:pPr>
          </w:p>
        </w:tc>
      </w:tr>
      <w:tr w:rsidR="005D21F3" w14:paraId="50BCC051" w14:textId="77777777">
        <w:trPr>
          <w:trHeight w:val="292"/>
        </w:trPr>
        <w:tc>
          <w:tcPr>
            <w:tcW w:w="4962" w:type="dxa"/>
            <w:vAlign w:val="bottom"/>
          </w:tcPr>
          <w:p w14:paraId="3E89BE99" w14:textId="485324D4" w:rsidR="005D21F3" w:rsidRDefault="00000000">
            <w:pPr>
              <w:spacing w:line="240" w:lineRule="auto"/>
            </w:pPr>
            <w:r>
              <w:rPr>
                <w:rFonts w:cs="Times New Roman"/>
                <w:color w:val="000000"/>
                <w:sz w:val="22"/>
                <w:szCs w:val="22"/>
              </w:rPr>
              <w:t>citalopram</w:t>
            </w:r>
          </w:p>
        </w:tc>
        <w:tc>
          <w:tcPr>
            <w:tcW w:w="4437" w:type="dxa"/>
            <w:vAlign w:val="bottom"/>
          </w:tcPr>
          <w:p w14:paraId="4561B72B" w14:textId="77777777" w:rsidR="005D21F3" w:rsidRDefault="00000000">
            <w:pPr>
              <w:spacing w:line="240" w:lineRule="auto"/>
              <w:jc w:val="center"/>
            </w:pPr>
            <w:r>
              <w:rPr>
                <w:rFonts w:cs="Times New Roman"/>
                <w:color w:val="000000"/>
                <w:sz w:val="22"/>
                <w:szCs w:val="22"/>
              </w:rPr>
              <w:t>38 (20.3)</w:t>
            </w:r>
          </w:p>
        </w:tc>
      </w:tr>
      <w:tr w:rsidR="005D21F3" w14:paraId="71B99B5A" w14:textId="77777777">
        <w:trPr>
          <w:trHeight w:val="292"/>
        </w:trPr>
        <w:tc>
          <w:tcPr>
            <w:tcW w:w="4962" w:type="dxa"/>
            <w:vAlign w:val="bottom"/>
          </w:tcPr>
          <w:p w14:paraId="742AB924" w14:textId="203F5268" w:rsidR="005D21F3" w:rsidRDefault="00000000">
            <w:pPr>
              <w:spacing w:line="240" w:lineRule="auto"/>
            </w:pPr>
            <w:r>
              <w:rPr>
                <w:rFonts w:cs="Times New Roman"/>
                <w:color w:val="000000"/>
                <w:sz w:val="22"/>
                <w:szCs w:val="22"/>
              </w:rPr>
              <w:t>escitalopram</w:t>
            </w:r>
          </w:p>
        </w:tc>
        <w:tc>
          <w:tcPr>
            <w:tcW w:w="4437" w:type="dxa"/>
            <w:vAlign w:val="bottom"/>
          </w:tcPr>
          <w:p w14:paraId="260D927D" w14:textId="77777777" w:rsidR="005D21F3" w:rsidRDefault="00000000">
            <w:pPr>
              <w:spacing w:line="240" w:lineRule="auto"/>
              <w:jc w:val="center"/>
            </w:pPr>
            <w:r>
              <w:rPr>
                <w:rFonts w:cs="Times New Roman"/>
                <w:color w:val="000000"/>
                <w:sz w:val="22"/>
                <w:szCs w:val="22"/>
              </w:rPr>
              <w:t>2 (1.1)</w:t>
            </w:r>
          </w:p>
        </w:tc>
      </w:tr>
      <w:tr w:rsidR="005D21F3" w14:paraId="297CCD20" w14:textId="77777777">
        <w:trPr>
          <w:trHeight w:val="292"/>
        </w:trPr>
        <w:tc>
          <w:tcPr>
            <w:tcW w:w="4962" w:type="dxa"/>
            <w:vAlign w:val="bottom"/>
          </w:tcPr>
          <w:p w14:paraId="7889B2A5" w14:textId="681849C4" w:rsidR="005D21F3" w:rsidRDefault="00000000">
            <w:pPr>
              <w:spacing w:line="240" w:lineRule="auto"/>
            </w:pPr>
            <w:r>
              <w:rPr>
                <w:rFonts w:cs="Times New Roman"/>
                <w:color w:val="000000"/>
                <w:sz w:val="22"/>
                <w:szCs w:val="22"/>
              </w:rPr>
              <w:t>paroxetine</w:t>
            </w:r>
          </w:p>
        </w:tc>
        <w:tc>
          <w:tcPr>
            <w:tcW w:w="4437" w:type="dxa"/>
            <w:vAlign w:val="bottom"/>
          </w:tcPr>
          <w:p w14:paraId="559753F5" w14:textId="77777777" w:rsidR="005D21F3" w:rsidRDefault="00000000">
            <w:pPr>
              <w:spacing w:line="240" w:lineRule="auto"/>
              <w:jc w:val="center"/>
            </w:pPr>
            <w:r>
              <w:rPr>
                <w:rFonts w:cs="Times New Roman"/>
                <w:color w:val="000000"/>
                <w:sz w:val="22"/>
                <w:szCs w:val="22"/>
              </w:rPr>
              <w:t>4 (2.1)</w:t>
            </w:r>
          </w:p>
        </w:tc>
      </w:tr>
      <w:tr w:rsidR="005D21F3" w14:paraId="64EE8C67" w14:textId="77777777">
        <w:trPr>
          <w:trHeight w:val="292"/>
        </w:trPr>
        <w:tc>
          <w:tcPr>
            <w:tcW w:w="4962" w:type="dxa"/>
            <w:vAlign w:val="bottom"/>
          </w:tcPr>
          <w:p w14:paraId="33D6066A" w14:textId="30433B0D" w:rsidR="005D21F3" w:rsidRDefault="00000000">
            <w:pPr>
              <w:spacing w:line="240" w:lineRule="auto"/>
            </w:pPr>
            <w:r>
              <w:rPr>
                <w:rFonts w:cs="Times New Roman"/>
                <w:color w:val="000000"/>
                <w:sz w:val="22"/>
                <w:szCs w:val="22"/>
              </w:rPr>
              <w:t>venlafaxine</w:t>
            </w:r>
          </w:p>
        </w:tc>
        <w:tc>
          <w:tcPr>
            <w:tcW w:w="4437" w:type="dxa"/>
            <w:vAlign w:val="bottom"/>
          </w:tcPr>
          <w:p w14:paraId="34C0D66B" w14:textId="77777777" w:rsidR="005D21F3" w:rsidRDefault="00000000">
            <w:pPr>
              <w:spacing w:line="240" w:lineRule="auto"/>
              <w:jc w:val="center"/>
            </w:pPr>
            <w:r>
              <w:rPr>
                <w:rFonts w:cs="Times New Roman"/>
                <w:color w:val="000000"/>
                <w:sz w:val="22"/>
                <w:szCs w:val="22"/>
              </w:rPr>
              <w:t>10 (5.3)</w:t>
            </w:r>
          </w:p>
        </w:tc>
      </w:tr>
      <w:tr w:rsidR="005D21F3" w14:paraId="3C9DA835" w14:textId="77777777">
        <w:trPr>
          <w:trHeight w:val="292"/>
        </w:trPr>
        <w:tc>
          <w:tcPr>
            <w:tcW w:w="4962" w:type="dxa"/>
            <w:vAlign w:val="bottom"/>
          </w:tcPr>
          <w:p w14:paraId="2E8D3AD6" w14:textId="2A5FE04F" w:rsidR="005D21F3" w:rsidRDefault="00000000">
            <w:pPr>
              <w:spacing w:line="240" w:lineRule="auto"/>
            </w:pPr>
            <w:r>
              <w:rPr>
                <w:rFonts w:cs="Times New Roman"/>
                <w:color w:val="000000"/>
                <w:sz w:val="22"/>
                <w:szCs w:val="22"/>
              </w:rPr>
              <w:t>duloxetine</w:t>
            </w:r>
          </w:p>
        </w:tc>
        <w:tc>
          <w:tcPr>
            <w:tcW w:w="4437" w:type="dxa"/>
            <w:vAlign w:val="bottom"/>
          </w:tcPr>
          <w:p w14:paraId="7B170166" w14:textId="77777777" w:rsidR="005D21F3" w:rsidRDefault="00000000">
            <w:pPr>
              <w:spacing w:line="240" w:lineRule="auto"/>
              <w:jc w:val="center"/>
            </w:pPr>
            <w:r>
              <w:rPr>
                <w:rFonts w:cs="Times New Roman"/>
                <w:color w:val="000000"/>
                <w:sz w:val="22"/>
                <w:szCs w:val="22"/>
              </w:rPr>
              <w:t>2 (1.1)</w:t>
            </w:r>
          </w:p>
        </w:tc>
      </w:tr>
      <w:tr w:rsidR="005D21F3" w14:paraId="13919A0E" w14:textId="77777777">
        <w:trPr>
          <w:trHeight w:val="292"/>
        </w:trPr>
        <w:tc>
          <w:tcPr>
            <w:tcW w:w="4962" w:type="dxa"/>
            <w:vAlign w:val="bottom"/>
          </w:tcPr>
          <w:p w14:paraId="074AC05D" w14:textId="4ABAF17C" w:rsidR="005D21F3" w:rsidRDefault="00000000">
            <w:pPr>
              <w:spacing w:line="240" w:lineRule="auto"/>
            </w:pPr>
            <w:r>
              <w:rPr>
                <w:rFonts w:cs="Times New Roman"/>
                <w:color w:val="000000"/>
                <w:sz w:val="22"/>
                <w:szCs w:val="22"/>
              </w:rPr>
              <w:t>fluoxetine</w:t>
            </w:r>
          </w:p>
        </w:tc>
        <w:tc>
          <w:tcPr>
            <w:tcW w:w="4437" w:type="dxa"/>
            <w:vAlign w:val="bottom"/>
          </w:tcPr>
          <w:p w14:paraId="59C271B9" w14:textId="77777777" w:rsidR="005D21F3" w:rsidRDefault="00000000">
            <w:pPr>
              <w:spacing w:line="240" w:lineRule="auto"/>
              <w:jc w:val="center"/>
            </w:pPr>
            <w:r>
              <w:rPr>
                <w:rFonts w:cs="Times New Roman"/>
                <w:color w:val="000000"/>
                <w:sz w:val="22"/>
                <w:szCs w:val="22"/>
              </w:rPr>
              <w:t>21 (11.2)</w:t>
            </w:r>
          </w:p>
        </w:tc>
      </w:tr>
      <w:tr w:rsidR="005D21F3" w14:paraId="6F19AB9C" w14:textId="77777777">
        <w:trPr>
          <w:trHeight w:val="292"/>
        </w:trPr>
        <w:tc>
          <w:tcPr>
            <w:tcW w:w="4962" w:type="dxa"/>
            <w:vAlign w:val="bottom"/>
          </w:tcPr>
          <w:p w14:paraId="53CFC860" w14:textId="21D84BA9" w:rsidR="005D21F3" w:rsidRDefault="00000000">
            <w:pPr>
              <w:spacing w:line="240" w:lineRule="auto"/>
            </w:pPr>
            <w:r>
              <w:rPr>
                <w:rFonts w:cs="Times New Roman"/>
                <w:color w:val="000000"/>
                <w:sz w:val="22"/>
                <w:szCs w:val="22"/>
              </w:rPr>
              <w:t>fluvoxamine</w:t>
            </w:r>
          </w:p>
        </w:tc>
        <w:tc>
          <w:tcPr>
            <w:tcW w:w="4437" w:type="dxa"/>
            <w:vAlign w:val="bottom"/>
          </w:tcPr>
          <w:p w14:paraId="6546FB0A" w14:textId="77777777" w:rsidR="005D21F3" w:rsidRDefault="00000000">
            <w:pPr>
              <w:spacing w:line="240" w:lineRule="auto"/>
              <w:jc w:val="center"/>
            </w:pPr>
            <w:r>
              <w:rPr>
                <w:rFonts w:cs="Times New Roman"/>
                <w:color w:val="000000"/>
                <w:sz w:val="22"/>
                <w:szCs w:val="22"/>
              </w:rPr>
              <w:t>1 (0.5)</w:t>
            </w:r>
          </w:p>
        </w:tc>
      </w:tr>
      <w:tr w:rsidR="005D21F3" w14:paraId="26D83CEF" w14:textId="77777777">
        <w:trPr>
          <w:trHeight w:val="292"/>
        </w:trPr>
        <w:tc>
          <w:tcPr>
            <w:tcW w:w="4962" w:type="dxa"/>
            <w:vAlign w:val="bottom"/>
          </w:tcPr>
          <w:p w14:paraId="46D97EFA" w14:textId="58D4427B" w:rsidR="005D21F3" w:rsidRDefault="00000000">
            <w:pPr>
              <w:spacing w:line="240" w:lineRule="auto"/>
            </w:pPr>
            <w:r>
              <w:rPr>
                <w:rFonts w:cs="Times New Roman"/>
                <w:color w:val="000000"/>
                <w:sz w:val="22"/>
                <w:szCs w:val="22"/>
              </w:rPr>
              <w:t>sertraline</w:t>
            </w:r>
          </w:p>
        </w:tc>
        <w:tc>
          <w:tcPr>
            <w:tcW w:w="4437" w:type="dxa"/>
            <w:vAlign w:val="bottom"/>
          </w:tcPr>
          <w:p w14:paraId="20E907AD" w14:textId="77777777" w:rsidR="005D21F3" w:rsidRDefault="00000000">
            <w:pPr>
              <w:spacing w:line="240" w:lineRule="auto"/>
              <w:jc w:val="center"/>
            </w:pPr>
            <w:r>
              <w:rPr>
                <w:rFonts w:cs="Times New Roman"/>
                <w:color w:val="000000"/>
                <w:sz w:val="22"/>
                <w:szCs w:val="22"/>
              </w:rPr>
              <w:t>14 (7.5)</w:t>
            </w:r>
          </w:p>
        </w:tc>
      </w:tr>
      <w:tr w:rsidR="005D21F3" w14:paraId="1AB58BE0" w14:textId="77777777">
        <w:trPr>
          <w:trHeight w:val="292"/>
        </w:trPr>
        <w:tc>
          <w:tcPr>
            <w:tcW w:w="4962" w:type="dxa"/>
            <w:vAlign w:val="bottom"/>
          </w:tcPr>
          <w:p w14:paraId="50A6626F" w14:textId="4B29EBE8" w:rsidR="005D21F3" w:rsidRDefault="00000000">
            <w:pPr>
              <w:spacing w:line="240" w:lineRule="auto"/>
            </w:pPr>
            <w:r>
              <w:rPr>
                <w:rFonts w:cs="Times New Roman"/>
                <w:color w:val="000000"/>
                <w:sz w:val="22"/>
                <w:szCs w:val="22"/>
              </w:rPr>
              <w:t>mirtazapine</w:t>
            </w:r>
          </w:p>
        </w:tc>
        <w:tc>
          <w:tcPr>
            <w:tcW w:w="4437" w:type="dxa"/>
            <w:vAlign w:val="bottom"/>
          </w:tcPr>
          <w:p w14:paraId="1A1B0C5A" w14:textId="77777777" w:rsidR="005D21F3" w:rsidRDefault="00000000">
            <w:pPr>
              <w:spacing w:line="240" w:lineRule="auto"/>
              <w:jc w:val="center"/>
            </w:pPr>
            <w:r>
              <w:rPr>
                <w:rFonts w:cs="Times New Roman"/>
                <w:color w:val="000000"/>
                <w:sz w:val="22"/>
                <w:szCs w:val="22"/>
              </w:rPr>
              <w:t>5 (2.7)</w:t>
            </w:r>
          </w:p>
        </w:tc>
      </w:tr>
      <w:tr w:rsidR="005D21F3" w14:paraId="3C4E17A6" w14:textId="77777777">
        <w:trPr>
          <w:trHeight w:val="292"/>
        </w:trPr>
        <w:tc>
          <w:tcPr>
            <w:tcW w:w="4962" w:type="dxa"/>
            <w:vAlign w:val="bottom"/>
          </w:tcPr>
          <w:p w14:paraId="41C3C62C" w14:textId="224C0F54" w:rsidR="005D21F3" w:rsidRDefault="00000000">
            <w:pPr>
              <w:spacing w:line="240" w:lineRule="auto"/>
              <w:rPr>
                <w:rFonts w:cs="Times New Roman"/>
                <w:color w:val="000000"/>
                <w:sz w:val="22"/>
                <w:szCs w:val="22"/>
              </w:rPr>
            </w:pPr>
            <w:r>
              <w:rPr>
                <w:rFonts w:cs="Times New Roman"/>
                <w:color w:val="000000"/>
                <w:sz w:val="22"/>
                <w:szCs w:val="22"/>
              </w:rPr>
              <w:t>clomipramine</w:t>
            </w:r>
          </w:p>
        </w:tc>
        <w:tc>
          <w:tcPr>
            <w:tcW w:w="4437" w:type="dxa"/>
            <w:vAlign w:val="bottom"/>
          </w:tcPr>
          <w:p w14:paraId="0E966FDD" w14:textId="77777777" w:rsidR="005D21F3" w:rsidRDefault="00000000">
            <w:pPr>
              <w:spacing w:line="240" w:lineRule="auto"/>
              <w:jc w:val="center"/>
            </w:pPr>
            <w:r>
              <w:rPr>
                <w:rFonts w:cs="Times New Roman"/>
                <w:color w:val="000000"/>
                <w:sz w:val="22"/>
                <w:szCs w:val="22"/>
              </w:rPr>
              <w:t>3 (1.6)</w:t>
            </w:r>
          </w:p>
        </w:tc>
      </w:tr>
      <w:tr w:rsidR="005D21F3" w14:paraId="3FFA77ED" w14:textId="77777777">
        <w:trPr>
          <w:trHeight w:val="292"/>
        </w:trPr>
        <w:tc>
          <w:tcPr>
            <w:tcW w:w="4962" w:type="dxa"/>
            <w:vAlign w:val="bottom"/>
          </w:tcPr>
          <w:p w14:paraId="1AEE1525" w14:textId="77777777" w:rsidR="005D21F3" w:rsidRDefault="005D21F3">
            <w:pPr>
              <w:spacing w:line="240" w:lineRule="auto"/>
              <w:rPr>
                <w:rFonts w:cs="Times New Roman"/>
                <w:color w:val="000000"/>
                <w:sz w:val="22"/>
                <w:szCs w:val="22"/>
              </w:rPr>
            </w:pPr>
          </w:p>
        </w:tc>
        <w:tc>
          <w:tcPr>
            <w:tcW w:w="4437" w:type="dxa"/>
            <w:vAlign w:val="bottom"/>
          </w:tcPr>
          <w:p w14:paraId="3AADFE1D" w14:textId="77777777" w:rsidR="005D21F3" w:rsidRDefault="005D21F3">
            <w:pPr>
              <w:spacing w:line="240" w:lineRule="auto"/>
              <w:jc w:val="center"/>
            </w:pPr>
          </w:p>
        </w:tc>
      </w:tr>
      <w:tr w:rsidR="005D21F3" w14:paraId="6772B442" w14:textId="77777777">
        <w:trPr>
          <w:trHeight w:val="292"/>
        </w:trPr>
        <w:tc>
          <w:tcPr>
            <w:tcW w:w="4962" w:type="dxa"/>
            <w:vAlign w:val="bottom"/>
          </w:tcPr>
          <w:p w14:paraId="06D78D54" w14:textId="7F55B0A4" w:rsidR="005D21F3" w:rsidRDefault="00000000">
            <w:pPr>
              <w:spacing w:line="240" w:lineRule="auto"/>
            </w:pPr>
            <w:r>
              <w:rPr>
                <w:rFonts w:cs="Times New Roman"/>
                <w:color w:val="000000"/>
                <w:sz w:val="22"/>
                <w:szCs w:val="22"/>
              </w:rPr>
              <w:t>lithium</w:t>
            </w:r>
          </w:p>
        </w:tc>
        <w:tc>
          <w:tcPr>
            <w:tcW w:w="4437" w:type="dxa"/>
            <w:vAlign w:val="bottom"/>
          </w:tcPr>
          <w:p w14:paraId="165574E8" w14:textId="77777777" w:rsidR="005D21F3" w:rsidRDefault="00000000">
            <w:pPr>
              <w:spacing w:line="240" w:lineRule="auto"/>
              <w:jc w:val="center"/>
            </w:pPr>
            <w:r>
              <w:rPr>
                <w:rFonts w:cs="Times New Roman"/>
                <w:color w:val="000000"/>
                <w:sz w:val="22"/>
                <w:szCs w:val="22"/>
              </w:rPr>
              <w:t>6 (3.2)</w:t>
            </w:r>
          </w:p>
        </w:tc>
      </w:tr>
      <w:tr w:rsidR="005D21F3" w14:paraId="147A48B2" w14:textId="77777777">
        <w:trPr>
          <w:trHeight w:val="292"/>
        </w:trPr>
        <w:tc>
          <w:tcPr>
            <w:tcW w:w="4962" w:type="dxa"/>
            <w:vAlign w:val="bottom"/>
          </w:tcPr>
          <w:p w14:paraId="367A28DC" w14:textId="1941DCC0" w:rsidR="005D21F3" w:rsidRDefault="00000000">
            <w:pPr>
              <w:spacing w:line="240" w:lineRule="auto"/>
            </w:pPr>
            <w:r>
              <w:rPr>
                <w:rFonts w:cs="Times New Roman"/>
                <w:color w:val="000000"/>
                <w:sz w:val="22"/>
                <w:szCs w:val="22"/>
              </w:rPr>
              <w:t>valproate</w:t>
            </w:r>
          </w:p>
        </w:tc>
        <w:tc>
          <w:tcPr>
            <w:tcW w:w="4437" w:type="dxa"/>
            <w:vAlign w:val="bottom"/>
          </w:tcPr>
          <w:p w14:paraId="077E5472" w14:textId="77777777" w:rsidR="005D21F3" w:rsidRDefault="00000000">
            <w:pPr>
              <w:spacing w:line="240" w:lineRule="auto"/>
              <w:jc w:val="center"/>
            </w:pPr>
            <w:r>
              <w:rPr>
                <w:rFonts w:cs="Times New Roman"/>
                <w:color w:val="000000"/>
                <w:sz w:val="22"/>
                <w:szCs w:val="22"/>
              </w:rPr>
              <w:t>15 (8)</w:t>
            </w:r>
          </w:p>
        </w:tc>
      </w:tr>
      <w:tr w:rsidR="005D21F3" w14:paraId="1FDD50B3" w14:textId="77777777">
        <w:trPr>
          <w:trHeight w:val="292"/>
        </w:trPr>
        <w:tc>
          <w:tcPr>
            <w:tcW w:w="4962" w:type="dxa"/>
            <w:vAlign w:val="bottom"/>
          </w:tcPr>
          <w:p w14:paraId="32439FBE" w14:textId="3AFBBFB3" w:rsidR="005D21F3" w:rsidRDefault="00000000">
            <w:pPr>
              <w:spacing w:line="240" w:lineRule="auto"/>
            </w:pPr>
            <w:r>
              <w:rPr>
                <w:rFonts w:cs="Times New Roman"/>
                <w:color w:val="000000"/>
                <w:sz w:val="22"/>
                <w:szCs w:val="22"/>
              </w:rPr>
              <w:t>lamotrigine</w:t>
            </w:r>
          </w:p>
        </w:tc>
        <w:tc>
          <w:tcPr>
            <w:tcW w:w="4437" w:type="dxa"/>
            <w:vAlign w:val="bottom"/>
          </w:tcPr>
          <w:p w14:paraId="67541603" w14:textId="77777777" w:rsidR="005D21F3" w:rsidRDefault="00000000">
            <w:pPr>
              <w:spacing w:line="240" w:lineRule="auto"/>
              <w:jc w:val="center"/>
            </w:pPr>
            <w:r>
              <w:rPr>
                <w:rFonts w:cs="Times New Roman"/>
                <w:color w:val="000000"/>
                <w:sz w:val="22"/>
                <w:szCs w:val="22"/>
              </w:rPr>
              <w:t>5 (2.7)</w:t>
            </w:r>
          </w:p>
        </w:tc>
      </w:tr>
      <w:tr w:rsidR="005D21F3" w14:paraId="4027C1DD" w14:textId="77777777">
        <w:trPr>
          <w:trHeight w:val="292"/>
        </w:trPr>
        <w:tc>
          <w:tcPr>
            <w:tcW w:w="4962" w:type="dxa"/>
            <w:vAlign w:val="bottom"/>
          </w:tcPr>
          <w:p w14:paraId="086DB42E" w14:textId="77777777" w:rsidR="005D21F3" w:rsidRDefault="005D21F3">
            <w:pPr>
              <w:spacing w:line="240" w:lineRule="auto"/>
            </w:pPr>
          </w:p>
        </w:tc>
        <w:tc>
          <w:tcPr>
            <w:tcW w:w="4437" w:type="dxa"/>
            <w:vAlign w:val="bottom"/>
          </w:tcPr>
          <w:p w14:paraId="73A5F152" w14:textId="77777777" w:rsidR="005D21F3" w:rsidRDefault="005D21F3">
            <w:pPr>
              <w:spacing w:line="240" w:lineRule="auto"/>
              <w:jc w:val="center"/>
            </w:pPr>
          </w:p>
        </w:tc>
      </w:tr>
      <w:tr w:rsidR="005D21F3" w14:paraId="1E7AEF46" w14:textId="77777777">
        <w:trPr>
          <w:trHeight w:val="292"/>
        </w:trPr>
        <w:tc>
          <w:tcPr>
            <w:tcW w:w="4962" w:type="dxa"/>
            <w:vAlign w:val="bottom"/>
          </w:tcPr>
          <w:p w14:paraId="5045047D" w14:textId="04FD152A" w:rsidR="005D21F3" w:rsidRDefault="00000000">
            <w:pPr>
              <w:spacing w:line="240" w:lineRule="auto"/>
            </w:pPr>
            <w:r>
              <w:rPr>
                <w:rFonts w:cs="Times New Roman"/>
                <w:color w:val="000000"/>
                <w:sz w:val="22"/>
                <w:szCs w:val="22"/>
              </w:rPr>
              <w:t>propranolol</w:t>
            </w:r>
          </w:p>
        </w:tc>
        <w:tc>
          <w:tcPr>
            <w:tcW w:w="4437" w:type="dxa"/>
            <w:vAlign w:val="bottom"/>
          </w:tcPr>
          <w:p w14:paraId="02CA1B03" w14:textId="77777777" w:rsidR="005D21F3" w:rsidRDefault="00000000">
            <w:pPr>
              <w:spacing w:line="240" w:lineRule="auto"/>
              <w:jc w:val="center"/>
            </w:pPr>
            <w:r>
              <w:rPr>
                <w:rFonts w:cs="Times New Roman"/>
                <w:color w:val="000000"/>
                <w:sz w:val="22"/>
                <w:szCs w:val="22"/>
              </w:rPr>
              <w:t>29 (15.5)</w:t>
            </w:r>
          </w:p>
        </w:tc>
      </w:tr>
      <w:tr w:rsidR="005D21F3" w14:paraId="1F5876B3" w14:textId="77777777">
        <w:trPr>
          <w:trHeight w:val="292"/>
        </w:trPr>
        <w:tc>
          <w:tcPr>
            <w:tcW w:w="4962" w:type="dxa"/>
            <w:vAlign w:val="bottom"/>
          </w:tcPr>
          <w:p w14:paraId="6D3A1836" w14:textId="235C62ED" w:rsidR="005D21F3" w:rsidRDefault="00000000">
            <w:pPr>
              <w:spacing w:line="240" w:lineRule="auto"/>
            </w:pPr>
            <w:r>
              <w:rPr>
                <w:rFonts w:cs="Times New Roman"/>
                <w:color w:val="000000"/>
                <w:sz w:val="22"/>
                <w:szCs w:val="22"/>
              </w:rPr>
              <w:t>atenolol</w:t>
            </w:r>
          </w:p>
        </w:tc>
        <w:tc>
          <w:tcPr>
            <w:tcW w:w="4437" w:type="dxa"/>
            <w:vAlign w:val="bottom"/>
          </w:tcPr>
          <w:p w14:paraId="68BFC0E8" w14:textId="77777777" w:rsidR="005D21F3" w:rsidRDefault="00000000">
            <w:pPr>
              <w:spacing w:line="240" w:lineRule="auto"/>
              <w:jc w:val="center"/>
            </w:pPr>
            <w:r>
              <w:rPr>
                <w:rFonts w:cs="Times New Roman"/>
                <w:color w:val="000000"/>
                <w:sz w:val="22"/>
                <w:szCs w:val="22"/>
              </w:rPr>
              <w:t>2 (1.1)</w:t>
            </w:r>
          </w:p>
        </w:tc>
      </w:tr>
      <w:tr w:rsidR="005D21F3" w14:paraId="3DC30CB7" w14:textId="77777777">
        <w:trPr>
          <w:trHeight w:val="292"/>
        </w:trPr>
        <w:tc>
          <w:tcPr>
            <w:tcW w:w="4962" w:type="dxa"/>
            <w:vAlign w:val="bottom"/>
          </w:tcPr>
          <w:p w14:paraId="1FCE7284" w14:textId="77777777" w:rsidR="005D21F3" w:rsidRDefault="005D21F3">
            <w:pPr>
              <w:spacing w:line="240" w:lineRule="auto"/>
            </w:pPr>
          </w:p>
        </w:tc>
        <w:tc>
          <w:tcPr>
            <w:tcW w:w="4437" w:type="dxa"/>
            <w:vAlign w:val="bottom"/>
          </w:tcPr>
          <w:p w14:paraId="4E0C025A" w14:textId="77777777" w:rsidR="005D21F3" w:rsidRDefault="005D21F3">
            <w:pPr>
              <w:spacing w:line="240" w:lineRule="auto"/>
              <w:jc w:val="center"/>
            </w:pPr>
          </w:p>
        </w:tc>
      </w:tr>
      <w:tr w:rsidR="005D21F3" w14:paraId="549E9C15" w14:textId="77777777">
        <w:trPr>
          <w:trHeight w:val="300"/>
        </w:trPr>
        <w:tc>
          <w:tcPr>
            <w:tcW w:w="4962" w:type="dxa"/>
            <w:vAlign w:val="bottom"/>
          </w:tcPr>
          <w:p w14:paraId="7ECB9009" w14:textId="3EE0EA75" w:rsidR="005D21F3" w:rsidRDefault="00000000">
            <w:pPr>
              <w:spacing w:line="240" w:lineRule="auto"/>
            </w:pPr>
            <w:r>
              <w:rPr>
                <w:rFonts w:cs="Times New Roman"/>
                <w:color w:val="000000"/>
                <w:sz w:val="22"/>
                <w:szCs w:val="22"/>
              </w:rPr>
              <w:t>zopiclone</w:t>
            </w:r>
          </w:p>
        </w:tc>
        <w:tc>
          <w:tcPr>
            <w:tcW w:w="4437" w:type="dxa"/>
            <w:vAlign w:val="bottom"/>
          </w:tcPr>
          <w:p w14:paraId="62619504" w14:textId="77777777" w:rsidR="005D21F3" w:rsidRDefault="00000000">
            <w:pPr>
              <w:spacing w:line="240" w:lineRule="auto"/>
              <w:jc w:val="center"/>
            </w:pPr>
            <w:r>
              <w:rPr>
                <w:rFonts w:cs="Times New Roman"/>
                <w:color w:val="000000"/>
                <w:sz w:val="22"/>
                <w:szCs w:val="22"/>
              </w:rPr>
              <w:t>6 (3.2)</w:t>
            </w:r>
          </w:p>
        </w:tc>
      </w:tr>
      <w:tr w:rsidR="005D21F3" w14:paraId="75F24E26" w14:textId="77777777">
        <w:trPr>
          <w:trHeight w:val="300"/>
        </w:trPr>
        <w:tc>
          <w:tcPr>
            <w:tcW w:w="4962" w:type="dxa"/>
            <w:vAlign w:val="bottom"/>
          </w:tcPr>
          <w:p w14:paraId="63D6C577" w14:textId="75F898F2" w:rsidR="005D21F3" w:rsidRDefault="00000000">
            <w:pPr>
              <w:spacing w:line="240" w:lineRule="auto"/>
            </w:pPr>
            <w:r>
              <w:rPr>
                <w:rFonts w:cs="Times New Roman"/>
                <w:color w:val="000000"/>
                <w:sz w:val="22"/>
                <w:szCs w:val="22"/>
              </w:rPr>
              <w:t>clonazepam</w:t>
            </w:r>
          </w:p>
        </w:tc>
        <w:tc>
          <w:tcPr>
            <w:tcW w:w="4437" w:type="dxa"/>
            <w:vAlign w:val="bottom"/>
          </w:tcPr>
          <w:p w14:paraId="41625F64" w14:textId="77777777" w:rsidR="005D21F3" w:rsidRDefault="00000000">
            <w:pPr>
              <w:spacing w:line="240" w:lineRule="auto"/>
              <w:jc w:val="center"/>
            </w:pPr>
            <w:r>
              <w:rPr>
                <w:rFonts w:cs="Times New Roman"/>
                <w:color w:val="000000"/>
                <w:sz w:val="22"/>
                <w:szCs w:val="22"/>
              </w:rPr>
              <w:t>5 (2.7)</w:t>
            </w:r>
          </w:p>
        </w:tc>
      </w:tr>
      <w:tr w:rsidR="005D21F3" w14:paraId="17346395" w14:textId="77777777">
        <w:trPr>
          <w:trHeight w:val="300"/>
        </w:trPr>
        <w:tc>
          <w:tcPr>
            <w:tcW w:w="4962" w:type="dxa"/>
            <w:vAlign w:val="bottom"/>
          </w:tcPr>
          <w:p w14:paraId="6BAD0B4D" w14:textId="588569F6" w:rsidR="005D21F3" w:rsidRDefault="00000000">
            <w:pPr>
              <w:spacing w:line="240" w:lineRule="auto"/>
            </w:pPr>
            <w:r>
              <w:rPr>
                <w:rFonts w:cs="Times New Roman"/>
                <w:color w:val="000000"/>
                <w:sz w:val="22"/>
                <w:szCs w:val="22"/>
              </w:rPr>
              <w:t>lorazepam</w:t>
            </w:r>
          </w:p>
        </w:tc>
        <w:tc>
          <w:tcPr>
            <w:tcW w:w="4437" w:type="dxa"/>
            <w:vAlign w:val="bottom"/>
          </w:tcPr>
          <w:p w14:paraId="689780C8" w14:textId="77777777" w:rsidR="005D21F3" w:rsidRDefault="00000000">
            <w:pPr>
              <w:spacing w:line="240" w:lineRule="auto"/>
              <w:jc w:val="center"/>
              <w:rPr>
                <w:rFonts w:cs="Times New Roman"/>
                <w:color w:val="000000"/>
                <w:sz w:val="22"/>
                <w:szCs w:val="22"/>
              </w:rPr>
            </w:pPr>
            <w:r>
              <w:rPr>
                <w:rFonts w:cs="Times New Roman"/>
                <w:color w:val="000000"/>
                <w:sz w:val="22"/>
                <w:szCs w:val="22"/>
              </w:rPr>
              <w:t>11 (5.9)</w:t>
            </w:r>
          </w:p>
        </w:tc>
      </w:tr>
      <w:tr w:rsidR="005D21F3" w14:paraId="0D4A7E51" w14:textId="77777777">
        <w:trPr>
          <w:trHeight w:val="300"/>
        </w:trPr>
        <w:tc>
          <w:tcPr>
            <w:tcW w:w="4962" w:type="dxa"/>
            <w:tcBorders>
              <w:bottom w:val="single" w:sz="12" w:space="0" w:color="000000"/>
            </w:tcBorders>
            <w:vAlign w:val="bottom"/>
          </w:tcPr>
          <w:p w14:paraId="4FDD0652" w14:textId="113EF6CF" w:rsidR="005D21F3" w:rsidRDefault="00000000">
            <w:pPr>
              <w:spacing w:line="240" w:lineRule="auto"/>
            </w:pPr>
            <w:r>
              <w:rPr>
                <w:rFonts w:cs="Times New Roman"/>
                <w:color w:val="000000"/>
                <w:sz w:val="22"/>
                <w:szCs w:val="22"/>
              </w:rPr>
              <w:t>diazepam</w:t>
            </w:r>
          </w:p>
        </w:tc>
        <w:tc>
          <w:tcPr>
            <w:tcW w:w="4437" w:type="dxa"/>
            <w:tcBorders>
              <w:bottom w:val="single" w:sz="12" w:space="0" w:color="000000"/>
            </w:tcBorders>
            <w:vAlign w:val="bottom"/>
          </w:tcPr>
          <w:p w14:paraId="6D4864A8" w14:textId="77777777" w:rsidR="005D21F3" w:rsidRDefault="00000000">
            <w:pPr>
              <w:spacing w:line="240" w:lineRule="auto"/>
              <w:jc w:val="center"/>
              <w:rPr>
                <w:rFonts w:cs="Times New Roman"/>
                <w:color w:val="000000"/>
                <w:sz w:val="22"/>
                <w:szCs w:val="22"/>
              </w:rPr>
            </w:pPr>
            <w:r>
              <w:rPr>
                <w:rFonts w:cs="Times New Roman"/>
                <w:color w:val="000000"/>
                <w:sz w:val="22"/>
                <w:szCs w:val="22"/>
              </w:rPr>
              <w:t>6 (3.2)</w:t>
            </w:r>
          </w:p>
        </w:tc>
      </w:tr>
    </w:tbl>
    <w:p w14:paraId="134400D2" w14:textId="77777777" w:rsidR="00BD172F" w:rsidRDefault="00BD172F">
      <w:pPr>
        <w:rPr>
          <w:rFonts w:cs="Times New Roman"/>
          <w:b/>
          <w:bCs/>
        </w:rPr>
      </w:pPr>
    </w:p>
    <w:p w14:paraId="11C72F40" w14:textId="55E6D346" w:rsidR="005D21F3" w:rsidRDefault="00000000">
      <w:r>
        <w:rPr>
          <w:rFonts w:cs="Times New Roman"/>
          <w:b/>
          <w:bCs/>
        </w:rPr>
        <w:t xml:space="preserve">Table S2. Medication use in the study cohort. </w:t>
      </w:r>
    </w:p>
    <w:p w14:paraId="216C6A04" w14:textId="77777777" w:rsidR="005D21F3" w:rsidRDefault="00000000">
      <w:pPr>
        <w:suppressAutoHyphens w:val="0"/>
        <w:spacing w:line="240" w:lineRule="auto"/>
        <w:jc w:val="left"/>
        <w:rPr>
          <w:rFonts w:cs="Times New Roman"/>
        </w:rPr>
      </w:pPr>
      <w:r>
        <w:br w:type="page"/>
      </w:r>
    </w:p>
    <w:tbl>
      <w:tblPr>
        <w:tblW w:w="5000" w:type="pct"/>
        <w:tblInd w:w="108" w:type="dxa"/>
        <w:tblLook w:val="04A0" w:firstRow="1" w:lastRow="0" w:firstColumn="1" w:lastColumn="0" w:noHBand="0" w:noVBand="1"/>
      </w:tblPr>
      <w:tblGrid>
        <w:gridCol w:w="3483"/>
        <w:gridCol w:w="4178"/>
        <w:gridCol w:w="1365"/>
      </w:tblGrid>
      <w:tr w:rsidR="005D21F3" w14:paraId="46CCA211" w14:textId="77777777">
        <w:trPr>
          <w:trHeight w:val="432"/>
        </w:trPr>
        <w:tc>
          <w:tcPr>
            <w:tcW w:w="3483" w:type="dxa"/>
            <w:tcBorders>
              <w:top w:val="single" w:sz="12" w:space="0" w:color="000000"/>
              <w:bottom w:val="single" w:sz="4" w:space="0" w:color="000000"/>
            </w:tcBorders>
            <w:vAlign w:val="center"/>
          </w:tcPr>
          <w:p w14:paraId="572BE508" w14:textId="77777777" w:rsidR="005D21F3" w:rsidRDefault="00000000">
            <w:pPr>
              <w:pageBreakBefore/>
              <w:rPr>
                <w:rFonts w:cs="Times New Roman"/>
                <w:b/>
                <w:bCs/>
              </w:rPr>
            </w:pPr>
            <w:r>
              <w:rPr>
                <w:rFonts w:cs="Times New Roman"/>
                <w:b/>
                <w:bCs/>
              </w:rPr>
              <w:lastRenderedPageBreak/>
              <w:t>Predictor</w:t>
            </w:r>
          </w:p>
        </w:tc>
        <w:tc>
          <w:tcPr>
            <w:tcW w:w="4178" w:type="dxa"/>
            <w:tcBorders>
              <w:top w:val="single" w:sz="12" w:space="0" w:color="000000"/>
              <w:bottom w:val="single" w:sz="4" w:space="0" w:color="000000"/>
            </w:tcBorders>
            <w:vAlign w:val="center"/>
          </w:tcPr>
          <w:p w14:paraId="49FE4BFB" w14:textId="77777777" w:rsidR="005D21F3" w:rsidRDefault="00000000">
            <w:pPr>
              <w:jc w:val="center"/>
            </w:pPr>
            <w:r>
              <w:rPr>
                <w:rFonts w:cs="Times New Roman"/>
                <w:b/>
                <w:bCs/>
              </w:rPr>
              <w:t xml:space="preserve">Coefficient, </w:t>
            </w:r>
            <w:r>
              <w:rPr>
                <w:rFonts w:cs="Times New Roman"/>
                <w:b/>
                <w:bCs/>
                <w:i/>
                <w:iCs/>
              </w:rPr>
              <w:t>β</w:t>
            </w:r>
            <w:r>
              <w:rPr>
                <w:rFonts w:cs="Times New Roman"/>
                <w:b/>
                <w:bCs/>
              </w:rPr>
              <w:t xml:space="preserve"> (95% CI)</w:t>
            </w:r>
          </w:p>
        </w:tc>
        <w:tc>
          <w:tcPr>
            <w:tcW w:w="1365" w:type="dxa"/>
            <w:tcBorders>
              <w:top w:val="single" w:sz="12" w:space="0" w:color="000000"/>
              <w:bottom w:val="single" w:sz="4" w:space="0" w:color="000000"/>
            </w:tcBorders>
            <w:vAlign w:val="center"/>
          </w:tcPr>
          <w:p w14:paraId="3BB5C17D" w14:textId="77777777" w:rsidR="005D21F3" w:rsidRDefault="00000000">
            <w:pPr>
              <w:jc w:val="center"/>
              <w:rPr>
                <w:rFonts w:cs="Times New Roman"/>
                <w:b/>
                <w:bCs/>
                <w:i/>
                <w:iCs/>
              </w:rPr>
            </w:pPr>
            <w:r>
              <w:rPr>
                <w:rFonts w:cs="Times New Roman"/>
                <w:b/>
                <w:bCs/>
                <w:i/>
                <w:iCs/>
              </w:rPr>
              <w:t xml:space="preserve">p </w:t>
            </w:r>
          </w:p>
        </w:tc>
      </w:tr>
      <w:tr w:rsidR="005D21F3" w14:paraId="1973DD3F" w14:textId="77777777">
        <w:trPr>
          <w:trHeight w:val="432"/>
        </w:trPr>
        <w:tc>
          <w:tcPr>
            <w:tcW w:w="3483" w:type="dxa"/>
            <w:vAlign w:val="center"/>
          </w:tcPr>
          <w:p w14:paraId="33722EDB" w14:textId="77777777" w:rsidR="005D21F3" w:rsidRDefault="00000000">
            <w:pPr>
              <w:jc w:val="left"/>
              <w:rPr>
                <w:rFonts w:cs="Times New Roman"/>
              </w:rPr>
            </w:pPr>
            <w:r>
              <w:rPr>
                <w:rFonts w:cs="Times New Roman"/>
              </w:rPr>
              <w:t>Age at baseline (years)</w:t>
            </w:r>
          </w:p>
        </w:tc>
        <w:tc>
          <w:tcPr>
            <w:tcW w:w="4178" w:type="dxa"/>
          </w:tcPr>
          <w:p w14:paraId="3E7C68BE" w14:textId="76D68015" w:rsidR="005D21F3" w:rsidRDefault="00285C32">
            <w:pPr>
              <w:jc w:val="center"/>
              <w:rPr>
                <w:rFonts w:cs="Times New Roman"/>
              </w:rPr>
            </w:pPr>
            <w:r>
              <w:rPr>
                <w:rFonts w:cs="Times New Roman"/>
              </w:rPr>
              <w:t>-</w:t>
            </w:r>
            <w:r w:rsidR="00000000">
              <w:rPr>
                <w:rFonts w:cs="Times New Roman"/>
              </w:rPr>
              <w:t>0.1278 (</w:t>
            </w:r>
            <w:r>
              <w:rPr>
                <w:rFonts w:cs="Times New Roman"/>
              </w:rPr>
              <w:t>-0.2549</w:t>
            </w:r>
            <w:r>
              <w:rPr>
                <w:rFonts w:cs="Times New Roman"/>
              </w:rPr>
              <w:t>, -</w:t>
            </w:r>
            <w:r w:rsidR="00000000">
              <w:rPr>
                <w:rFonts w:cs="Times New Roman"/>
              </w:rPr>
              <w:t>0.0007)</w:t>
            </w:r>
          </w:p>
        </w:tc>
        <w:tc>
          <w:tcPr>
            <w:tcW w:w="1365" w:type="dxa"/>
          </w:tcPr>
          <w:p w14:paraId="45CB0B0D" w14:textId="77777777" w:rsidR="005D21F3" w:rsidRDefault="00000000">
            <w:pPr>
              <w:jc w:val="center"/>
              <w:rPr>
                <w:rFonts w:cs="Times New Roman"/>
              </w:rPr>
            </w:pPr>
            <w:r>
              <w:rPr>
                <w:rFonts w:cs="Times New Roman"/>
              </w:rPr>
              <w:t>0.0531</w:t>
            </w:r>
          </w:p>
        </w:tc>
      </w:tr>
      <w:tr w:rsidR="005D21F3" w14:paraId="550AFA58" w14:textId="77777777">
        <w:trPr>
          <w:trHeight w:val="432"/>
        </w:trPr>
        <w:tc>
          <w:tcPr>
            <w:tcW w:w="3483" w:type="dxa"/>
            <w:vAlign w:val="center"/>
          </w:tcPr>
          <w:p w14:paraId="0CFB8678" w14:textId="77777777" w:rsidR="005D21F3" w:rsidRDefault="00000000">
            <w:pPr>
              <w:jc w:val="left"/>
              <w:rPr>
                <w:rFonts w:cs="Times New Roman"/>
              </w:rPr>
            </w:pPr>
            <w:r>
              <w:rPr>
                <w:rFonts w:cs="Times New Roman"/>
              </w:rPr>
              <w:t>Sex (male vs. female)</w:t>
            </w:r>
          </w:p>
        </w:tc>
        <w:tc>
          <w:tcPr>
            <w:tcW w:w="4178" w:type="dxa"/>
          </w:tcPr>
          <w:p w14:paraId="28624F22" w14:textId="5531C504" w:rsidR="005D21F3" w:rsidRDefault="00285C32">
            <w:pPr>
              <w:jc w:val="center"/>
              <w:rPr>
                <w:rFonts w:cs="Times New Roman"/>
                <w:b/>
              </w:rPr>
            </w:pPr>
            <w:r>
              <w:rPr>
                <w:rFonts w:cs="Times New Roman"/>
                <w:b/>
              </w:rPr>
              <w:t>-</w:t>
            </w:r>
            <w:r w:rsidR="00000000">
              <w:rPr>
                <w:rFonts w:cs="Times New Roman"/>
                <w:b/>
              </w:rPr>
              <w:t>4.4051 (</w:t>
            </w:r>
            <w:r>
              <w:rPr>
                <w:rFonts w:cs="Times New Roman"/>
                <w:b/>
              </w:rPr>
              <w:t>-</w:t>
            </w:r>
            <w:r w:rsidR="00000000">
              <w:rPr>
                <w:rFonts w:cs="Times New Roman"/>
                <w:b/>
              </w:rPr>
              <w:t>7.6392</w:t>
            </w:r>
            <w:r>
              <w:rPr>
                <w:rFonts w:cs="Times New Roman"/>
                <w:b/>
              </w:rPr>
              <w:t xml:space="preserve">, </w:t>
            </w:r>
            <w:r>
              <w:rPr>
                <w:rFonts w:cs="Times New Roman"/>
                <w:b/>
              </w:rPr>
              <w:t>-1.1711</w:t>
            </w:r>
            <w:r w:rsidR="00000000">
              <w:rPr>
                <w:rFonts w:cs="Times New Roman"/>
                <w:b/>
              </w:rPr>
              <w:t>)</w:t>
            </w:r>
          </w:p>
        </w:tc>
        <w:tc>
          <w:tcPr>
            <w:tcW w:w="1365" w:type="dxa"/>
          </w:tcPr>
          <w:p w14:paraId="5E82A544" w14:textId="77777777" w:rsidR="005D21F3" w:rsidRDefault="00000000">
            <w:pPr>
              <w:jc w:val="center"/>
              <w:rPr>
                <w:rFonts w:cs="Times New Roman"/>
                <w:b/>
              </w:rPr>
            </w:pPr>
            <w:r>
              <w:rPr>
                <w:rFonts w:cs="Times New Roman"/>
                <w:b/>
              </w:rPr>
              <w:t>0.0091</w:t>
            </w:r>
          </w:p>
        </w:tc>
      </w:tr>
      <w:tr w:rsidR="005D21F3" w14:paraId="4E532246" w14:textId="77777777">
        <w:trPr>
          <w:trHeight w:val="432"/>
        </w:trPr>
        <w:tc>
          <w:tcPr>
            <w:tcW w:w="3483" w:type="dxa"/>
            <w:vAlign w:val="center"/>
          </w:tcPr>
          <w:p w14:paraId="2132D73D" w14:textId="77777777" w:rsidR="005D21F3" w:rsidRDefault="00000000">
            <w:pPr>
              <w:jc w:val="left"/>
              <w:rPr>
                <w:rFonts w:cs="Times New Roman"/>
              </w:rPr>
            </w:pPr>
            <w:r>
              <w:rPr>
                <w:rFonts w:cs="Times New Roman"/>
              </w:rPr>
              <w:t>Sedation (as hours of sleep per day)</w:t>
            </w:r>
          </w:p>
        </w:tc>
        <w:tc>
          <w:tcPr>
            <w:tcW w:w="4178" w:type="dxa"/>
          </w:tcPr>
          <w:p w14:paraId="36780DC3" w14:textId="0D6B7972" w:rsidR="005D21F3" w:rsidRDefault="00285C32">
            <w:pPr>
              <w:jc w:val="center"/>
              <w:rPr>
                <w:rFonts w:cs="Times New Roman"/>
                <w:b/>
              </w:rPr>
            </w:pPr>
            <w:r>
              <w:rPr>
                <w:rFonts w:cs="Times New Roman"/>
                <w:b/>
              </w:rPr>
              <w:t>-</w:t>
            </w:r>
            <w:r w:rsidR="00000000">
              <w:rPr>
                <w:rFonts w:cs="Times New Roman"/>
                <w:b/>
              </w:rPr>
              <w:t>0.5716 (</w:t>
            </w:r>
            <w:r>
              <w:rPr>
                <w:rFonts w:cs="Times New Roman"/>
                <w:b/>
              </w:rPr>
              <w:t>-1.1104</w:t>
            </w:r>
            <w:r>
              <w:rPr>
                <w:rFonts w:cs="Times New Roman"/>
                <w:b/>
              </w:rPr>
              <w:t>, -</w:t>
            </w:r>
            <w:r w:rsidR="00000000">
              <w:rPr>
                <w:rFonts w:cs="Times New Roman"/>
                <w:b/>
              </w:rPr>
              <w:t>0.0373)</w:t>
            </w:r>
          </w:p>
        </w:tc>
        <w:tc>
          <w:tcPr>
            <w:tcW w:w="1365" w:type="dxa"/>
          </w:tcPr>
          <w:p w14:paraId="36B4BA12" w14:textId="77777777" w:rsidR="005D21F3" w:rsidRDefault="00000000">
            <w:pPr>
              <w:jc w:val="center"/>
              <w:rPr>
                <w:rFonts w:cs="Times New Roman"/>
                <w:b/>
              </w:rPr>
            </w:pPr>
            <w:r>
              <w:rPr>
                <w:rFonts w:cs="Times New Roman"/>
                <w:b/>
              </w:rPr>
              <w:t>0.0391</w:t>
            </w:r>
          </w:p>
        </w:tc>
      </w:tr>
      <w:tr w:rsidR="005D21F3" w14:paraId="70B4E213" w14:textId="77777777">
        <w:trPr>
          <w:trHeight w:val="432"/>
        </w:trPr>
        <w:tc>
          <w:tcPr>
            <w:tcW w:w="3483" w:type="dxa"/>
            <w:vAlign w:val="center"/>
          </w:tcPr>
          <w:p w14:paraId="6656BA2F" w14:textId="1EEBD45C" w:rsidR="005D21F3" w:rsidRDefault="00000000">
            <w:pPr>
              <w:jc w:val="left"/>
              <w:rPr>
                <w:rFonts w:cs="Times New Roman"/>
              </w:rPr>
            </w:pPr>
            <w:r>
              <w:rPr>
                <w:rFonts w:cs="Times New Roman"/>
              </w:rPr>
              <w:t>Psychosis (PANSS positive symptom</w:t>
            </w:r>
            <w:r w:rsidR="00233481">
              <w:rPr>
                <w:rFonts w:cs="Times New Roman"/>
              </w:rPr>
              <w:t xml:space="preserve"> score)</w:t>
            </w:r>
          </w:p>
        </w:tc>
        <w:tc>
          <w:tcPr>
            <w:tcW w:w="4178" w:type="dxa"/>
          </w:tcPr>
          <w:p w14:paraId="2831865A" w14:textId="22337CC5" w:rsidR="005D21F3" w:rsidRDefault="00285C32">
            <w:pPr>
              <w:jc w:val="center"/>
              <w:rPr>
                <w:rFonts w:cs="Times New Roman"/>
                <w:b/>
              </w:rPr>
            </w:pPr>
            <w:r>
              <w:rPr>
                <w:rFonts w:cs="Times New Roman"/>
                <w:b/>
              </w:rPr>
              <w:t>-</w:t>
            </w:r>
            <w:r w:rsidR="00000000">
              <w:rPr>
                <w:rFonts w:cs="Times New Roman"/>
                <w:b/>
              </w:rPr>
              <w:t>0.3810 (</w:t>
            </w:r>
            <w:r>
              <w:rPr>
                <w:rFonts w:cs="Times New Roman"/>
                <w:b/>
              </w:rPr>
              <w:t>-0.5944</w:t>
            </w:r>
            <w:r>
              <w:rPr>
                <w:rFonts w:cs="Times New Roman"/>
                <w:b/>
              </w:rPr>
              <w:t>, -</w:t>
            </w:r>
            <w:r w:rsidR="00000000">
              <w:rPr>
                <w:rFonts w:cs="Times New Roman"/>
                <w:b/>
              </w:rPr>
              <w:t>0.1685)</w:t>
            </w:r>
          </w:p>
        </w:tc>
        <w:tc>
          <w:tcPr>
            <w:tcW w:w="1365" w:type="dxa"/>
          </w:tcPr>
          <w:p w14:paraId="0EFBE60B" w14:textId="77777777" w:rsidR="005D21F3" w:rsidRDefault="00000000">
            <w:pPr>
              <w:jc w:val="center"/>
              <w:rPr>
                <w:rFonts w:cs="Times New Roman"/>
                <w:b/>
              </w:rPr>
            </w:pPr>
            <w:r>
              <w:rPr>
                <w:rFonts w:cs="Times New Roman"/>
                <w:b/>
              </w:rPr>
              <w:t>0.0006</w:t>
            </w:r>
          </w:p>
        </w:tc>
      </w:tr>
      <w:tr w:rsidR="005D21F3" w14:paraId="701738D8" w14:textId="77777777">
        <w:trPr>
          <w:trHeight w:val="432"/>
        </w:trPr>
        <w:tc>
          <w:tcPr>
            <w:tcW w:w="3483" w:type="dxa"/>
            <w:vAlign w:val="center"/>
          </w:tcPr>
          <w:p w14:paraId="6651E7F0" w14:textId="77777777" w:rsidR="005D21F3" w:rsidRDefault="00000000">
            <w:pPr>
              <w:jc w:val="left"/>
              <w:rPr>
                <w:rFonts w:cs="Times New Roman"/>
              </w:rPr>
            </w:pPr>
            <w:r>
              <w:rPr>
                <w:rFonts w:cs="Times New Roman"/>
              </w:rPr>
              <w:t>Calgary depression score</w:t>
            </w:r>
          </w:p>
        </w:tc>
        <w:tc>
          <w:tcPr>
            <w:tcW w:w="4178" w:type="dxa"/>
          </w:tcPr>
          <w:p w14:paraId="6F3BD7E6" w14:textId="4AA39921" w:rsidR="005D21F3" w:rsidRDefault="00285C32">
            <w:pPr>
              <w:jc w:val="center"/>
            </w:pPr>
            <w:r>
              <w:rPr>
                <w:rFonts w:cs="Times New Roman"/>
                <w:b/>
              </w:rPr>
              <w:t>-</w:t>
            </w:r>
            <w:r w:rsidR="00000000">
              <w:rPr>
                <w:rFonts w:cs="Times New Roman"/>
                <w:b/>
              </w:rPr>
              <w:t>0.5685 (</w:t>
            </w:r>
            <w:r>
              <w:rPr>
                <w:rFonts w:eastAsia="Times New Roman" w:cs="Times New Roman"/>
                <w:color w:val="000000"/>
                <w:sz w:val="22"/>
                <w:szCs w:val="22"/>
              </w:rPr>
              <w:t>−</w:t>
            </w:r>
            <w:r>
              <w:rPr>
                <w:rFonts w:cs="Times New Roman"/>
                <w:b/>
              </w:rPr>
              <w:t>0.8074</w:t>
            </w:r>
            <w:r>
              <w:rPr>
                <w:rFonts w:cs="Times New Roman"/>
                <w:b/>
              </w:rPr>
              <w:t>, -</w:t>
            </w:r>
            <w:r w:rsidR="00000000">
              <w:rPr>
                <w:rFonts w:cs="Times New Roman"/>
                <w:b/>
              </w:rPr>
              <w:t>0.3294)</w:t>
            </w:r>
          </w:p>
        </w:tc>
        <w:tc>
          <w:tcPr>
            <w:tcW w:w="1365" w:type="dxa"/>
          </w:tcPr>
          <w:p w14:paraId="65D67A1B" w14:textId="77777777" w:rsidR="005D21F3" w:rsidRDefault="00000000">
            <w:pPr>
              <w:jc w:val="center"/>
              <w:rPr>
                <w:rFonts w:cs="Times New Roman"/>
                <w:b/>
              </w:rPr>
            </w:pPr>
            <w:r>
              <w:rPr>
                <w:rFonts w:cs="Times New Roman"/>
                <w:b/>
              </w:rPr>
              <w:t>&lt;0.0001</w:t>
            </w:r>
          </w:p>
        </w:tc>
      </w:tr>
      <w:tr w:rsidR="005D21F3" w14:paraId="1906D0E9" w14:textId="77777777">
        <w:trPr>
          <w:trHeight w:val="432"/>
        </w:trPr>
        <w:tc>
          <w:tcPr>
            <w:tcW w:w="3483" w:type="dxa"/>
            <w:vAlign w:val="center"/>
          </w:tcPr>
          <w:p w14:paraId="45ECAAE8" w14:textId="77777777" w:rsidR="005D21F3" w:rsidRDefault="00000000">
            <w:pPr>
              <w:jc w:val="left"/>
              <w:rPr>
                <w:rFonts w:cs="Times New Roman"/>
              </w:rPr>
            </w:pPr>
            <w:r>
              <w:rPr>
                <w:rFonts w:cs="Times New Roman"/>
              </w:rPr>
              <w:t>Clozapine dose (mg/day)</w:t>
            </w:r>
          </w:p>
        </w:tc>
        <w:tc>
          <w:tcPr>
            <w:tcW w:w="4178" w:type="dxa"/>
          </w:tcPr>
          <w:p w14:paraId="23656A9D" w14:textId="740CFD4B" w:rsidR="005D21F3" w:rsidRDefault="00000000">
            <w:pPr>
              <w:jc w:val="center"/>
            </w:pPr>
            <w:r>
              <w:rPr>
                <w:rFonts w:cs="Times New Roman"/>
                <w:b/>
              </w:rPr>
              <w:t>0.0087 (</w:t>
            </w:r>
            <w:r w:rsidR="00285C32">
              <w:rPr>
                <w:rFonts w:cs="Times New Roman"/>
                <w:b/>
              </w:rPr>
              <w:t>0.0004</w:t>
            </w:r>
            <w:r w:rsidR="00285C32">
              <w:rPr>
                <w:rFonts w:cs="Times New Roman"/>
                <w:b/>
              </w:rPr>
              <w:t xml:space="preserve">, </w:t>
            </w:r>
            <w:r>
              <w:rPr>
                <w:rFonts w:cs="Times New Roman"/>
                <w:b/>
              </w:rPr>
              <w:t>0.0169)</w:t>
            </w:r>
          </w:p>
        </w:tc>
        <w:tc>
          <w:tcPr>
            <w:tcW w:w="1365" w:type="dxa"/>
          </w:tcPr>
          <w:p w14:paraId="04B7C4D5" w14:textId="77777777" w:rsidR="005D21F3" w:rsidRDefault="00000000">
            <w:pPr>
              <w:jc w:val="center"/>
              <w:rPr>
                <w:rFonts w:cs="Times New Roman"/>
                <w:b/>
              </w:rPr>
            </w:pPr>
            <w:r>
              <w:rPr>
                <w:rFonts w:cs="Times New Roman"/>
                <w:b/>
              </w:rPr>
              <w:t>0.0418</w:t>
            </w:r>
          </w:p>
        </w:tc>
      </w:tr>
      <w:tr w:rsidR="005D21F3" w14:paraId="7246B10B" w14:textId="77777777">
        <w:trPr>
          <w:trHeight w:val="432"/>
        </w:trPr>
        <w:tc>
          <w:tcPr>
            <w:tcW w:w="3483" w:type="dxa"/>
            <w:vAlign w:val="center"/>
          </w:tcPr>
          <w:p w14:paraId="35893098" w14:textId="77777777" w:rsidR="005D21F3" w:rsidRDefault="00000000">
            <w:pPr>
              <w:jc w:val="left"/>
              <w:rPr>
                <w:rFonts w:cs="Times New Roman"/>
              </w:rPr>
            </w:pPr>
            <w:r>
              <w:rPr>
                <w:rFonts w:cs="Times New Roman"/>
              </w:rPr>
              <w:t>Aripiprazole dose (%BNF maximum)</w:t>
            </w:r>
          </w:p>
        </w:tc>
        <w:tc>
          <w:tcPr>
            <w:tcW w:w="4178" w:type="dxa"/>
          </w:tcPr>
          <w:p w14:paraId="6B1A08AA" w14:textId="6DD40ED8" w:rsidR="005D21F3" w:rsidRDefault="00000000">
            <w:pPr>
              <w:jc w:val="center"/>
            </w:pPr>
            <w:r>
              <w:rPr>
                <w:rFonts w:cs="Times New Roman"/>
              </w:rPr>
              <w:t>0.0211 (</w:t>
            </w:r>
            <w:r w:rsidR="00285C32">
              <w:rPr>
                <w:rFonts w:cs="Times New Roman"/>
              </w:rPr>
              <w:t>-0.0259</w:t>
            </w:r>
            <w:r w:rsidR="00285C32">
              <w:rPr>
                <w:rFonts w:cs="Times New Roman"/>
              </w:rPr>
              <w:t xml:space="preserve">, </w:t>
            </w:r>
            <w:r>
              <w:rPr>
                <w:rFonts w:cs="Times New Roman"/>
              </w:rPr>
              <w:t>0.0683)</w:t>
            </w:r>
          </w:p>
        </w:tc>
        <w:tc>
          <w:tcPr>
            <w:tcW w:w="1365" w:type="dxa"/>
          </w:tcPr>
          <w:p w14:paraId="60CB4C9B" w14:textId="77777777" w:rsidR="005D21F3" w:rsidRDefault="00000000">
            <w:pPr>
              <w:jc w:val="center"/>
              <w:rPr>
                <w:rFonts w:cs="Times New Roman"/>
              </w:rPr>
            </w:pPr>
            <w:r>
              <w:rPr>
                <w:rFonts w:cs="Times New Roman"/>
              </w:rPr>
              <w:t>0.3856</w:t>
            </w:r>
          </w:p>
        </w:tc>
      </w:tr>
      <w:tr w:rsidR="005D21F3" w14:paraId="30C053EF" w14:textId="77777777">
        <w:trPr>
          <w:trHeight w:val="432"/>
        </w:trPr>
        <w:tc>
          <w:tcPr>
            <w:tcW w:w="3483" w:type="dxa"/>
            <w:vAlign w:val="center"/>
          </w:tcPr>
          <w:p w14:paraId="1D02F1ED" w14:textId="77777777" w:rsidR="005D21F3" w:rsidRDefault="00000000">
            <w:pPr>
              <w:jc w:val="left"/>
              <w:rPr>
                <w:rFonts w:cs="Times New Roman"/>
              </w:rPr>
            </w:pPr>
            <w:r>
              <w:rPr>
                <w:rFonts w:cs="Times New Roman"/>
              </w:rPr>
              <w:t>Smoking (yes vs. no)</w:t>
            </w:r>
          </w:p>
        </w:tc>
        <w:tc>
          <w:tcPr>
            <w:tcW w:w="4178" w:type="dxa"/>
          </w:tcPr>
          <w:p w14:paraId="1507DF8D" w14:textId="04CED9D5" w:rsidR="005D21F3" w:rsidRDefault="00285C32">
            <w:pPr>
              <w:jc w:val="center"/>
              <w:rPr>
                <w:rFonts w:cs="Times New Roman"/>
                <w:b/>
              </w:rPr>
            </w:pPr>
            <w:r>
              <w:rPr>
                <w:rFonts w:cs="Times New Roman"/>
                <w:b/>
              </w:rPr>
              <w:t>-</w:t>
            </w:r>
            <w:r w:rsidR="00000000">
              <w:rPr>
                <w:rFonts w:cs="Times New Roman"/>
                <w:b/>
              </w:rPr>
              <w:t>0.1100 (</w:t>
            </w:r>
            <w:r>
              <w:rPr>
                <w:rFonts w:cs="Times New Roman"/>
                <w:b/>
              </w:rPr>
              <w:t>-0.2153</w:t>
            </w:r>
            <w:r>
              <w:rPr>
                <w:rFonts w:cs="Times New Roman"/>
                <w:b/>
              </w:rPr>
              <w:t>, -</w:t>
            </w:r>
            <w:r w:rsidR="00000000">
              <w:rPr>
                <w:rFonts w:cs="Times New Roman"/>
                <w:b/>
              </w:rPr>
              <w:t>0.0045)</w:t>
            </w:r>
          </w:p>
        </w:tc>
        <w:tc>
          <w:tcPr>
            <w:tcW w:w="1365" w:type="dxa"/>
          </w:tcPr>
          <w:p w14:paraId="6A17DE84" w14:textId="77777777" w:rsidR="005D21F3" w:rsidRDefault="00000000">
            <w:pPr>
              <w:jc w:val="center"/>
              <w:rPr>
                <w:rFonts w:cs="Times New Roman"/>
                <w:b/>
              </w:rPr>
            </w:pPr>
            <w:r>
              <w:rPr>
                <w:rFonts w:cs="Times New Roman"/>
                <w:b/>
              </w:rPr>
              <w:t>0.0438</w:t>
            </w:r>
          </w:p>
        </w:tc>
      </w:tr>
      <w:tr w:rsidR="005D21F3" w14:paraId="62D9E234" w14:textId="77777777">
        <w:trPr>
          <w:trHeight w:val="432"/>
        </w:trPr>
        <w:tc>
          <w:tcPr>
            <w:tcW w:w="3483" w:type="dxa"/>
            <w:tcBorders>
              <w:bottom w:val="single" w:sz="12" w:space="0" w:color="000000"/>
            </w:tcBorders>
            <w:vAlign w:val="center"/>
          </w:tcPr>
          <w:p w14:paraId="5D60B377" w14:textId="77777777" w:rsidR="005D21F3" w:rsidRDefault="00000000">
            <w:pPr>
              <w:jc w:val="left"/>
              <w:rPr>
                <w:rFonts w:cs="Times New Roman"/>
              </w:rPr>
            </w:pPr>
            <w:r>
              <w:rPr>
                <w:rFonts w:cs="Times New Roman"/>
              </w:rPr>
              <w:t>Alcohol (units per week)</w:t>
            </w:r>
          </w:p>
        </w:tc>
        <w:tc>
          <w:tcPr>
            <w:tcW w:w="4178" w:type="dxa"/>
            <w:tcBorders>
              <w:bottom w:val="single" w:sz="12" w:space="0" w:color="000000"/>
            </w:tcBorders>
          </w:tcPr>
          <w:p w14:paraId="61D1CC8C" w14:textId="4745BB2E" w:rsidR="005D21F3" w:rsidRDefault="00000000">
            <w:pPr>
              <w:jc w:val="center"/>
            </w:pPr>
            <w:r>
              <w:rPr>
                <w:rFonts w:cs="Times New Roman"/>
              </w:rPr>
              <w:t>0.0234 (</w:t>
            </w:r>
            <w:r w:rsidR="00285C32">
              <w:rPr>
                <w:rFonts w:cs="Times New Roman"/>
              </w:rPr>
              <w:t>-0.0337</w:t>
            </w:r>
            <w:r w:rsidR="00285C32">
              <w:rPr>
                <w:rFonts w:cs="Times New Roman"/>
              </w:rPr>
              <w:t xml:space="preserve">, </w:t>
            </w:r>
            <w:r>
              <w:rPr>
                <w:rFonts w:cs="Times New Roman"/>
              </w:rPr>
              <w:t>0.0795)</w:t>
            </w:r>
          </w:p>
        </w:tc>
        <w:tc>
          <w:tcPr>
            <w:tcW w:w="1365" w:type="dxa"/>
            <w:tcBorders>
              <w:bottom w:val="single" w:sz="12" w:space="0" w:color="000000"/>
            </w:tcBorders>
          </w:tcPr>
          <w:p w14:paraId="48A0FB6A" w14:textId="77777777" w:rsidR="005D21F3" w:rsidRDefault="00000000">
            <w:pPr>
              <w:jc w:val="center"/>
              <w:rPr>
                <w:rFonts w:cs="Times New Roman"/>
              </w:rPr>
            </w:pPr>
            <w:r>
              <w:rPr>
                <w:rFonts w:cs="Times New Roman"/>
              </w:rPr>
              <w:t>0.4203</w:t>
            </w:r>
          </w:p>
        </w:tc>
      </w:tr>
    </w:tbl>
    <w:p w14:paraId="5BC7D6C8" w14:textId="77777777" w:rsidR="005D21F3" w:rsidRDefault="00000000">
      <w:pPr>
        <w:rPr>
          <w:rFonts w:cs="Times New Roman"/>
        </w:rPr>
      </w:pPr>
      <w:r>
        <w:rPr>
          <w:rFonts w:cs="Times New Roman"/>
        </w:rPr>
        <w:t>BNF, British National Formulary; PANSS, Positive and Negative Syndrome Scale.</w:t>
      </w:r>
    </w:p>
    <w:p w14:paraId="1C879418" w14:textId="5B218DE7" w:rsidR="005D21F3" w:rsidRDefault="00000000">
      <w:r>
        <w:rPr>
          <w:rFonts w:cs="Times New Roman"/>
          <w:b/>
          <w:bCs/>
        </w:rPr>
        <w:t xml:space="preserve">Table S3. Predictors of individual differences in motivation and pleasure. </w:t>
      </w:r>
      <w:r>
        <w:rPr>
          <w:rFonts w:cs="Times New Roman"/>
        </w:rPr>
        <w:t xml:space="preserve">Results of the linear mixed effects model estimating the predictors of motivation and pleasure (sum of items 1–3 and 5–8 in the Brief Negative Symptom Scale) across the clinical assessments longitudinally. Sex and smoking were categorical variables. Significant predictors are shown in bold.  </w:t>
      </w:r>
      <w:r>
        <w:br w:type="page"/>
      </w:r>
    </w:p>
    <w:p w14:paraId="1849239B" w14:textId="77777777" w:rsidR="005D21F3" w:rsidRDefault="00000000">
      <w:pPr>
        <w:rPr>
          <w:rFonts w:cs="Times New Roman"/>
          <w:b/>
          <w:bCs/>
        </w:rPr>
      </w:pPr>
      <w:r>
        <w:rPr>
          <w:rFonts w:cs="Times New Roman"/>
          <w:b/>
          <w:bCs/>
        </w:rPr>
        <w:lastRenderedPageBreak/>
        <w:t>Supplementary references</w:t>
      </w:r>
    </w:p>
    <w:p w14:paraId="6B01005A" w14:textId="77777777" w:rsidR="00507124" w:rsidRPr="00507124" w:rsidRDefault="00000000" w:rsidP="00507124">
      <w:pPr>
        <w:pStyle w:val="Bibliography"/>
        <w:rPr>
          <w:rFonts w:cs="Times New Roman"/>
        </w:rPr>
      </w:pPr>
      <w:r>
        <w:fldChar w:fldCharType="begin"/>
      </w:r>
      <w:r w:rsidR="00BD172F">
        <w:instrText xml:space="preserve"> ADDIN ZOTERO_BIBL {"uncited":[],"omitted":[],"custom":[]} CSL_BIBLIOGRAPHY </w:instrText>
      </w:r>
      <w:r>
        <w:fldChar w:fldCharType="separate"/>
      </w:r>
      <w:r w:rsidR="00507124" w:rsidRPr="00507124">
        <w:rPr>
          <w:rFonts w:cs="Times New Roman"/>
        </w:rPr>
        <w:t xml:space="preserve">1. </w:t>
      </w:r>
      <w:r w:rsidR="00507124" w:rsidRPr="00507124">
        <w:rPr>
          <w:rFonts w:cs="Times New Roman"/>
        </w:rPr>
        <w:tab/>
        <w:t xml:space="preserve">Klepstad P, Hilton P, Moen J, Fougner B, Borchgrevink PC, Kaasa S. Self-reports are not related to objective assessments of cognitive function and sedation in patients with cancer pain admitted to a palliative care unit. </w:t>
      </w:r>
      <w:r w:rsidR="00507124" w:rsidRPr="00507124">
        <w:rPr>
          <w:rFonts w:cs="Times New Roman"/>
          <w:i/>
          <w:iCs/>
        </w:rPr>
        <w:t>Palliat Med</w:t>
      </w:r>
      <w:r w:rsidR="00507124" w:rsidRPr="00507124">
        <w:rPr>
          <w:rFonts w:cs="Times New Roman"/>
        </w:rPr>
        <w:t>. 2002;16(6):513-519. doi:10.1191/0269216302pm587oa</w:t>
      </w:r>
    </w:p>
    <w:p w14:paraId="20777D46" w14:textId="77777777" w:rsidR="00507124" w:rsidRPr="00507124" w:rsidRDefault="00507124" w:rsidP="00507124">
      <w:pPr>
        <w:pStyle w:val="Bibliography"/>
        <w:rPr>
          <w:rFonts w:cs="Times New Roman"/>
        </w:rPr>
      </w:pPr>
      <w:r w:rsidRPr="00507124">
        <w:rPr>
          <w:rFonts w:cs="Times New Roman"/>
        </w:rPr>
        <w:t xml:space="preserve">2. </w:t>
      </w:r>
      <w:r w:rsidRPr="00507124">
        <w:rPr>
          <w:rFonts w:cs="Times New Roman"/>
        </w:rPr>
        <w:tab/>
        <w:t xml:space="preserve">Schwartz JE, Jandorf L, Krupp LB. The measurement of fatigue: A new instrument. </w:t>
      </w:r>
      <w:r w:rsidRPr="00507124">
        <w:rPr>
          <w:rFonts w:cs="Times New Roman"/>
          <w:i/>
          <w:iCs/>
        </w:rPr>
        <w:t>Journal of Psychosomatic Research</w:t>
      </w:r>
      <w:r w:rsidRPr="00507124">
        <w:rPr>
          <w:rFonts w:cs="Times New Roman"/>
        </w:rPr>
        <w:t>. 1993;37(7):753-762. doi:10.1016/0022-3999(93)90104-N</w:t>
      </w:r>
    </w:p>
    <w:p w14:paraId="230DB495" w14:textId="77777777" w:rsidR="00507124" w:rsidRPr="00507124" w:rsidRDefault="00507124" w:rsidP="00507124">
      <w:pPr>
        <w:pStyle w:val="Bibliography"/>
        <w:rPr>
          <w:rFonts w:cs="Times New Roman"/>
        </w:rPr>
      </w:pPr>
      <w:r w:rsidRPr="00507124">
        <w:rPr>
          <w:rFonts w:cs="Times New Roman"/>
        </w:rPr>
        <w:t xml:space="preserve">3. </w:t>
      </w:r>
      <w:r w:rsidRPr="00507124">
        <w:rPr>
          <w:rFonts w:cs="Times New Roman"/>
        </w:rPr>
        <w:tab/>
        <w:t xml:space="preserve">Fervaha G, Takeuchi H, Lee J, et al. Antipsychotics and Amotivation. </w:t>
      </w:r>
      <w:r w:rsidRPr="00507124">
        <w:rPr>
          <w:rFonts w:cs="Times New Roman"/>
          <w:i/>
          <w:iCs/>
        </w:rPr>
        <w:t>Neuropsychopharmacol</w:t>
      </w:r>
      <w:r w:rsidRPr="00507124">
        <w:rPr>
          <w:rFonts w:cs="Times New Roman"/>
        </w:rPr>
        <w:t>. 2015;40(6):1539-1548. doi:10.1038/npp.2015.3</w:t>
      </w:r>
    </w:p>
    <w:p w14:paraId="5FD57CE9" w14:textId="77777777" w:rsidR="00507124" w:rsidRPr="00507124" w:rsidRDefault="00507124" w:rsidP="00507124">
      <w:pPr>
        <w:pStyle w:val="Bibliography"/>
        <w:rPr>
          <w:rFonts w:cs="Times New Roman"/>
        </w:rPr>
      </w:pPr>
      <w:r w:rsidRPr="00507124">
        <w:rPr>
          <w:rFonts w:cs="Times New Roman"/>
        </w:rPr>
        <w:t xml:space="preserve">4. </w:t>
      </w:r>
      <w:r w:rsidRPr="00507124">
        <w:rPr>
          <w:rFonts w:cs="Times New Roman"/>
        </w:rPr>
        <w:tab/>
        <w:t xml:space="preserve">Fernandez-Egea E, Chen S, Jenkins C, et al. The Effect of Clozapine on Self-reported Duration of Sleep and Its Interaction With 23 Other Medications: A 5-Year Naturalistic Study. </w:t>
      </w:r>
      <w:r w:rsidRPr="00507124">
        <w:rPr>
          <w:rFonts w:cs="Times New Roman"/>
          <w:i/>
          <w:iCs/>
        </w:rPr>
        <w:t>Journal of Clinical Psychopharmacology</w:t>
      </w:r>
      <w:r w:rsidRPr="00507124">
        <w:rPr>
          <w:rFonts w:cs="Times New Roman"/>
        </w:rPr>
        <w:t>. 2021;41(5):534-539. doi:10.1097/JCP.0000000000001432</w:t>
      </w:r>
    </w:p>
    <w:p w14:paraId="1C25ED1C" w14:textId="77777777" w:rsidR="00507124" w:rsidRPr="00507124" w:rsidRDefault="00507124" w:rsidP="00507124">
      <w:pPr>
        <w:pStyle w:val="Bibliography"/>
        <w:rPr>
          <w:rFonts w:cs="Times New Roman"/>
        </w:rPr>
      </w:pPr>
      <w:r w:rsidRPr="00507124">
        <w:rPr>
          <w:rFonts w:cs="Times New Roman"/>
        </w:rPr>
        <w:t xml:space="preserve">5. </w:t>
      </w:r>
      <w:r w:rsidRPr="00507124">
        <w:rPr>
          <w:rFonts w:cs="Times New Roman"/>
        </w:rPr>
        <w:tab/>
        <w:t xml:space="preserve">Patel SR, Ayas NT, Malhotra MR, et al. A prospective study of sleep duration and mortality risk in women. </w:t>
      </w:r>
      <w:r w:rsidRPr="00507124">
        <w:rPr>
          <w:rFonts w:cs="Times New Roman"/>
          <w:i/>
          <w:iCs/>
        </w:rPr>
        <w:t>Sleep</w:t>
      </w:r>
      <w:r w:rsidRPr="00507124">
        <w:rPr>
          <w:rFonts w:cs="Times New Roman"/>
        </w:rPr>
        <w:t>. 2004. doi:10.1093/sleep/27.3.440</w:t>
      </w:r>
    </w:p>
    <w:p w14:paraId="76060550" w14:textId="77777777" w:rsidR="00507124" w:rsidRPr="00507124" w:rsidRDefault="00507124" w:rsidP="00507124">
      <w:pPr>
        <w:pStyle w:val="Bibliography"/>
        <w:rPr>
          <w:rFonts w:cs="Times New Roman"/>
        </w:rPr>
      </w:pPr>
      <w:r w:rsidRPr="00507124">
        <w:rPr>
          <w:rFonts w:cs="Times New Roman"/>
        </w:rPr>
        <w:t xml:space="preserve">6. </w:t>
      </w:r>
      <w:r w:rsidRPr="00507124">
        <w:rPr>
          <w:rFonts w:cs="Times New Roman"/>
        </w:rPr>
        <w:tab/>
        <w:t xml:space="preserve">Gaina A, Sekine M, Chen X, Hamanishi S, Kagamimori S. Validity of child sleep diary questionnaire among junior high school children. </w:t>
      </w:r>
      <w:r w:rsidRPr="00507124">
        <w:rPr>
          <w:rFonts w:cs="Times New Roman"/>
          <w:i/>
          <w:iCs/>
        </w:rPr>
        <w:t>Journal of Epidemiology</w:t>
      </w:r>
      <w:r w:rsidRPr="00507124">
        <w:rPr>
          <w:rFonts w:cs="Times New Roman"/>
        </w:rPr>
        <w:t>. 2004. doi:10.2188/jea.14.1</w:t>
      </w:r>
    </w:p>
    <w:p w14:paraId="6006CC77" w14:textId="77777777" w:rsidR="00507124" w:rsidRPr="00507124" w:rsidRDefault="00507124" w:rsidP="00507124">
      <w:pPr>
        <w:pStyle w:val="Bibliography"/>
        <w:rPr>
          <w:rFonts w:cs="Times New Roman"/>
        </w:rPr>
      </w:pPr>
      <w:r w:rsidRPr="00507124">
        <w:rPr>
          <w:rFonts w:cs="Times New Roman"/>
        </w:rPr>
        <w:t xml:space="preserve">7. </w:t>
      </w:r>
      <w:r w:rsidRPr="00507124">
        <w:rPr>
          <w:rFonts w:cs="Times New Roman"/>
        </w:rPr>
        <w:tab/>
        <w:t xml:space="preserve">American Psychiatric Association. </w:t>
      </w:r>
      <w:r w:rsidRPr="00507124">
        <w:rPr>
          <w:rFonts w:cs="Times New Roman"/>
          <w:i/>
          <w:iCs/>
        </w:rPr>
        <w:t>Diagnostic and Statistical Manual of Mental Disorders, Fourth Edition, Text Revision (DSM-IV-TR)</w:t>
      </w:r>
      <w:r w:rsidRPr="00507124">
        <w:rPr>
          <w:rFonts w:cs="Times New Roman"/>
        </w:rPr>
        <w:t>. Vol 1. 4th ed. Arlington, VA: American Psychiatric Association; 2000. doi:10.1176/appi.books.9780890423349</w:t>
      </w:r>
    </w:p>
    <w:p w14:paraId="7FDEDB8D" w14:textId="77777777" w:rsidR="00507124" w:rsidRPr="00507124" w:rsidRDefault="00507124" w:rsidP="00507124">
      <w:pPr>
        <w:pStyle w:val="Bibliography"/>
        <w:rPr>
          <w:rFonts w:cs="Times New Roman"/>
        </w:rPr>
      </w:pPr>
      <w:r w:rsidRPr="00507124">
        <w:rPr>
          <w:rFonts w:cs="Times New Roman"/>
        </w:rPr>
        <w:t xml:space="preserve">8. </w:t>
      </w:r>
      <w:r w:rsidRPr="00507124">
        <w:rPr>
          <w:rFonts w:cs="Times New Roman"/>
        </w:rPr>
        <w:tab/>
        <w:t xml:space="preserve">de Leon J. Psychopharmacology: Atypical Antipsychotic Dosing: The Effect of Smoking and Caffeine. </w:t>
      </w:r>
      <w:r w:rsidRPr="00507124">
        <w:rPr>
          <w:rFonts w:cs="Times New Roman"/>
          <w:i/>
          <w:iCs/>
        </w:rPr>
        <w:t>PS</w:t>
      </w:r>
      <w:r w:rsidRPr="00507124">
        <w:rPr>
          <w:rFonts w:cs="Times New Roman"/>
        </w:rPr>
        <w:t>. 2004;55(5):491-493. doi:10.1176/appi.ps.55.5.491</w:t>
      </w:r>
    </w:p>
    <w:p w14:paraId="2399A6C3" w14:textId="77777777" w:rsidR="00507124" w:rsidRPr="00507124" w:rsidRDefault="00507124" w:rsidP="00507124">
      <w:pPr>
        <w:pStyle w:val="Bibliography"/>
        <w:rPr>
          <w:rFonts w:cs="Times New Roman"/>
        </w:rPr>
      </w:pPr>
      <w:r w:rsidRPr="00507124">
        <w:rPr>
          <w:rFonts w:cs="Times New Roman"/>
        </w:rPr>
        <w:t xml:space="preserve">9. </w:t>
      </w:r>
      <w:r w:rsidRPr="00507124">
        <w:rPr>
          <w:rFonts w:cs="Times New Roman"/>
        </w:rPr>
        <w:tab/>
        <w:t xml:space="preserve">Bègue I, Kaiser S, Kirschner M. Pathophysiology of negative symptom dimensions of schizophrenia – Current developments and implications for treatment. </w:t>
      </w:r>
      <w:r w:rsidRPr="00507124">
        <w:rPr>
          <w:rFonts w:cs="Times New Roman"/>
          <w:i/>
          <w:iCs/>
        </w:rPr>
        <w:t>Neuroscience &amp; Biobehavioral Reviews</w:t>
      </w:r>
      <w:r w:rsidRPr="00507124">
        <w:rPr>
          <w:rFonts w:cs="Times New Roman"/>
        </w:rPr>
        <w:t>. 2020;116:74-88. doi:10.1016/j.neubiorev.2020.06.004</w:t>
      </w:r>
    </w:p>
    <w:p w14:paraId="589F481A" w14:textId="77777777" w:rsidR="00507124" w:rsidRPr="00507124" w:rsidRDefault="00507124" w:rsidP="00507124">
      <w:pPr>
        <w:pStyle w:val="Bibliography"/>
        <w:rPr>
          <w:rFonts w:cs="Times New Roman"/>
        </w:rPr>
      </w:pPr>
      <w:r w:rsidRPr="00507124">
        <w:rPr>
          <w:rFonts w:cs="Times New Roman"/>
        </w:rPr>
        <w:t xml:space="preserve">10. </w:t>
      </w:r>
      <w:r w:rsidRPr="00507124">
        <w:rPr>
          <w:rFonts w:cs="Times New Roman"/>
        </w:rPr>
        <w:tab/>
        <w:t xml:space="preserve">Carpenter WT Jr, Heinrichs DW, Alphs LD. Treatment of Negative Symptoms. </w:t>
      </w:r>
      <w:r w:rsidRPr="00507124">
        <w:rPr>
          <w:rFonts w:cs="Times New Roman"/>
          <w:i/>
          <w:iCs/>
        </w:rPr>
        <w:t>Schizophrenia Bulletin</w:t>
      </w:r>
      <w:r w:rsidRPr="00507124">
        <w:rPr>
          <w:rFonts w:cs="Times New Roman"/>
        </w:rPr>
        <w:t>. 1985;11(3):440-452. doi:10.1093/schbul/11.3.440</w:t>
      </w:r>
    </w:p>
    <w:p w14:paraId="719DEF4D" w14:textId="77777777" w:rsidR="00507124" w:rsidRPr="00507124" w:rsidRDefault="00507124" w:rsidP="00507124">
      <w:pPr>
        <w:pStyle w:val="Bibliography"/>
        <w:rPr>
          <w:rFonts w:cs="Times New Roman"/>
        </w:rPr>
      </w:pPr>
      <w:r w:rsidRPr="00507124">
        <w:rPr>
          <w:rFonts w:cs="Times New Roman"/>
        </w:rPr>
        <w:t xml:space="preserve">11. </w:t>
      </w:r>
      <w:r w:rsidRPr="00507124">
        <w:rPr>
          <w:rFonts w:cs="Times New Roman"/>
        </w:rPr>
        <w:tab/>
        <w:t xml:space="preserve">Galderisi S, Kaiser S, Bitter I, et al. EPA guidance on treatment of negative symptoms in schizophrenia. </w:t>
      </w:r>
      <w:r w:rsidRPr="00507124">
        <w:rPr>
          <w:rFonts w:cs="Times New Roman"/>
          <w:i/>
          <w:iCs/>
        </w:rPr>
        <w:t>European Psychiatry</w:t>
      </w:r>
      <w:r w:rsidRPr="00507124">
        <w:rPr>
          <w:rFonts w:cs="Times New Roman"/>
        </w:rPr>
        <w:t>. 2021;64(1). doi:10.1192/j.eurpsy.2021.13</w:t>
      </w:r>
    </w:p>
    <w:p w14:paraId="52F23F5A" w14:textId="77777777" w:rsidR="00507124" w:rsidRPr="00507124" w:rsidRDefault="00507124" w:rsidP="00507124">
      <w:pPr>
        <w:pStyle w:val="Bibliography"/>
        <w:rPr>
          <w:rFonts w:cs="Times New Roman"/>
        </w:rPr>
      </w:pPr>
      <w:r w:rsidRPr="00507124">
        <w:rPr>
          <w:rFonts w:cs="Times New Roman"/>
        </w:rPr>
        <w:t xml:space="preserve">12. </w:t>
      </w:r>
      <w:r w:rsidRPr="00507124">
        <w:rPr>
          <w:rFonts w:cs="Times New Roman"/>
        </w:rPr>
        <w:tab/>
        <w:t xml:space="preserve">Mucci A, Galderisi S. The second-generation assessment scales: Brief negative symptom scale and clinical assessment interview for negative symptoms. </w:t>
      </w:r>
      <w:r w:rsidRPr="00507124">
        <w:rPr>
          <w:rFonts w:cs="Times New Roman"/>
          <w:i/>
          <w:iCs/>
        </w:rPr>
        <w:t>European Psychiatry</w:t>
      </w:r>
      <w:r w:rsidRPr="00507124">
        <w:rPr>
          <w:rFonts w:cs="Times New Roman"/>
        </w:rPr>
        <w:t>. 2016;33(S1):S70-S70. doi:10.1016/j.eurpsy.2016.01.980</w:t>
      </w:r>
    </w:p>
    <w:p w14:paraId="32754C91" w14:textId="77777777" w:rsidR="00507124" w:rsidRPr="00507124" w:rsidRDefault="00507124" w:rsidP="00507124">
      <w:pPr>
        <w:pStyle w:val="Bibliography"/>
        <w:rPr>
          <w:rFonts w:cs="Times New Roman"/>
        </w:rPr>
      </w:pPr>
      <w:r w:rsidRPr="00507124">
        <w:rPr>
          <w:rFonts w:cs="Times New Roman"/>
        </w:rPr>
        <w:t xml:space="preserve">13. </w:t>
      </w:r>
      <w:r w:rsidRPr="00507124">
        <w:rPr>
          <w:rFonts w:cs="Times New Roman"/>
        </w:rPr>
        <w:tab/>
        <w:t xml:space="preserve">Strauss GP, Keller WR, Buchanan RW, et al. Next-generation negative symptom assessment for clinical trials: Validation of the Brief Negative Symptom Scale. </w:t>
      </w:r>
      <w:r w:rsidRPr="00507124">
        <w:rPr>
          <w:rFonts w:cs="Times New Roman"/>
          <w:i/>
          <w:iCs/>
        </w:rPr>
        <w:t>Schizophrenia Research</w:t>
      </w:r>
      <w:r w:rsidRPr="00507124">
        <w:rPr>
          <w:rFonts w:cs="Times New Roman"/>
        </w:rPr>
        <w:t>. 2012;142(1):88-92. doi:10.1016/j.schres.2012.10.012</w:t>
      </w:r>
    </w:p>
    <w:p w14:paraId="59072D97" w14:textId="77777777" w:rsidR="00507124" w:rsidRPr="00507124" w:rsidRDefault="00507124" w:rsidP="00507124">
      <w:pPr>
        <w:pStyle w:val="Bibliography"/>
        <w:rPr>
          <w:rFonts w:cs="Times New Roman"/>
        </w:rPr>
      </w:pPr>
      <w:r w:rsidRPr="00507124">
        <w:rPr>
          <w:rFonts w:cs="Times New Roman"/>
        </w:rPr>
        <w:lastRenderedPageBreak/>
        <w:t xml:space="preserve">14. </w:t>
      </w:r>
      <w:r w:rsidRPr="00507124">
        <w:rPr>
          <w:rFonts w:cs="Times New Roman"/>
        </w:rPr>
        <w:tab/>
        <w:t xml:space="preserve">Kirkpatrick B, Strauss GP, Nguyen L, et al. The Brief Negative Symptom Scale: Psychometric Properties. </w:t>
      </w:r>
      <w:r w:rsidRPr="00507124">
        <w:rPr>
          <w:rFonts w:cs="Times New Roman"/>
          <w:i/>
          <w:iCs/>
        </w:rPr>
        <w:t>Schizophrenia Bulletin</w:t>
      </w:r>
      <w:r w:rsidRPr="00507124">
        <w:rPr>
          <w:rFonts w:cs="Times New Roman"/>
        </w:rPr>
        <w:t>. 2011;37(2):300-305. doi:10.1093/schbul/sbq059</w:t>
      </w:r>
    </w:p>
    <w:p w14:paraId="036CEEAC" w14:textId="77777777" w:rsidR="00507124" w:rsidRPr="00507124" w:rsidRDefault="00507124" w:rsidP="00507124">
      <w:pPr>
        <w:pStyle w:val="Bibliography"/>
        <w:rPr>
          <w:rFonts w:cs="Times New Roman"/>
        </w:rPr>
      </w:pPr>
      <w:r w:rsidRPr="00507124">
        <w:rPr>
          <w:rFonts w:cs="Times New Roman"/>
        </w:rPr>
        <w:t xml:space="preserve">15. </w:t>
      </w:r>
      <w:r w:rsidRPr="00507124">
        <w:rPr>
          <w:rFonts w:cs="Times New Roman"/>
        </w:rPr>
        <w:tab/>
        <w:t xml:space="preserve">Krull JL, MacKinnon DP. Multilevel Modeling of Individual and Group Level Mediated Effects. </w:t>
      </w:r>
      <w:r w:rsidRPr="00507124">
        <w:rPr>
          <w:rFonts w:cs="Times New Roman"/>
          <w:i/>
          <w:iCs/>
        </w:rPr>
        <w:t>Multivariate Behavioral Research</w:t>
      </w:r>
      <w:r w:rsidRPr="00507124">
        <w:rPr>
          <w:rFonts w:cs="Times New Roman"/>
        </w:rPr>
        <w:t>. 2001;36(2):249-277. doi:10.1207/S15327906MBR3602_06</w:t>
      </w:r>
    </w:p>
    <w:p w14:paraId="73ECD5FA" w14:textId="6530EDBC" w:rsidR="005D21F3" w:rsidRDefault="00000000">
      <w:r>
        <w:fldChar w:fldCharType="end"/>
      </w:r>
    </w:p>
    <w:sectPr w:rsidR="005D21F3">
      <w:headerReference w:type="default" r:id="rId7"/>
      <w:pgSz w:w="11906" w:h="16838"/>
      <w:pgMar w:top="1440" w:right="1440" w:bottom="1440" w:left="1440" w:header="708" w:footer="0" w:gutter="0"/>
      <w:lnNumType w:countBy="1" w:distance="283" w:restart="continuou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72F5" w14:textId="77777777" w:rsidR="00276200" w:rsidRDefault="00276200">
      <w:pPr>
        <w:spacing w:line="240" w:lineRule="auto"/>
      </w:pPr>
      <w:r>
        <w:separator/>
      </w:r>
    </w:p>
  </w:endnote>
  <w:endnote w:type="continuationSeparator" w:id="0">
    <w:p w14:paraId="48FDA5E2" w14:textId="77777777" w:rsidR="00276200" w:rsidRDefault="00276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Lohit Devanagari">
    <w:altName w:val="Calibri"/>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A39C" w14:textId="77777777" w:rsidR="00276200" w:rsidRDefault="00276200">
      <w:pPr>
        <w:spacing w:line="240" w:lineRule="auto"/>
      </w:pPr>
      <w:r>
        <w:separator/>
      </w:r>
    </w:p>
  </w:footnote>
  <w:footnote w:type="continuationSeparator" w:id="0">
    <w:p w14:paraId="006E2845" w14:textId="77777777" w:rsidR="00276200" w:rsidRDefault="002762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D6F6" w14:textId="77777777" w:rsidR="005D21F3" w:rsidRDefault="00000000">
    <w:pPr>
      <w:pStyle w:val="Header"/>
    </w:pPr>
    <w:r>
      <w:rPr>
        <w:rStyle w:val="PageNumber"/>
      </w:rPr>
      <w:fldChar w:fldCharType="begin"/>
    </w:r>
    <w:r>
      <w:rPr>
        <w:rStyle w:val="PageNumber"/>
      </w:rPr>
      <w:instrText>PAGE</w:instrText>
    </w:r>
    <w:r>
      <w:rPr>
        <w:rStyle w:val="PageNumber"/>
      </w:rPr>
      <w:fldChar w:fldCharType="separate"/>
    </w:r>
    <w:r>
      <w:rPr>
        <w:rStyle w:val="PageNumber"/>
      </w:rPr>
      <w:t>12</w:t>
    </w:r>
    <w:r>
      <w:rPr>
        <w:rStyle w:val="PageNumber"/>
      </w:rPr>
      <w:fldChar w:fldCharType="end"/>
    </w:r>
  </w:p>
  <w:p w14:paraId="59189187" w14:textId="77777777" w:rsidR="005D21F3" w:rsidRDefault="005D21F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F3"/>
    <w:rsid w:val="000362AB"/>
    <w:rsid w:val="000C0578"/>
    <w:rsid w:val="000E262A"/>
    <w:rsid w:val="0010468A"/>
    <w:rsid w:val="00233481"/>
    <w:rsid w:val="00276200"/>
    <w:rsid w:val="00285C32"/>
    <w:rsid w:val="002C7133"/>
    <w:rsid w:val="00367200"/>
    <w:rsid w:val="004D26DB"/>
    <w:rsid w:val="00507124"/>
    <w:rsid w:val="005D21F3"/>
    <w:rsid w:val="008954E1"/>
    <w:rsid w:val="00997F88"/>
    <w:rsid w:val="00A56F71"/>
    <w:rsid w:val="00BC229C"/>
    <w:rsid w:val="00BD172F"/>
    <w:rsid w:val="00D3605C"/>
    <w:rsid w:val="00EF0F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40487B6"/>
  <w15:docId w15:val="{8045BD8B-CB77-2E4E-9226-23A58B58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line="480" w:lineRule="auto"/>
      <w:jc w:val="both"/>
    </w:pPr>
    <w:rPr>
      <w:rFonts w:ascii="Times New Roman" w:hAnsi="Times New Roman"/>
      <w:sz w:val="24"/>
    </w:rPr>
  </w:style>
  <w:style w:type="paragraph" w:styleId="Heading1">
    <w:name w:val="heading 1"/>
    <w:basedOn w:val="Normal"/>
    <w:next w:val="Normal"/>
    <w:uiPriority w:val="9"/>
    <w:qFormat/>
    <w:pPr>
      <w:keepNext/>
      <w:keepLines/>
      <w:spacing w:before="480" w:after="120"/>
      <w:outlineLvl w:val="0"/>
    </w:pPr>
    <w:rPr>
      <w:rFonts w:cs="Calibri"/>
      <w:b/>
      <w:sz w:val="28"/>
      <w:szCs w:val="48"/>
      <w:lang w:eastAsia="en-GB"/>
    </w:rPr>
  </w:style>
  <w:style w:type="paragraph" w:styleId="Heading3">
    <w:name w:val="heading 3"/>
    <w:basedOn w:val="Normal"/>
    <w:next w:val="Normal"/>
    <w:uiPriority w:val="9"/>
    <w:unhideWhenUsed/>
    <w:qFormat/>
    <w:pPr>
      <w:keepNext/>
      <w:keepLines/>
      <w:spacing w:before="40"/>
      <w:outlineLvl w:val="2"/>
    </w:pPr>
    <w:rPr>
      <w:rFonts w:ascii="Calibri Light"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qFormat/>
    <w:rPr>
      <w:rFonts w:ascii="Times New Roman" w:eastAsia="Calibri" w:hAnsi="Times New Roman" w:cs="Calibri"/>
      <w:b/>
      <w:sz w:val="28"/>
      <w:szCs w:val="48"/>
      <w:lang w:eastAsia="en-GB"/>
    </w:rPr>
  </w:style>
  <w:style w:type="character" w:customStyle="1" w:styleId="HeaderChar">
    <w:name w:val="Header Char"/>
    <w:basedOn w:val="DefaultParagraphFont"/>
    <w:qFormat/>
    <w:rPr>
      <w:rFonts w:ascii="Helvetica" w:hAnsi="Helvetica"/>
    </w:rPr>
  </w:style>
  <w:style w:type="character" w:styleId="PageNumber">
    <w:name w:val="page number"/>
    <w:basedOn w:val="DefaultParagraphFont"/>
    <w:qFormat/>
  </w:style>
  <w:style w:type="character" w:customStyle="1" w:styleId="HeaderChar1">
    <w:name w:val="Header Char1"/>
    <w:basedOn w:val="DefaultParagraphFont"/>
    <w:qFormat/>
    <w:rPr>
      <w:rFonts w:ascii="Times New Roman" w:hAnsi="Times New Roman"/>
    </w:rPr>
  </w:style>
  <w:style w:type="character" w:styleId="LineNumber">
    <w:name w:val="line number"/>
    <w:basedOn w:val="DefaultParagraphFont"/>
    <w:qFormat/>
  </w:style>
  <w:style w:type="character" w:customStyle="1" w:styleId="Heading3Char">
    <w:name w:val="Heading 3 Char"/>
    <w:basedOn w:val="DefaultParagraphFont"/>
    <w:qFormat/>
    <w:rPr>
      <w:rFonts w:ascii="Calibri Light" w:eastAsia="Calibri" w:hAnsi="Calibri Light" w:cs="Times New Roman"/>
      <w:color w:val="1F3763"/>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Helvetica" w:hAnsi="Helvetica"/>
      <w:sz w:val="20"/>
      <w:szCs w:val="20"/>
    </w:rPr>
  </w:style>
  <w:style w:type="character" w:customStyle="1" w:styleId="CommentTextChar1">
    <w:name w:val="Comment Text Char1"/>
    <w:basedOn w:val="DefaultParagraphFont"/>
    <w:qFormat/>
    <w:rPr>
      <w:rFonts w:ascii="Times New Roman" w:hAnsi="Times New Roman"/>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pPr>
      <w:suppressLineNumbers/>
      <w:tabs>
        <w:tab w:val="center" w:pos="4513"/>
        <w:tab w:val="right" w:pos="9026"/>
      </w:tabs>
      <w:spacing w:line="240" w:lineRule="auto"/>
    </w:pPr>
    <w:rPr>
      <w:rFonts w:ascii="Helvetica" w:hAnsi="Helvetica"/>
    </w:rPr>
  </w:style>
  <w:style w:type="paragraph" w:styleId="CommentText">
    <w:name w:val="annotation text"/>
    <w:basedOn w:val="Normal"/>
    <w:qFormat/>
    <w:pPr>
      <w:spacing w:line="240" w:lineRule="auto"/>
    </w:pPr>
    <w:rPr>
      <w:rFonts w:ascii="Helvetica" w:hAnsi="Helvetica"/>
      <w:sz w:val="20"/>
      <w:szCs w:val="20"/>
    </w:rPr>
  </w:style>
  <w:style w:type="paragraph" w:styleId="Bibliography">
    <w:name w:val="Bibliography"/>
    <w:basedOn w:val="Normal"/>
    <w:next w:val="Normal"/>
    <w:qFormat/>
    <w:pPr>
      <w:tabs>
        <w:tab w:val="left" w:pos="500"/>
      </w:tabs>
      <w:spacing w:after="240" w:line="240" w:lineRule="auto"/>
      <w:ind w:left="504" w:hanging="504"/>
    </w:pPr>
  </w:style>
  <w:style w:type="paragraph" w:styleId="Revision">
    <w:name w:val="Revision"/>
    <w:qFormat/>
    <w:pPr>
      <w:overflowPunct w:val="0"/>
    </w:pPr>
    <w:rPr>
      <w:rFonts w:ascii="Times New Roman" w:hAnsi="Times New Roman"/>
      <w:sz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9355</Words>
  <Characters>53325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Fernandez-Egea</dc:creator>
  <dc:description/>
  <cp:lastModifiedBy>Noham Wolpe</cp:lastModifiedBy>
  <cp:revision>7</cp:revision>
  <dcterms:created xsi:type="dcterms:W3CDTF">2022-11-09T20:26:00Z</dcterms:created>
  <dcterms:modified xsi:type="dcterms:W3CDTF">2022-11-09T21:32:00Z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zotero-version="6.0.17"&gt;&lt;session id="mXUrEYuz"/&gt;&lt;style id="http://www.zotero.org/styles/american-medical-association-10th-edition" hasBibliography="1" bibliographyStyleHasBeenSet="1"/&gt;&lt;prefs&gt;&lt;pref name="fieldType" value="Field"/&gt;&lt;/p</vt:lpwstr>
  </property>
  <property fmtid="{D5CDD505-2E9C-101B-9397-08002B2CF9AE}" pid="9" name="ZOTERO_PREF_2">
    <vt:lpwstr>refs&gt;&lt;/data&gt;</vt:lpwstr>
  </property>
</Properties>
</file>