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3F55" w14:textId="77777777" w:rsidR="008B6E63" w:rsidRDefault="008B6E63" w:rsidP="008B6E63">
      <w:pPr>
        <w:pStyle w:val="NoSpacing"/>
        <w:spacing w:line="360" w:lineRule="auto"/>
        <w:jc w:val="both"/>
        <w:rPr>
          <w:rFonts w:asciiTheme="minorHAnsi" w:hAnsiTheme="minorHAnsi" w:cs="Calibri Light"/>
          <w:sz w:val="22"/>
          <w:szCs w:val="22"/>
        </w:rPr>
      </w:pPr>
      <w:r w:rsidRPr="00CB5327">
        <w:rPr>
          <w:rFonts w:asciiTheme="minorHAnsi" w:hAnsiTheme="minorHAnsi" w:cs="Calibri Light"/>
          <w:b/>
          <w:bCs/>
          <w:sz w:val="22"/>
          <w:szCs w:val="22"/>
        </w:rPr>
        <w:t>Supplementary Figure 1.</w:t>
      </w:r>
      <w:r>
        <w:rPr>
          <w:rFonts w:asciiTheme="minorHAnsi" w:hAnsiTheme="minorHAnsi" w:cs="Calibri Light"/>
          <w:sz w:val="22"/>
          <w:szCs w:val="22"/>
        </w:rPr>
        <w:t xml:space="preserve"> Comparison of Patient Samples Measured by LC-MS/MS and Immunoassay for Standardization of Immunoassay</w:t>
      </w:r>
    </w:p>
    <w:p w14:paraId="0B38A7CD" w14:textId="77777777" w:rsidR="008B6E63" w:rsidRDefault="008B6E63" w:rsidP="008B6E63">
      <w:pPr>
        <w:pStyle w:val="NoSpacing"/>
        <w:spacing w:line="360" w:lineRule="auto"/>
        <w:jc w:val="center"/>
        <w:rPr>
          <w:rFonts w:asciiTheme="minorHAnsi" w:hAnsiTheme="minorHAnsi" w:cs="Calibri Light"/>
          <w:sz w:val="22"/>
          <w:szCs w:val="22"/>
        </w:rPr>
      </w:pPr>
      <w:r w:rsidRPr="00CB5327">
        <w:rPr>
          <w:noProof/>
        </w:rPr>
        <w:drawing>
          <wp:inline distT="0" distB="0" distL="0" distR="0" wp14:anchorId="20B05F14" wp14:editId="293C4EB2">
            <wp:extent cx="4211955" cy="36366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A2A22" w14:textId="77777777" w:rsidR="008B6E63" w:rsidRDefault="008B6E63" w:rsidP="008B6E63">
      <w:pPr>
        <w:rPr>
          <w:rFonts w:asciiTheme="minorHAnsi" w:hAnsiTheme="minorHAnsi" w:cs="Calibri Light"/>
          <w:b/>
          <w:bCs/>
          <w:sz w:val="22"/>
          <w:szCs w:val="22"/>
        </w:rPr>
      </w:pPr>
    </w:p>
    <w:p w14:paraId="2A7F18D8" w14:textId="77777777" w:rsidR="008B6E63" w:rsidRDefault="008B6E63" w:rsidP="008B6E63">
      <w:pPr>
        <w:pStyle w:val="NoSpacing"/>
        <w:spacing w:line="360" w:lineRule="auto"/>
        <w:jc w:val="both"/>
        <w:rPr>
          <w:rFonts w:asciiTheme="minorHAnsi" w:hAnsiTheme="minorHAnsi" w:cs="Calibri Light"/>
          <w:bCs/>
          <w:sz w:val="22"/>
          <w:szCs w:val="22"/>
        </w:rPr>
      </w:pPr>
      <w:r>
        <w:rPr>
          <w:rFonts w:asciiTheme="minorHAnsi" w:hAnsiTheme="minorHAnsi" w:cs="Calibri Light"/>
          <w:b/>
          <w:sz w:val="22"/>
          <w:szCs w:val="22"/>
        </w:rPr>
        <w:t xml:space="preserve">Supplementary Figure 2. </w:t>
      </w:r>
      <w:r>
        <w:rPr>
          <w:rFonts w:asciiTheme="minorHAnsi" w:hAnsiTheme="minorHAnsi" w:cs="Calibri Light"/>
          <w:bCs/>
          <w:sz w:val="22"/>
          <w:szCs w:val="22"/>
        </w:rPr>
        <w:t>Repeatability and Within-laboratory CV of Assay Controls and Spiked Whole Blood in Total Aripiprazole POC Immunoassay</w:t>
      </w:r>
    </w:p>
    <w:p w14:paraId="68E8DCAD" w14:textId="77777777" w:rsidR="008B6E63" w:rsidRDefault="008B6E63" w:rsidP="008B6E63">
      <w:pPr>
        <w:pStyle w:val="NoSpacing"/>
        <w:spacing w:line="360" w:lineRule="auto"/>
        <w:jc w:val="center"/>
        <w:rPr>
          <w:rFonts w:asciiTheme="minorHAnsi" w:hAnsiTheme="minorHAnsi" w:cs="Calibri Light"/>
          <w:bCs/>
          <w:sz w:val="22"/>
          <w:szCs w:val="22"/>
        </w:rPr>
      </w:pPr>
      <w:r w:rsidRPr="00C943A7">
        <w:rPr>
          <w:noProof/>
        </w:rPr>
        <w:drawing>
          <wp:inline distT="0" distB="0" distL="0" distR="0" wp14:anchorId="09A3C0A2" wp14:editId="6A21C2A4">
            <wp:extent cx="5486400" cy="3505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6BA41" w14:textId="77777777" w:rsidR="008B6E63" w:rsidRDefault="008B6E63" w:rsidP="008B6E63">
      <w:pPr>
        <w:rPr>
          <w:rFonts w:asciiTheme="minorHAnsi" w:hAnsiTheme="minorHAnsi" w:cs="Calibri Light"/>
          <w:b/>
          <w:bCs/>
          <w:sz w:val="22"/>
          <w:szCs w:val="22"/>
        </w:rPr>
      </w:pPr>
    </w:p>
    <w:p w14:paraId="28042E8D" w14:textId="77777777" w:rsidR="008B6E63" w:rsidRDefault="008B6E63" w:rsidP="008B6E63">
      <w:pPr>
        <w:rPr>
          <w:rFonts w:asciiTheme="minorHAnsi" w:hAnsiTheme="minorHAnsi" w:cs="Calibri Light"/>
          <w:b/>
          <w:bCs/>
          <w:sz w:val="22"/>
          <w:szCs w:val="22"/>
        </w:rPr>
      </w:pPr>
    </w:p>
    <w:p w14:paraId="437A9005" w14:textId="77777777" w:rsidR="008B6E63" w:rsidRDefault="008B6E63" w:rsidP="008B6E63">
      <w:pPr>
        <w:rPr>
          <w:rFonts w:asciiTheme="minorHAnsi" w:hAnsiTheme="minorHAnsi" w:cs="Calibri Light"/>
          <w:bCs/>
          <w:sz w:val="22"/>
          <w:szCs w:val="22"/>
        </w:rPr>
      </w:pPr>
      <w:r>
        <w:rPr>
          <w:rFonts w:asciiTheme="minorHAnsi" w:hAnsiTheme="minorHAnsi" w:cs="Calibri Light"/>
          <w:b/>
          <w:sz w:val="22"/>
          <w:szCs w:val="22"/>
        </w:rPr>
        <w:lastRenderedPageBreak/>
        <w:t>Supplementary F</w:t>
      </w:r>
      <w:r w:rsidRPr="00C943A7">
        <w:rPr>
          <w:rFonts w:asciiTheme="minorHAnsi" w:hAnsiTheme="minorHAnsi" w:cs="Calibri Light"/>
          <w:b/>
          <w:sz w:val="22"/>
          <w:szCs w:val="22"/>
        </w:rPr>
        <w:t xml:space="preserve">igure </w:t>
      </w:r>
      <w:r>
        <w:rPr>
          <w:rFonts w:asciiTheme="minorHAnsi" w:hAnsiTheme="minorHAnsi" w:cs="Calibri Light"/>
          <w:b/>
          <w:sz w:val="22"/>
          <w:szCs w:val="22"/>
        </w:rPr>
        <w:t>3</w:t>
      </w:r>
      <w:r w:rsidRPr="00C943A7">
        <w:rPr>
          <w:rFonts w:asciiTheme="minorHAnsi" w:hAnsiTheme="minorHAnsi" w:cs="Calibri Light"/>
          <w:b/>
          <w:sz w:val="22"/>
          <w:szCs w:val="22"/>
        </w:rPr>
        <w:t>.</w:t>
      </w:r>
      <w:r>
        <w:rPr>
          <w:rFonts w:asciiTheme="minorHAnsi" w:hAnsiTheme="minorHAnsi" w:cs="Calibri Light"/>
          <w:bCs/>
          <w:sz w:val="22"/>
          <w:szCs w:val="22"/>
        </w:rPr>
        <w:t xml:space="preserve"> Linearity Measurement of the Immunoassay</w:t>
      </w:r>
    </w:p>
    <w:p w14:paraId="4FF3DD84" w14:textId="77777777" w:rsidR="008B6E63" w:rsidRPr="00C943A7" w:rsidRDefault="008B6E63" w:rsidP="008B6E63">
      <w:pPr>
        <w:pStyle w:val="NoSpacing"/>
        <w:spacing w:line="360" w:lineRule="auto"/>
        <w:jc w:val="center"/>
        <w:rPr>
          <w:rFonts w:asciiTheme="minorHAnsi" w:hAnsiTheme="minorHAnsi" w:cs="Calibri Light"/>
          <w:bCs/>
          <w:sz w:val="22"/>
          <w:szCs w:val="22"/>
        </w:rPr>
      </w:pPr>
      <w:r w:rsidRPr="00526CF0">
        <w:rPr>
          <w:noProof/>
        </w:rPr>
        <w:drawing>
          <wp:inline distT="0" distB="0" distL="0" distR="0" wp14:anchorId="2C350BD5" wp14:editId="0A13C6B2">
            <wp:extent cx="4211955" cy="36366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5F8A7" w14:textId="77777777" w:rsidR="008B6E63" w:rsidRDefault="008B6E63" w:rsidP="008B6E63">
      <w:pPr>
        <w:rPr>
          <w:rFonts w:asciiTheme="minorHAnsi" w:hAnsiTheme="minorHAnsi" w:cs="Calibri Light"/>
          <w:sz w:val="22"/>
          <w:szCs w:val="22"/>
        </w:rPr>
      </w:pPr>
      <w:r w:rsidRPr="00CB5327">
        <w:rPr>
          <w:rFonts w:asciiTheme="minorHAnsi" w:hAnsiTheme="minorHAnsi" w:cs="Calibri Light"/>
          <w:b/>
          <w:bCs/>
          <w:sz w:val="22"/>
          <w:szCs w:val="22"/>
        </w:rPr>
        <w:t xml:space="preserve">Supplementary Figure </w:t>
      </w:r>
      <w:r>
        <w:rPr>
          <w:rFonts w:asciiTheme="minorHAnsi" w:hAnsiTheme="minorHAnsi" w:cs="Calibri Light"/>
          <w:b/>
          <w:bCs/>
          <w:sz w:val="22"/>
          <w:szCs w:val="22"/>
        </w:rPr>
        <w:t>4</w:t>
      </w:r>
      <w:r w:rsidRPr="00CB5327">
        <w:rPr>
          <w:rFonts w:asciiTheme="minorHAnsi" w:hAnsiTheme="minorHAnsi" w:cs="Calibri Light"/>
          <w:b/>
          <w:bCs/>
          <w:sz w:val="22"/>
          <w:szCs w:val="22"/>
        </w:rPr>
        <w:t>.</w:t>
      </w:r>
      <w:r>
        <w:rPr>
          <w:rFonts w:asciiTheme="minorHAnsi" w:hAnsiTheme="minorHAnsi" w:cs="Calibri Light"/>
          <w:sz w:val="22"/>
          <w:szCs w:val="22"/>
        </w:rPr>
        <w:t xml:space="preserve"> Measured Deviation from Linearity for All Spiked Samples</w:t>
      </w:r>
    </w:p>
    <w:p w14:paraId="03A1077F" w14:textId="77777777" w:rsidR="008B6E63" w:rsidRDefault="008B6E63" w:rsidP="008B6E63">
      <w:pPr>
        <w:pStyle w:val="NoSpacing"/>
        <w:spacing w:line="360" w:lineRule="auto"/>
        <w:jc w:val="center"/>
        <w:rPr>
          <w:rFonts w:asciiTheme="minorHAnsi" w:hAnsiTheme="minorHAnsi" w:cs="Calibri Light"/>
          <w:sz w:val="22"/>
          <w:szCs w:val="22"/>
        </w:rPr>
      </w:pPr>
      <w:r w:rsidRPr="00CB5327">
        <w:rPr>
          <w:noProof/>
        </w:rPr>
        <w:drawing>
          <wp:inline distT="0" distB="0" distL="0" distR="0" wp14:anchorId="33BA45C0" wp14:editId="0C129B3D">
            <wp:extent cx="4121785" cy="2771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83C3" w14:textId="4DEB3FEA" w:rsidR="008B6E63" w:rsidRDefault="008B6E63">
      <w:pPr>
        <w:rPr>
          <w:rFonts w:asciiTheme="minorHAnsi" w:eastAsia="Calibri" w:hAnsiTheme="minorHAnsi" w:cs="Calibri Light"/>
          <w:sz w:val="22"/>
          <w:szCs w:val="22"/>
          <w:lang w:eastAsia="en-US"/>
        </w:rPr>
      </w:pPr>
    </w:p>
    <w:p w14:paraId="54FFC7B4" w14:textId="739D1A1B" w:rsidR="008B6E63" w:rsidRDefault="008B6E63">
      <w:pPr>
        <w:rPr>
          <w:rFonts w:asciiTheme="minorHAnsi" w:eastAsia="Calibri" w:hAnsiTheme="minorHAnsi" w:cs="Calibri Light"/>
          <w:sz w:val="22"/>
          <w:szCs w:val="22"/>
          <w:lang w:eastAsia="en-US"/>
        </w:rPr>
      </w:pPr>
    </w:p>
    <w:p w14:paraId="6CFF7637" w14:textId="1F67184A" w:rsidR="008B6E63" w:rsidRDefault="008B6E63">
      <w:pPr>
        <w:rPr>
          <w:rFonts w:asciiTheme="minorHAnsi" w:eastAsia="Calibri" w:hAnsiTheme="minorHAnsi" w:cs="Calibri Light"/>
          <w:sz w:val="22"/>
          <w:szCs w:val="22"/>
          <w:lang w:eastAsia="en-US"/>
        </w:rPr>
      </w:pPr>
    </w:p>
    <w:p w14:paraId="511B8F8C" w14:textId="295EBE56" w:rsidR="008B6E63" w:rsidRDefault="008B6E63">
      <w:pPr>
        <w:rPr>
          <w:rFonts w:asciiTheme="minorHAnsi" w:eastAsia="Calibri" w:hAnsiTheme="minorHAnsi" w:cs="Calibri Light"/>
          <w:sz w:val="22"/>
          <w:szCs w:val="22"/>
          <w:lang w:eastAsia="en-US"/>
        </w:rPr>
      </w:pPr>
    </w:p>
    <w:p w14:paraId="32B89FDE" w14:textId="6FD9CB15" w:rsidR="008B6E63" w:rsidRDefault="008B6E63">
      <w:pPr>
        <w:rPr>
          <w:rFonts w:asciiTheme="minorHAnsi" w:eastAsia="Calibri" w:hAnsiTheme="minorHAnsi" w:cs="Calibri Light"/>
          <w:sz w:val="22"/>
          <w:szCs w:val="22"/>
          <w:lang w:eastAsia="en-US"/>
        </w:rPr>
      </w:pPr>
    </w:p>
    <w:p w14:paraId="1150D0C1" w14:textId="646533C8" w:rsidR="008B6E63" w:rsidRDefault="008B6E63">
      <w:pPr>
        <w:rPr>
          <w:rFonts w:asciiTheme="minorHAnsi" w:eastAsia="Calibri" w:hAnsiTheme="minorHAnsi" w:cs="Calibri Light"/>
          <w:sz w:val="22"/>
          <w:szCs w:val="22"/>
          <w:lang w:eastAsia="en-US"/>
        </w:rPr>
      </w:pPr>
    </w:p>
    <w:p w14:paraId="19807E4A" w14:textId="71798F4F" w:rsidR="008B6E63" w:rsidRDefault="008B6E63">
      <w:pPr>
        <w:rPr>
          <w:rFonts w:asciiTheme="minorHAnsi" w:eastAsia="Calibri" w:hAnsiTheme="minorHAnsi" w:cs="Calibri Light"/>
          <w:sz w:val="22"/>
          <w:szCs w:val="22"/>
          <w:lang w:eastAsia="en-US"/>
        </w:rPr>
      </w:pPr>
    </w:p>
    <w:p w14:paraId="5F7BACE7" w14:textId="26A506A4" w:rsidR="008B6E63" w:rsidRDefault="008B6E63">
      <w:pPr>
        <w:rPr>
          <w:rFonts w:asciiTheme="minorHAnsi" w:eastAsia="Calibri" w:hAnsiTheme="minorHAnsi" w:cs="Calibri Light"/>
          <w:sz w:val="22"/>
          <w:szCs w:val="22"/>
          <w:lang w:eastAsia="en-US"/>
        </w:rPr>
      </w:pPr>
    </w:p>
    <w:p w14:paraId="23FC8A8F" w14:textId="2A5C66A5" w:rsidR="008B6E63" w:rsidRDefault="008B6E63">
      <w:pPr>
        <w:rPr>
          <w:rFonts w:asciiTheme="minorHAnsi" w:eastAsia="Calibri" w:hAnsiTheme="minorHAnsi" w:cs="Calibri Light"/>
          <w:sz w:val="22"/>
          <w:szCs w:val="22"/>
          <w:lang w:eastAsia="en-US"/>
        </w:rPr>
      </w:pPr>
    </w:p>
    <w:p w14:paraId="35DA817D" w14:textId="1AA65F12" w:rsidR="008B6E63" w:rsidRDefault="008B6E63">
      <w:pPr>
        <w:rPr>
          <w:rFonts w:asciiTheme="minorHAnsi" w:eastAsia="Calibri" w:hAnsiTheme="minorHAnsi" w:cs="Calibri Light"/>
          <w:sz w:val="22"/>
          <w:szCs w:val="22"/>
          <w:lang w:eastAsia="en-US"/>
        </w:rPr>
      </w:pPr>
    </w:p>
    <w:p w14:paraId="7B99F407" w14:textId="77777777" w:rsidR="008B6E63" w:rsidRDefault="008B6E63">
      <w:pPr>
        <w:rPr>
          <w:rFonts w:asciiTheme="minorHAnsi" w:eastAsia="Calibri" w:hAnsiTheme="minorHAnsi" w:cs="Calibri Light"/>
          <w:sz w:val="22"/>
          <w:szCs w:val="22"/>
          <w:lang w:eastAsia="en-US"/>
        </w:rPr>
      </w:pPr>
    </w:p>
    <w:p w14:paraId="77C87AE5" w14:textId="77777777" w:rsidR="008B6E63" w:rsidRDefault="008B6E63" w:rsidP="008B6E63">
      <w:pPr>
        <w:pStyle w:val="NoSpacing"/>
        <w:spacing w:line="360" w:lineRule="auto"/>
        <w:rPr>
          <w:rFonts w:asciiTheme="minorHAnsi" w:hAnsiTheme="minorHAnsi" w:cs="Calibri Light"/>
          <w:sz w:val="22"/>
          <w:szCs w:val="22"/>
        </w:rPr>
      </w:pPr>
      <w:r w:rsidRPr="008E1729">
        <w:rPr>
          <w:rFonts w:asciiTheme="minorHAnsi" w:hAnsiTheme="minorHAnsi" w:cs="Calibri Light"/>
          <w:b/>
          <w:bCs/>
          <w:sz w:val="22"/>
          <w:szCs w:val="22"/>
        </w:rPr>
        <w:lastRenderedPageBreak/>
        <w:t>Supplementary Table 1.</w:t>
      </w:r>
      <w:r>
        <w:rPr>
          <w:rFonts w:asciiTheme="minorHAnsi" w:hAnsiTheme="minorHAnsi" w:cs="Calibri Light"/>
          <w:sz w:val="22"/>
          <w:szCs w:val="22"/>
        </w:rPr>
        <w:t xml:space="preserve"> Summary of Endogenous Interference Results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80"/>
        <w:gridCol w:w="1401"/>
        <w:gridCol w:w="1228"/>
        <w:gridCol w:w="1524"/>
        <w:gridCol w:w="1524"/>
        <w:gridCol w:w="1459"/>
      </w:tblGrid>
      <w:tr w:rsidR="008B6E63" w:rsidRPr="008E1729" w14:paraId="0CE3D0FE" w14:textId="77777777" w:rsidTr="00AC1169">
        <w:trPr>
          <w:trHeight w:val="792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611FA26B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</w:rPr>
            </w:pPr>
            <w:bookmarkStart w:id="0" w:name="RANGE!A3"/>
            <w:r w:rsidRPr="008E1729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</w:rPr>
              <w:t>Endogenous Substance</w:t>
            </w:r>
            <w:bookmarkEnd w:id="0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15A6CD32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</w:rPr>
              <w:t>Substance Concentration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3B1AC757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</w:rPr>
              <w:t>Total Aripiprazole Level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0D5E15B9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</w:rPr>
              <w:t>Mean Control Value (ng/mL)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6D7407C3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</w:rPr>
              <w:t>Mean Testing Value (ng/mL)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175AAE77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</w:rPr>
              <w:t xml:space="preserve">% Interference </w:t>
            </w:r>
          </w:p>
        </w:tc>
      </w:tr>
      <w:tr w:rsidR="008B6E63" w:rsidRPr="008E1729" w14:paraId="12E97E7E" w14:textId="77777777" w:rsidTr="00AC1169">
        <w:trPr>
          <w:trHeight w:val="288"/>
        </w:trPr>
        <w:tc>
          <w:tcPr>
            <w:tcW w:w="10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57DF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Rheumatoid Factor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D750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510 IU/mL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CE9C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981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33BF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DD9D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-2%</w:t>
            </w:r>
          </w:p>
        </w:tc>
      </w:tr>
      <w:tr w:rsidR="008B6E63" w:rsidRPr="008E1729" w14:paraId="0E13224F" w14:textId="77777777" w:rsidTr="00AC1169">
        <w:trPr>
          <w:trHeight w:val="288"/>
        </w:trPr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72EE" w14:textId="77777777" w:rsidR="008B6E63" w:rsidRPr="008E1729" w:rsidRDefault="008B6E63" w:rsidP="00AC11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CF0E" w14:textId="77777777" w:rsidR="008B6E63" w:rsidRPr="008E1729" w:rsidRDefault="008B6E63" w:rsidP="00AC11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2793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3ED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68E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5B1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-1%</w:t>
            </w:r>
          </w:p>
        </w:tc>
      </w:tr>
      <w:tr w:rsidR="008B6E63" w:rsidRPr="008E1729" w14:paraId="358D9296" w14:textId="77777777" w:rsidTr="00AC1169">
        <w:trPr>
          <w:trHeight w:val="288"/>
        </w:trPr>
        <w:tc>
          <w:tcPr>
            <w:tcW w:w="10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DD5C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Human Serum Albumin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CFCA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6.1 g/dL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4928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5607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23DC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62E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-3%</w:t>
            </w:r>
          </w:p>
        </w:tc>
      </w:tr>
      <w:tr w:rsidR="008B6E63" w:rsidRPr="008E1729" w14:paraId="2AC864DA" w14:textId="77777777" w:rsidTr="00AC1169">
        <w:trPr>
          <w:trHeight w:val="288"/>
        </w:trPr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5019" w14:textId="77777777" w:rsidR="008B6E63" w:rsidRPr="008E1729" w:rsidRDefault="008B6E63" w:rsidP="00AC11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8D20" w14:textId="77777777" w:rsidR="008B6E63" w:rsidRPr="008E1729" w:rsidRDefault="008B6E63" w:rsidP="00AC11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C762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F4BB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D23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CD4A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0%</w:t>
            </w:r>
          </w:p>
        </w:tc>
      </w:tr>
      <w:tr w:rsidR="008B6E63" w:rsidRPr="008E1729" w14:paraId="2388E874" w14:textId="77777777" w:rsidTr="00AC1169">
        <w:trPr>
          <w:trHeight w:val="288"/>
        </w:trPr>
        <w:tc>
          <w:tcPr>
            <w:tcW w:w="10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848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human IgG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413C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6.1 g/dL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7709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5EBF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B45C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159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2%</w:t>
            </w:r>
          </w:p>
        </w:tc>
      </w:tr>
      <w:tr w:rsidR="008B6E63" w:rsidRPr="008E1729" w14:paraId="31CCF810" w14:textId="77777777" w:rsidTr="00AC1169">
        <w:trPr>
          <w:trHeight w:val="288"/>
        </w:trPr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6ACD" w14:textId="77777777" w:rsidR="008B6E63" w:rsidRPr="008E1729" w:rsidRDefault="008B6E63" w:rsidP="00AC11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314E" w14:textId="77777777" w:rsidR="008B6E63" w:rsidRPr="008E1729" w:rsidRDefault="008B6E63" w:rsidP="00AC11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80B0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A372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3F81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1B4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-3%</w:t>
            </w:r>
          </w:p>
        </w:tc>
      </w:tr>
      <w:tr w:rsidR="008B6E63" w:rsidRPr="008E1729" w14:paraId="4DA6C6A0" w14:textId="77777777" w:rsidTr="00AC1169">
        <w:trPr>
          <w:trHeight w:val="288"/>
        </w:trPr>
        <w:tc>
          <w:tcPr>
            <w:tcW w:w="10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734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Bilirubin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341E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44 mg/dL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2EA8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8A6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2D3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2D2C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3%</w:t>
            </w:r>
          </w:p>
        </w:tc>
      </w:tr>
      <w:tr w:rsidR="008B6E63" w:rsidRPr="008E1729" w14:paraId="7C700130" w14:textId="77777777" w:rsidTr="00AC1169">
        <w:trPr>
          <w:trHeight w:val="288"/>
        </w:trPr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D992" w14:textId="77777777" w:rsidR="008B6E63" w:rsidRPr="008E1729" w:rsidRDefault="008B6E63" w:rsidP="00AC11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69AA" w14:textId="77777777" w:rsidR="008B6E63" w:rsidRPr="008E1729" w:rsidRDefault="008B6E63" w:rsidP="00AC11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7E5F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AD4C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0B96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4C96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-1%</w:t>
            </w:r>
          </w:p>
        </w:tc>
      </w:tr>
      <w:tr w:rsidR="008B6E63" w:rsidRPr="008E1729" w14:paraId="2997355B" w14:textId="77777777" w:rsidTr="00AC1169">
        <w:trPr>
          <w:trHeight w:val="288"/>
        </w:trPr>
        <w:tc>
          <w:tcPr>
            <w:tcW w:w="10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173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Triglycerides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217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1,600 mg/dL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B2D4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4AE1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7BD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9AE0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-5%</w:t>
            </w:r>
          </w:p>
        </w:tc>
      </w:tr>
      <w:tr w:rsidR="008B6E63" w:rsidRPr="008E1729" w14:paraId="5551DAB7" w14:textId="77777777" w:rsidTr="00AC1169">
        <w:trPr>
          <w:trHeight w:val="288"/>
        </w:trPr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9D75" w14:textId="77777777" w:rsidR="008B6E63" w:rsidRPr="008E1729" w:rsidRDefault="008B6E63" w:rsidP="00AC11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4A3A" w14:textId="77777777" w:rsidR="008B6E63" w:rsidRPr="008E1729" w:rsidRDefault="008B6E63" w:rsidP="00AC11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59CD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F94C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9AC5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6051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-12%</w:t>
            </w:r>
          </w:p>
        </w:tc>
      </w:tr>
      <w:tr w:rsidR="008B6E63" w:rsidRPr="008E1729" w14:paraId="2ADA6419" w14:textId="77777777" w:rsidTr="00AC1169">
        <w:trPr>
          <w:trHeight w:val="288"/>
        </w:trPr>
        <w:tc>
          <w:tcPr>
            <w:tcW w:w="10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8FC6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Hemolysate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6AFC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1,050 mg/dL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070A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B4AC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DA25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5EA3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2%</w:t>
            </w:r>
          </w:p>
        </w:tc>
      </w:tr>
      <w:tr w:rsidR="008B6E63" w:rsidRPr="008E1729" w14:paraId="645929E7" w14:textId="77777777" w:rsidTr="00AC1169">
        <w:trPr>
          <w:trHeight w:val="288"/>
        </w:trPr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EC40" w14:textId="77777777" w:rsidR="008B6E63" w:rsidRPr="008E1729" w:rsidRDefault="008B6E63" w:rsidP="00AC11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0C91" w14:textId="77777777" w:rsidR="008B6E63" w:rsidRPr="008E1729" w:rsidRDefault="008B6E63" w:rsidP="00AC11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1529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A63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1D0C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4156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-1%</w:t>
            </w:r>
          </w:p>
        </w:tc>
      </w:tr>
      <w:tr w:rsidR="008B6E63" w:rsidRPr="008E1729" w14:paraId="4C4FB342" w14:textId="77777777" w:rsidTr="00AC1169">
        <w:trPr>
          <w:trHeight w:val="288"/>
        </w:trPr>
        <w:tc>
          <w:tcPr>
            <w:tcW w:w="10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5C75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Low Haematocrit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DC21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≤ 11.5 g/dL (35%)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BFD9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A3DA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A8A2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F86F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2%</w:t>
            </w:r>
          </w:p>
        </w:tc>
      </w:tr>
      <w:tr w:rsidR="008B6E63" w:rsidRPr="008E1729" w14:paraId="1EC31E40" w14:textId="77777777" w:rsidTr="00AC1169">
        <w:trPr>
          <w:trHeight w:val="288"/>
        </w:trPr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CB69" w14:textId="77777777" w:rsidR="008B6E63" w:rsidRPr="008E1729" w:rsidRDefault="008B6E63" w:rsidP="00AC11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4C38" w14:textId="77777777" w:rsidR="008B6E63" w:rsidRPr="008E1729" w:rsidRDefault="008B6E63" w:rsidP="00AC11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C859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D87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CCC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A642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-1%</w:t>
            </w:r>
          </w:p>
        </w:tc>
      </w:tr>
      <w:tr w:rsidR="008B6E63" w:rsidRPr="008E1729" w14:paraId="1325CFA3" w14:textId="77777777" w:rsidTr="00AC1169">
        <w:trPr>
          <w:trHeight w:val="288"/>
        </w:trPr>
        <w:tc>
          <w:tcPr>
            <w:tcW w:w="10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42C9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High Haematocrit</w:t>
            </w: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213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≥ 18.5 g/dL (55%)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D091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01A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C7A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A5A8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-5%</w:t>
            </w:r>
          </w:p>
        </w:tc>
      </w:tr>
      <w:tr w:rsidR="008B6E63" w:rsidRPr="008E1729" w14:paraId="562C77DD" w14:textId="77777777" w:rsidTr="00AC1169">
        <w:trPr>
          <w:trHeight w:val="288"/>
        </w:trPr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5D22" w14:textId="77777777" w:rsidR="008B6E63" w:rsidRPr="008E1729" w:rsidRDefault="008B6E63" w:rsidP="00AC11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AEAD" w14:textId="77777777" w:rsidR="008B6E63" w:rsidRPr="008E1729" w:rsidRDefault="008B6E63" w:rsidP="00AC116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0E12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9F9A" w14:textId="77777777" w:rsidR="008B6E63" w:rsidRPr="008E1729" w:rsidRDefault="008B6E63" w:rsidP="00AC116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D9B2" w14:textId="77777777" w:rsidR="008B6E63" w:rsidRPr="008E1729" w:rsidRDefault="008B6E63" w:rsidP="00AC116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5A28" w14:textId="77777777" w:rsidR="008B6E63" w:rsidRPr="008E1729" w:rsidRDefault="008B6E63" w:rsidP="00AC116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8E1729">
              <w:rPr>
                <w:rFonts w:asciiTheme="minorHAnsi" w:hAnsiTheme="minorHAnsi" w:cs="Arial"/>
                <w:color w:val="000000"/>
                <w:sz w:val="20"/>
                <w:szCs w:val="20"/>
              </w:rPr>
              <w:t>-6%</w:t>
            </w:r>
          </w:p>
        </w:tc>
      </w:tr>
    </w:tbl>
    <w:p w14:paraId="54846FF9" w14:textId="77777777" w:rsidR="008B6E63" w:rsidRPr="008B6E63" w:rsidRDefault="008B6E63">
      <w:pPr>
        <w:rPr>
          <w:rFonts w:asciiTheme="minorHAnsi" w:eastAsia="Calibri" w:hAnsiTheme="minorHAnsi" w:cs="Calibri Light"/>
          <w:sz w:val="22"/>
          <w:szCs w:val="22"/>
          <w:lang w:eastAsia="en-US"/>
        </w:rPr>
      </w:pPr>
    </w:p>
    <w:sectPr w:rsidR="008B6E63" w:rsidRPr="008B6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63"/>
    <w:rsid w:val="0056180A"/>
    <w:rsid w:val="008B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8B2F"/>
  <w15:chartTrackingRefBased/>
  <w15:docId w15:val="{6EF0C071-7CFE-4282-814A-EC74DB87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B6E63"/>
    <w:pPr>
      <w:spacing w:after="0" w:line="240" w:lineRule="auto"/>
    </w:pPr>
    <w:rPr>
      <w:rFonts w:ascii="Arial" w:eastAsia="Calibri" w:hAnsi="Arial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8B6E63"/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 Matt (RNU) Oxford Health</dc:creator>
  <cp:keywords/>
  <dc:description/>
  <cp:lastModifiedBy>Atkins Matt (RNU) Oxford Health</cp:lastModifiedBy>
  <cp:revision>1</cp:revision>
  <dcterms:created xsi:type="dcterms:W3CDTF">2023-03-31T10:50:00Z</dcterms:created>
  <dcterms:modified xsi:type="dcterms:W3CDTF">2023-03-31T10:52:00Z</dcterms:modified>
</cp:coreProperties>
</file>