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995" w:rsidRDefault="005E4352" w:rsidP="005E4352">
      <w:pPr>
        <w:rPr>
          <w:rFonts w:ascii="Times New Roman" w:hAnsi="Times New Roman" w:cs="Times New Roman"/>
          <w:b/>
          <w:sz w:val="24"/>
          <w:szCs w:val="24"/>
        </w:rPr>
      </w:pPr>
      <w:r w:rsidRPr="0079658E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EC1D91">
        <w:rPr>
          <w:rFonts w:ascii="Times New Roman" w:hAnsi="Times New Roman" w:cs="Times New Roman"/>
          <w:b/>
          <w:sz w:val="24"/>
          <w:szCs w:val="24"/>
        </w:rPr>
        <w:t xml:space="preserve">Table &amp; </w:t>
      </w:r>
      <w:r w:rsidRPr="0079658E">
        <w:rPr>
          <w:rFonts w:ascii="Times New Roman" w:hAnsi="Times New Roman" w:cs="Times New Roman"/>
          <w:b/>
          <w:sz w:val="24"/>
          <w:szCs w:val="24"/>
        </w:rPr>
        <w:t>Figures</w:t>
      </w:r>
      <w:r w:rsidR="00584995">
        <w:rPr>
          <w:rFonts w:ascii="Times New Roman" w:hAnsi="Times New Roman" w:cs="Times New Roman"/>
          <w:b/>
          <w:sz w:val="24"/>
          <w:szCs w:val="24"/>
        </w:rPr>
        <w:t xml:space="preserve"> for :</w:t>
      </w:r>
    </w:p>
    <w:p w:rsidR="005E4352" w:rsidRDefault="00584995" w:rsidP="005E43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Baker &amp; Tann (Long-term patterns in the abundance of </w:t>
      </w:r>
      <w:proofErr w:type="spellStart"/>
      <w:r w:rsidRPr="00584995">
        <w:rPr>
          <w:rFonts w:ascii="Times New Roman" w:hAnsi="Times New Roman" w:cs="Times New Roman"/>
          <w:b/>
          <w:i/>
          <w:sz w:val="24"/>
          <w:szCs w:val="24"/>
        </w:rPr>
        <w:t>Helicoverpa</w:t>
      </w:r>
      <w:proofErr w:type="spellEnd"/>
      <w:r w:rsidRPr="005849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84995">
        <w:rPr>
          <w:rFonts w:ascii="Times New Roman" w:hAnsi="Times New Roman" w:cs="Times New Roman"/>
          <w:b/>
          <w:i/>
          <w:sz w:val="24"/>
          <w:szCs w:val="24"/>
        </w:rPr>
        <w:t>armigera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4864FF" w:rsidRDefault="004864FF" w:rsidP="005E4352">
      <w:pPr>
        <w:rPr>
          <w:rFonts w:ascii="Times New Roman" w:hAnsi="Times New Roman" w:cs="Times New Roman"/>
          <w:b/>
          <w:sz w:val="24"/>
          <w:szCs w:val="24"/>
        </w:rPr>
      </w:pPr>
    </w:p>
    <w:p w:rsidR="004864FF" w:rsidRDefault="004864FF" w:rsidP="005E4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 : </w:t>
      </w:r>
      <w:r w:rsidR="00EC1D91" w:rsidRPr="00EC1D91">
        <w:rPr>
          <w:rFonts w:ascii="Times New Roman" w:hAnsi="Times New Roman" w:cs="Times New Roman"/>
          <w:sz w:val="24"/>
          <w:szCs w:val="24"/>
        </w:rPr>
        <w:t>Table S1 &amp;</w:t>
      </w:r>
      <w:r w:rsidR="00EC1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64FF">
        <w:rPr>
          <w:rFonts w:ascii="Times New Roman" w:hAnsi="Times New Roman" w:cs="Times New Roman"/>
          <w:sz w:val="24"/>
          <w:szCs w:val="24"/>
        </w:rPr>
        <w:t>Figs S1-</w:t>
      </w:r>
      <w:r w:rsidR="00DC15C0">
        <w:rPr>
          <w:rFonts w:ascii="Times New Roman" w:hAnsi="Times New Roman" w:cs="Times New Roman"/>
          <w:sz w:val="24"/>
          <w:szCs w:val="24"/>
        </w:rPr>
        <w:t>S4</w:t>
      </w:r>
      <w:r w:rsidRPr="004864FF">
        <w:rPr>
          <w:rFonts w:ascii="Times New Roman" w:hAnsi="Times New Roman" w:cs="Times New Roman"/>
          <w:sz w:val="24"/>
          <w:szCs w:val="24"/>
        </w:rPr>
        <w:t xml:space="preserve"> are also published in Baker &amp; Tann (….).  Bull. Ent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64FF">
        <w:rPr>
          <w:rFonts w:ascii="Times New Roman" w:hAnsi="Times New Roman" w:cs="Times New Roman"/>
          <w:sz w:val="24"/>
          <w:szCs w:val="24"/>
        </w:rPr>
        <w:t xml:space="preserve"> Res. In Press.</w:t>
      </w:r>
    </w:p>
    <w:p w:rsidR="008D6007" w:rsidRDefault="008D6007" w:rsidP="005E4352">
      <w:pPr>
        <w:rPr>
          <w:rFonts w:ascii="Times New Roman" w:hAnsi="Times New Roman" w:cs="Times New Roman"/>
          <w:b/>
          <w:sz w:val="24"/>
          <w:szCs w:val="24"/>
        </w:rPr>
      </w:pPr>
    </w:p>
    <w:p w:rsidR="00EC1D91" w:rsidRDefault="00EC1D91" w:rsidP="00EC1D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6007">
        <w:rPr>
          <w:rFonts w:ascii="Times New Roman" w:hAnsi="Times New Roman" w:cs="Times New Roman"/>
          <w:b/>
          <w:sz w:val="24"/>
          <w:szCs w:val="24"/>
        </w:rPr>
        <w:t>Table S1.</w:t>
      </w:r>
      <w:r>
        <w:rPr>
          <w:rFonts w:ascii="Times New Roman" w:hAnsi="Times New Roman" w:cs="Times New Roman"/>
          <w:sz w:val="24"/>
          <w:szCs w:val="24"/>
        </w:rPr>
        <w:t xml:space="preserve">  Trap site locations near </w:t>
      </w:r>
      <w:r w:rsidR="004A2E79">
        <w:rPr>
          <w:rFonts w:ascii="Times New Roman" w:hAnsi="Times New Roman" w:cs="Times New Roman"/>
          <w:sz w:val="24"/>
          <w:szCs w:val="24"/>
        </w:rPr>
        <w:t>Narrabri (GPS coordinates)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4"/>
        <w:gridCol w:w="2276"/>
      </w:tblGrid>
      <w:tr w:rsidR="00567D47" w:rsidTr="00A378D0">
        <w:tc>
          <w:tcPr>
            <w:tcW w:w="1714" w:type="dxa"/>
          </w:tcPr>
          <w:p w:rsidR="00567D47" w:rsidRPr="00462377" w:rsidRDefault="00567D47" w:rsidP="00A37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377">
              <w:rPr>
                <w:rFonts w:ascii="Times New Roman" w:hAnsi="Times New Roman" w:cs="Times New Roman"/>
                <w:sz w:val="20"/>
                <w:szCs w:val="20"/>
              </w:rPr>
              <w:t>Site Name</w:t>
            </w:r>
          </w:p>
        </w:tc>
        <w:tc>
          <w:tcPr>
            <w:tcW w:w="2276" w:type="dxa"/>
          </w:tcPr>
          <w:p w:rsidR="00567D47" w:rsidRPr="00462377" w:rsidRDefault="00567D47" w:rsidP="00A37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462377">
              <w:rPr>
                <w:rFonts w:ascii="Times New Roman" w:hAnsi="Times New Roman" w:cs="Times New Roman"/>
                <w:sz w:val="20"/>
                <w:szCs w:val="20"/>
              </w:rPr>
              <w:t>Location</w:t>
            </w:r>
          </w:p>
        </w:tc>
      </w:tr>
      <w:tr w:rsidR="00567D47" w:rsidTr="00A378D0">
        <w:tc>
          <w:tcPr>
            <w:tcW w:w="1714" w:type="dxa"/>
          </w:tcPr>
          <w:p w:rsidR="00567D47" w:rsidRPr="00462377" w:rsidRDefault="00567D47" w:rsidP="00A3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2377">
              <w:rPr>
                <w:rFonts w:ascii="Times New Roman" w:hAnsi="Times New Roman" w:cs="Times New Roman"/>
                <w:sz w:val="20"/>
                <w:szCs w:val="20"/>
              </w:rPr>
              <w:t>Appletrees</w:t>
            </w:r>
            <w:proofErr w:type="spellEnd"/>
            <w:r w:rsidRPr="00462377">
              <w:rPr>
                <w:rFonts w:ascii="Times New Roman" w:hAnsi="Times New Roman" w:cs="Times New Roman"/>
                <w:sz w:val="20"/>
                <w:szCs w:val="20"/>
              </w:rPr>
              <w:t xml:space="preserve"> [East]</w:t>
            </w:r>
          </w:p>
        </w:tc>
        <w:tc>
          <w:tcPr>
            <w:tcW w:w="2276" w:type="dxa"/>
          </w:tcPr>
          <w:p w:rsidR="00567D47" w:rsidRPr="00462377" w:rsidRDefault="00567D47" w:rsidP="00A37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377">
              <w:rPr>
                <w:rFonts w:ascii="Times New Roman" w:hAnsi="Times New Roman" w:cs="Times New Roman"/>
                <w:sz w:val="20"/>
                <w:szCs w:val="20"/>
              </w:rPr>
              <w:t>30°07’49”S/149°36’24”E</w:t>
            </w:r>
          </w:p>
        </w:tc>
      </w:tr>
      <w:tr w:rsidR="00567D47" w:rsidTr="00A378D0">
        <w:tc>
          <w:tcPr>
            <w:tcW w:w="1714" w:type="dxa"/>
          </w:tcPr>
          <w:p w:rsidR="00567D47" w:rsidRPr="00462377" w:rsidRDefault="00567D47" w:rsidP="00A3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2377">
              <w:rPr>
                <w:rFonts w:ascii="Times New Roman" w:hAnsi="Times New Roman" w:cs="Times New Roman"/>
                <w:sz w:val="20"/>
                <w:szCs w:val="20"/>
              </w:rPr>
              <w:t>Appletrees</w:t>
            </w:r>
            <w:proofErr w:type="spellEnd"/>
            <w:r w:rsidRPr="00462377">
              <w:rPr>
                <w:rFonts w:ascii="Times New Roman" w:hAnsi="Times New Roman" w:cs="Times New Roman"/>
                <w:sz w:val="20"/>
                <w:szCs w:val="20"/>
              </w:rPr>
              <w:t xml:space="preserve"> [Home]</w:t>
            </w:r>
          </w:p>
        </w:tc>
        <w:tc>
          <w:tcPr>
            <w:tcW w:w="2276" w:type="dxa"/>
          </w:tcPr>
          <w:p w:rsidR="00567D47" w:rsidRPr="00462377" w:rsidRDefault="00567D47" w:rsidP="00A378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2377">
              <w:rPr>
                <w:rFonts w:ascii="Times New Roman" w:hAnsi="Times New Roman" w:cs="Times New Roman"/>
                <w:sz w:val="20"/>
                <w:szCs w:val="20"/>
              </w:rPr>
              <w:t>30°07’68”S/149°34’73”E</w:t>
            </w:r>
          </w:p>
        </w:tc>
      </w:tr>
      <w:tr w:rsidR="00567D47" w:rsidTr="00A378D0">
        <w:tc>
          <w:tcPr>
            <w:tcW w:w="1714" w:type="dxa"/>
          </w:tcPr>
          <w:p w:rsidR="00567D47" w:rsidRPr="00462377" w:rsidRDefault="00567D47" w:rsidP="00A3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2377">
              <w:rPr>
                <w:rFonts w:ascii="Times New Roman" w:hAnsi="Times New Roman" w:cs="Times New Roman"/>
                <w:sz w:val="20"/>
                <w:szCs w:val="20"/>
              </w:rPr>
              <w:t>Auscott</w:t>
            </w:r>
            <w:proofErr w:type="spellEnd"/>
            <w:r w:rsidRPr="00462377">
              <w:rPr>
                <w:rFonts w:ascii="Times New Roman" w:hAnsi="Times New Roman" w:cs="Times New Roman"/>
                <w:sz w:val="20"/>
                <w:szCs w:val="20"/>
              </w:rPr>
              <w:t xml:space="preserve"> [East]</w:t>
            </w:r>
          </w:p>
        </w:tc>
        <w:tc>
          <w:tcPr>
            <w:tcW w:w="2276" w:type="dxa"/>
          </w:tcPr>
          <w:p w:rsidR="00567D47" w:rsidRPr="00462377" w:rsidRDefault="00567D47" w:rsidP="00A37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377">
              <w:rPr>
                <w:rFonts w:ascii="Times New Roman" w:hAnsi="Times New Roman" w:cs="Times New Roman"/>
                <w:sz w:val="20"/>
                <w:szCs w:val="20"/>
              </w:rPr>
              <w:t>30°09’59”S/149°41’45”E</w:t>
            </w:r>
          </w:p>
        </w:tc>
      </w:tr>
      <w:tr w:rsidR="00567D47" w:rsidTr="00A378D0">
        <w:tc>
          <w:tcPr>
            <w:tcW w:w="1714" w:type="dxa"/>
          </w:tcPr>
          <w:p w:rsidR="00567D47" w:rsidRPr="00462377" w:rsidRDefault="00567D47" w:rsidP="00A3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2377">
              <w:rPr>
                <w:rFonts w:ascii="Times New Roman" w:hAnsi="Times New Roman" w:cs="Times New Roman"/>
                <w:sz w:val="20"/>
                <w:szCs w:val="20"/>
              </w:rPr>
              <w:t>Auscott</w:t>
            </w:r>
            <w:proofErr w:type="spellEnd"/>
            <w:r w:rsidRPr="00462377">
              <w:rPr>
                <w:rFonts w:ascii="Times New Roman" w:hAnsi="Times New Roman" w:cs="Times New Roman"/>
                <w:sz w:val="20"/>
                <w:szCs w:val="20"/>
              </w:rPr>
              <w:t xml:space="preserve"> [Office]</w:t>
            </w:r>
          </w:p>
        </w:tc>
        <w:tc>
          <w:tcPr>
            <w:tcW w:w="2276" w:type="dxa"/>
          </w:tcPr>
          <w:p w:rsidR="00567D47" w:rsidRPr="00462377" w:rsidRDefault="00567D47" w:rsidP="00A37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377">
              <w:rPr>
                <w:rFonts w:ascii="Times New Roman" w:hAnsi="Times New Roman" w:cs="Times New Roman"/>
                <w:sz w:val="20"/>
                <w:szCs w:val="20"/>
              </w:rPr>
              <w:t>30°11’29”S/149°40’08”E</w:t>
            </w:r>
          </w:p>
        </w:tc>
      </w:tr>
      <w:tr w:rsidR="00567D47" w:rsidTr="00A378D0">
        <w:tc>
          <w:tcPr>
            <w:tcW w:w="1714" w:type="dxa"/>
          </w:tcPr>
          <w:p w:rsidR="00567D47" w:rsidRPr="00462377" w:rsidRDefault="00567D47" w:rsidP="00A3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377">
              <w:rPr>
                <w:rFonts w:ascii="Times New Roman" w:hAnsi="Times New Roman" w:cs="Times New Roman"/>
                <w:sz w:val="20"/>
                <w:szCs w:val="20"/>
              </w:rPr>
              <w:t>ACRI [Chico]</w:t>
            </w:r>
          </w:p>
        </w:tc>
        <w:tc>
          <w:tcPr>
            <w:tcW w:w="2276" w:type="dxa"/>
          </w:tcPr>
          <w:p w:rsidR="00567D47" w:rsidRPr="00462377" w:rsidRDefault="00567D47" w:rsidP="00A37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377">
              <w:rPr>
                <w:rFonts w:ascii="Times New Roman" w:hAnsi="Times New Roman" w:cs="Times New Roman"/>
                <w:sz w:val="20"/>
                <w:szCs w:val="20"/>
              </w:rPr>
              <w:t>30°11’42”S/149°36’24”E</w:t>
            </w:r>
          </w:p>
        </w:tc>
      </w:tr>
      <w:tr w:rsidR="00567D47" w:rsidTr="00A378D0">
        <w:tc>
          <w:tcPr>
            <w:tcW w:w="1714" w:type="dxa"/>
          </w:tcPr>
          <w:p w:rsidR="00567D47" w:rsidRPr="00462377" w:rsidRDefault="00567D47" w:rsidP="00A3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377">
              <w:rPr>
                <w:rFonts w:ascii="Times New Roman" w:hAnsi="Times New Roman" w:cs="Times New Roman"/>
                <w:sz w:val="20"/>
                <w:szCs w:val="20"/>
              </w:rPr>
              <w:t>ACRI [Field 18]</w:t>
            </w:r>
          </w:p>
        </w:tc>
        <w:tc>
          <w:tcPr>
            <w:tcW w:w="2276" w:type="dxa"/>
          </w:tcPr>
          <w:p w:rsidR="00567D47" w:rsidRPr="00462377" w:rsidRDefault="00567D47" w:rsidP="00A37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377">
              <w:rPr>
                <w:rFonts w:ascii="Times New Roman" w:hAnsi="Times New Roman" w:cs="Times New Roman"/>
                <w:sz w:val="20"/>
                <w:szCs w:val="20"/>
              </w:rPr>
              <w:t>30°13’41”S/149°35’37”E</w:t>
            </w:r>
          </w:p>
        </w:tc>
      </w:tr>
      <w:tr w:rsidR="00567D47" w:rsidTr="00A378D0">
        <w:tc>
          <w:tcPr>
            <w:tcW w:w="1714" w:type="dxa"/>
          </w:tcPr>
          <w:p w:rsidR="00567D47" w:rsidRPr="00462377" w:rsidRDefault="00567D47" w:rsidP="00A3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377">
              <w:rPr>
                <w:rFonts w:ascii="Times New Roman" w:hAnsi="Times New Roman" w:cs="Times New Roman"/>
                <w:sz w:val="20"/>
                <w:szCs w:val="20"/>
              </w:rPr>
              <w:t>ACRI [Leitch]</w:t>
            </w:r>
          </w:p>
        </w:tc>
        <w:tc>
          <w:tcPr>
            <w:tcW w:w="2276" w:type="dxa"/>
          </w:tcPr>
          <w:p w:rsidR="00567D47" w:rsidRPr="00462377" w:rsidRDefault="00567D47" w:rsidP="00A37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377">
              <w:rPr>
                <w:rFonts w:ascii="Times New Roman" w:hAnsi="Times New Roman" w:cs="Times New Roman"/>
                <w:sz w:val="20"/>
                <w:szCs w:val="20"/>
              </w:rPr>
              <w:t>30°10’47”S/149°35’35”E</w:t>
            </w:r>
          </w:p>
        </w:tc>
      </w:tr>
      <w:tr w:rsidR="00567D47" w:rsidTr="00A378D0">
        <w:tc>
          <w:tcPr>
            <w:tcW w:w="1714" w:type="dxa"/>
          </w:tcPr>
          <w:p w:rsidR="00567D47" w:rsidRPr="00462377" w:rsidRDefault="00567D47" w:rsidP="00A3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2377">
              <w:rPr>
                <w:rFonts w:ascii="Times New Roman" w:hAnsi="Times New Roman" w:cs="Times New Roman"/>
                <w:sz w:val="20"/>
                <w:szCs w:val="20"/>
              </w:rPr>
              <w:t>Lochelgin</w:t>
            </w:r>
            <w:proofErr w:type="spellEnd"/>
          </w:p>
        </w:tc>
        <w:tc>
          <w:tcPr>
            <w:tcW w:w="2276" w:type="dxa"/>
          </w:tcPr>
          <w:p w:rsidR="00567D47" w:rsidRPr="00462377" w:rsidRDefault="00567D47" w:rsidP="00A37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377">
              <w:rPr>
                <w:rFonts w:ascii="Times New Roman" w:hAnsi="Times New Roman" w:cs="Times New Roman"/>
                <w:sz w:val="20"/>
                <w:szCs w:val="20"/>
              </w:rPr>
              <w:t>30°13’43”S/149°34’10”E</w:t>
            </w:r>
          </w:p>
        </w:tc>
      </w:tr>
      <w:tr w:rsidR="00567D47" w:rsidTr="00A378D0">
        <w:tc>
          <w:tcPr>
            <w:tcW w:w="1714" w:type="dxa"/>
          </w:tcPr>
          <w:p w:rsidR="00567D47" w:rsidRPr="00462377" w:rsidRDefault="00567D47" w:rsidP="00A3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377">
              <w:rPr>
                <w:rFonts w:ascii="Times New Roman" w:hAnsi="Times New Roman" w:cs="Times New Roman"/>
                <w:sz w:val="20"/>
                <w:szCs w:val="20"/>
              </w:rPr>
              <w:t>Merinda</w:t>
            </w:r>
          </w:p>
        </w:tc>
        <w:tc>
          <w:tcPr>
            <w:tcW w:w="2276" w:type="dxa"/>
          </w:tcPr>
          <w:p w:rsidR="00567D47" w:rsidRPr="00462377" w:rsidRDefault="00567D47" w:rsidP="00A37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377">
              <w:rPr>
                <w:rFonts w:ascii="Times New Roman" w:hAnsi="Times New Roman" w:cs="Times New Roman"/>
                <w:sz w:val="20"/>
                <w:szCs w:val="20"/>
              </w:rPr>
              <w:t>30°09’37”S/149°33’02”E</w:t>
            </w:r>
          </w:p>
        </w:tc>
      </w:tr>
      <w:tr w:rsidR="00567D47" w:rsidTr="00A378D0">
        <w:tc>
          <w:tcPr>
            <w:tcW w:w="1714" w:type="dxa"/>
          </w:tcPr>
          <w:p w:rsidR="00567D47" w:rsidRPr="00462377" w:rsidRDefault="00567D47" w:rsidP="00A3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2377">
              <w:rPr>
                <w:rFonts w:ascii="Times New Roman" w:hAnsi="Times New Roman" w:cs="Times New Roman"/>
                <w:sz w:val="20"/>
                <w:szCs w:val="20"/>
              </w:rPr>
              <w:t>Greenbah</w:t>
            </w:r>
            <w:proofErr w:type="spellEnd"/>
          </w:p>
        </w:tc>
        <w:tc>
          <w:tcPr>
            <w:tcW w:w="2276" w:type="dxa"/>
          </w:tcPr>
          <w:p w:rsidR="00567D47" w:rsidRPr="00462377" w:rsidRDefault="00567D47" w:rsidP="00A378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2377">
              <w:rPr>
                <w:rFonts w:ascii="Times New Roman" w:hAnsi="Times New Roman" w:cs="Times New Roman"/>
                <w:sz w:val="20"/>
                <w:szCs w:val="20"/>
              </w:rPr>
              <w:t>30°09’43”S/149°32’99”E</w:t>
            </w:r>
          </w:p>
        </w:tc>
      </w:tr>
      <w:tr w:rsidR="00567D47" w:rsidTr="00A378D0">
        <w:tc>
          <w:tcPr>
            <w:tcW w:w="1714" w:type="dxa"/>
          </w:tcPr>
          <w:p w:rsidR="00567D47" w:rsidRPr="00462377" w:rsidRDefault="00567D47" w:rsidP="00A3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377">
              <w:rPr>
                <w:rFonts w:ascii="Times New Roman" w:hAnsi="Times New Roman" w:cs="Times New Roman"/>
                <w:sz w:val="20"/>
                <w:szCs w:val="20"/>
              </w:rPr>
              <w:t>Togo [North]</w:t>
            </w:r>
          </w:p>
        </w:tc>
        <w:tc>
          <w:tcPr>
            <w:tcW w:w="2276" w:type="dxa"/>
          </w:tcPr>
          <w:p w:rsidR="00567D47" w:rsidRPr="00462377" w:rsidRDefault="00567D47" w:rsidP="00A37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377">
              <w:rPr>
                <w:rFonts w:ascii="Times New Roman" w:hAnsi="Times New Roman" w:cs="Times New Roman"/>
                <w:sz w:val="20"/>
                <w:szCs w:val="20"/>
              </w:rPr>
              <w:t>30°05’08”S/149°33’56”E</w:t>
            </w:r>
          </w:p>
        </w:tc>
      </w:tr>
      <w:tr w:rsidR="00567D47" w:rsidTr="00A378D0">
        <w:tc>
          <w:tcPr>
            <w:tcW w:w="1714" w:type="dxa"/>
          </w:tcPr>
          <w:p w:rsidR="00567D47" w:rsidRPr="00462377" w:rsidRDefault="00567D47" w:rsidP="00A3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377">
              <w:rPr>
                <w:rFonts w:ascii="Times New Roman" w:hAnsi="Times New Roman" w:cs="Times New Roman"/>
                <w:sz w:val="20"/>
                <w:szCs w:val="20"/>
              </w:rPr>
              <w:t>Togo [South]</w:t>
            </w:r>
          </w:p>
        </w:tc>
        <w:tc>
          <w:tcPr>
            <w:tcW w:w="2276" w:type="dxa"/>
          </w:tcPr>
          <w:p w:rsidR="00567D47" w:rsidRPr="00462377" w:rsidRDefault="00567D47" w:rsidP="00A37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377">
              <w:rPr>
                <w:rFonts w:ascii="Times New Roman" w:hAnsi="Times New Roman" w:cs="Times New Roman"/>
                <w:sz w:val="20"/>
                <w:szCs w:val="20"/>
              </w:rPr>
              <w:t>30°06’59”S/149°33’45”E</w:t>
            </w:r>
          </w:p>
        </w:tc>
      </w:tr>
      <w:tr w:rsidR="00567D47" w:rsidTr="00A378D0">
        <w:tc>
          <w:tcPr>
            <w:tcW w:w="1714" w:type="dxa"/>
          </w:tcPr>
          <w:p w:rsidR="00567D47" w:rsidRPr="00462377" w:rsidRDefault="00567D47" w:rsidP="00A3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377">
              <w:rPr>
                <w:rFonts w:ascii="Times New Roman" w:hAnsi="Times New Roman" w:cs="Times New Roman"/>
                <w:sz w:val="20"/>
                <w:szCs w:val="20"/>
              </w:rPr>
              <w:t>Wentworth</w:t>
            </w:r>
          </w:p>
        </w:tc>
        <w:tc>
          <w:tcPr>
            <w:tcW w:w="2276" w:type="dxa"/>
          </w:tcPr>
          <w:p w:rsidR="00567D47" w:rsidRPr="00462377" w:rsidRDefault="00567D47" w:rsidP="00A37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377">
              <w:rPr>
                <w:rFonts w:ascii="Times New Roman" w:hAnsi="Times New Roman" w:cs="Times New Roman"/>
                <w:sz w:val="20"/>
                <w:szCs w:val="20"/>
              </w:rPr>
              <w:t>30°13’36”S/149°39’34”E</w:t>
            </w:r>
          </w:p>
        </w:tc>
      </w:tr>
      <w:tr w:rsidR="00567D47" w:rsidTr="00A378D0">
        <w:tc>
          <w:tcPr>
            <w:tcW w:w="1714" w:type="dxa"/>
          </w:tcPr>
          <w:p w:rsidR="00567D47" w:rsidRPr="00462377" w:rsidRDefault="00567D47" w:rsidP="00A3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2377">
              <w:rPr>
                <w:rFonts w:ascii="Times New Roman" w:hAnsi="Times New Roman" w:cs="Times New Roman"/>
                <w:sz w:val="20"/>
                <w:szCs w:val="20"/>
              </w:rPr>
              <w:t>Yarral</w:t>
            </w:r>
            <w:proofErr w:type="spellEnd"/>
            <w:r w:rsidRPr="00462377">
              <w:rPr>
                <w:rFonts w:ascii="Times New Roman" w:hAnsi="Times New Roman" w:cs="Times New Roman"/>
                <w:sz w:val="20"/>
                <w:szCs w:val="20"/>
              </w:rPr>
              <w:t xml:space="preserve"> Field 5</w:t>
            </w:r>
          </w:p>
        </w:tc>
        <w:tc>
          <w:tcPr>
            <w:tcW w:w="2276" w:type="dxa"/>
          </w:tcPr>
          <w:p w:rsidR="00567D47" w:rsidRPr="00462377" w:rsidRDefault="00567D47" w:rsidP="00A37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377">
              <w:rPr>
                <w:rFonts w:ascii="Times New Roman" w:hAnsi="Times New Roman" w:cs="Times New Roman"/>
                <w:sz w:val="20"/>
                <w:szCs w:val="20"/>
              </w:rPr>
              <w:t>30°12’21”S/149°37’12”E</w:t>
            </w:r>
          </w:p>
        </w:tc>
      </w:tr>
      <w:tr w:rsidR="00567D47" w:rsidTr="00A378D0">
        <w:tc>
          <w:tcPr>
            <w:tcW w:w="1714" w:type="dxa"/>
          </w:tcPr>
          <w:p w:rsidR="00567D47" w:rsidRPr="00462377" w:rsidRDefault="00567D47" w:rsidP="00A3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2377">
              <w:rPr>
                <w:rFonts w:ascii="Times New Roman" w:hAnsi="Times New Roman" w:cs="Times New Roman"/>
                <w:sz w:val="20"/>
                <w:szCs w:val="20"/>
              </w:rPr>
              <w:t>Yarral</w:t>
            </w:r>
            <w:proofErr w:type="spellEnd"/>
            <w:r w:rsidRPr="00462377">
              <w:rPr>
                <w:rFonts w:ascii="Times New Roman" w:hAnsi="Times New Roman" w:cs="Times New Roman"/>
                <w:sz w:val="20"/>
                <w:szCs w:val="20"/>
              </w:rPr>
              <w:t xml:space="preserve"> [Home]</w:t>
            </w:r>
          </w:p>
        </w:tc>
        <w:tc>
          <w:tcPr>
            <w:tcW w:w="2276" w:type="dxa"/>
          </w:tcPr>
          <w:p w:rsidR="00567D47" w:rsidRPr="00462377" w:rsidRDefault="00567D47" w:rsidP="00A378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2377">
              <w:rPr>
                <w:rFonts w:ascii="Times New Roman" w:hAnsi="Times New Roman" w:cs="Times New Roman"/>
                <w:sz w:val="20"/>
                <w:szCs w:val="20"/>
              </w:rPr>
              <w:t>30°13’15”S/149°37’35”E</w:t>
            </w:r>
          </w:p>
        </w:tc>
      </w:tr>
    </w:tbl>
    <w:p w:rsidR="00EC1D91" w:rsidRDefault="00EC1D91" w:rsidP="00EC1D91">
      <w:pPr>
        <w:rPr>
          <w:rFonts w:ascii="Times New Roman" w:hAnsi="Times New Roman" w:cs="Times New Roman"/>
          <w:sz w:val="24"/>
          <w:szCs w:val="24"/>
        </w:rPr>
      </w:pPr>
    </w:p>
    <w:p w:rsidR="00EC1D91" w:rsidRDefault="00EC1D91" w:rsidP="005E4352">
      <w:pPr>
        <w:rPr>
          <w:rFonts w:ascii="Times New Roman" w:hAnsi="Times New Roman" w:cs="Times New Roman"/>
          <w:b/>
          <w:sz w:val="24"/>
          <w:szCs w:val="24"/>
        </w:rPr>
      </w:pPr>
    </w:p>
    <w:p w:rsidR="00EC1D91" w:rsidRPr="0079658E" w:rsidRDefault="00EC1D91" w:rsidP="005E4352">
      <w:pPr>
        <w:rPr>
          <w:rFonts w:ascii="Times New Roman" w:hAnsi="Times New Roman" w:cs="Times New Roman"/>
          <w:b/>
          <w:sz w:val="24"/>
          <w:szCs w:val="24"/>
        </w:rPr>
      </w:pPr>
    </w:p>
    <w:p w:rsidR="004864FF" w:rsidRDefault="004864FF" w:rsidP="004864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w:lastRenderedPageBreak/>
        <w:drawing>
          <wp:inline distT="0" distB="0" distL="0" distR="0" wp14:anchorId="278C1F97" wp14:editId="45A4AF75">
            <wp:extent cx="5731510" cy="4055988"/>
            <wp:effectExtent l="19050" t="0" r="2540" b="0"/>
            <wp:docPr id="12" name="Picture 1" descr="C:\Users\bak094\AppData\Local\Microsoft\Windows\Temporary Internet Files\Content.Outlook\BHT64PAI\trapping locations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k094\AppData\Local\Microsoft\Windows\Temporary Internet Files\Content.Outlook\BHT64PAI\trapping locations ma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55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4FF" w:rsidRDefault="004864FF" w:rsidP="004864FF">
      <w:pPr>
        <w:rPr>
          <w:rFonts w:ascii="Times New Roman" w:hAnsi="Times New Roman" w:cs="Times New Roman"/>
          <w:sz w:val="24"/>
          <w:szCs w:val="24"/>
        </w:rPr>
      </w:pPr>
      <w:r w:rsidRPr="008D6007">
        <w:rPr>
          <w:rFonts w:ascii="Times New Roman" w:hAnsi="Times New Roman" w:cs="Times New Roman"/>
          <w:b/>
          <w:sz w:val="24"/>
          <w:szCs w:val="24"/>
        </w:rPr>
        <w:t>Fig. S1.</w:t>
      </w:r>
      <w:r>
        <w:rPr>
          <w:rFonts w:ascii="Times New Roman" w:hAnsi="Times New Roman" w:cs="Times New Roman"/>
          <w:sz w:val="24"/>
          <w:szCs w:val="24"/>
        </w:rPr>
        <w:t xml:space="preserve">  Locations of the 15 pheromone trap sites near Narrabri, northern New South Wales.  Main rivers (bold lines); roads (faint lines).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864FF" w:rsidRDefault="004864FF" w:rsidP="004864FF">
      <w:pPr>
        <w:rPr>
          <w:rFonts w:ascii="Times New Roman" w:hAnsi="Times New Roman" w:cs="Times New Roman"/>
          <w:sz w:val="24"/>
          <w:szCs w:val="24"/>
        </w:rPr>
      </w:pPr>
      <w:r w:rsidRPr="00725DB5">
        <w:rPr>
          <w:rFonts w:ascii="Times New Roman" w:hAnsi="Times New Roman" w:cs="Times New Roman"/>
          <w:noProof/>
          <w:sz w:val="24"/>
          <w:szCs w:val="24"/>
          <w:lang w:eastAsia="en-AU"/>
        </w:rPr>
        <w:lastRenderedPageBreak/>
        <w:drawing>
          <wp:inline distT="0" distB="0" distL="0" distR="0" wp14:anchorId="59EBFFE8" wp14:editId="4DC55068">
            <wp:extent cx="5731510" cy="3741402"/>
            <wp:effectExtent l="0" t="0" r="0" b="0"/>
            <wp:docPr id="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864FF" w:rsidRDefault="004864FF" w:rsidP="004864FF">
      <w:pPr>
        <w:rPr>
          <w:rFonts w:ascii="Times New Roman" w:hAnsi="Times New Roman" w:cs="Times New Roman"/>
          <w:sz w:val="24"/>
          <w:szCs w:val="24"/>
        </w:rPr>
      </w:pPr>
      <w:r w:rsidRPr="008D6007">
        <w:rPr>
          <w:rFonts w:ascii="Times New Roman" w:hAnsi="Times New Roman" w:cs="Times New Roman"/>
          <w:b/>
          <w:sz w:val="24"/>
          <w:szCs w:val="24"/>
        </w:rPr>
        <w:t>Fig. S2.</w:t>
      </w:r>
      <w:r>
        <w:rPr>
          <w:rFonts w:ascii="Times New Roman" w:hAnsi="Times New Roman" w:cs="Times New Roman"/>
          <w:sz w:val="24"/>
          <w:szCs w:val="24"/>
        </w:rPr>
        <w:t xml:space="preserve">  Frequencies (%) of the most common habitat types adjacent to pheromone traps during spring each year throughout the trapping period near ACRI.</w:t>
      </w:r>
    </w:p>
    <w:p w:rsidR="004864FF" w:rsidRDefault="004864FF" w:rsidP="004864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864FF" w:rsidRDefault="004864FF" w:rsidP="004864FF">
      <w:pPr>
        <w:rPr>
          <w:rFonts w:ascii="Times New Roman" w:hAnsi="Times New Roman" w:cs="Times New Roman"/>
          <w:b/>
          <w:sz w:val="24"/>
          <w:szCs w:val="24"/>
        </w:rPr>
      </w:pPr>
      <w:r w:rsidRPr="00725DB5">
        <w:rPr>
          <w:rFonts w:ascii="Times New Roman" w:hAnsi="Times New Roman" w:cs="Times New Roman"/>
          <w:b/>
          <w:noProof/>
          <w:sz w:val="24"/>
          <w:szCs w:val="24"/>
          <w:lang w:eastAsia="en-AU"/>
        </w:rPr>
        <w:lastRenderedPageBreak/>
        <w:drawing>
          <wp:inline distT="0" distB="0" distL="0" distR="0" wp14:anchorId="25AA798E" wp14:editId="1805F2E9">
            <wp:extent cx="5731510" cy="3741402"/>
            <wp:effectExtent l="0" t="0" r="0" b="0"/>
            <wp:docPr id="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864FF" w:rsidRDefault="004864FF" w:rsidP="004864FF">
      <w:pPr>
        <w:rPr>
          <w:rFonts w:ascii="Times New Roman" w:hAnsi="Times New Roman" w:cs="Times New Roman"/>
          <w:sz w:val="24"/>
          <w:szCs w:val="24"/>
        </w:rPr>
      </w:pPr>
      <w:r w:rsidRPr="008D6007">
        <w:rPr>
          <w:rFonts w:ascii="Times New Roman" w:hAnsi="Times New Roman" w:cs="Times New Roman"/>
          <w:b/>
          <w:sz w:val="24"/>
          <w:szCs w:val="24"/>
        </w:rPr>
        <w:t>Fig. S3.</w:t>
      </w:r>
      <w:r>
        <w:rPr>
          <w:rFonts w:ascii="Times New Roman" w:hAnsi="Times New Roman" w:cs="Times New Roman"/>
          <w:sz w:val="24"/>
          <w:szCs w:val="24"/>
        </w:rPr>
        <w:t xml:space="preserve">  Frequencies (%) of the most common habitat types adjacent to pheromone traps during summer each year throughout the trapping period near ACRI.</w:t>
      </w:r>
    </w:p>
    <w:p w:rsidR="00DC15C0" w:rsidRDefault="00DC15C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C15C0" w:rsidRDefault="00DC15C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C4CDE">
        <w:rPr>
          <w:rFonts w:ascii="Times New Roman" w:hAnsi="Times New Roman" w:cs="Times New Roman"/>
          <w:noProof/>
          <w:sz w:val="24"/>
          <w:szCs w:val="24"/>
          <w:lang w:eastAsia="en-AU"/>
        </w:rPr>
        <w:lastRenderedPageBreak/>
        <w:drawing>
          <wp:inline distT="0" distB="0" distL="0" distR="0" wp14:anchorId="708C88FC" wp14:editId="5A702275">
            <wp:extent cx="5731510" cy="3491865"/>
            <wp:effectExtent l="0" t="0" r="2540" b="1333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C15C0" w:rsidRDefault="00DC15C0" w:rsidP="00DC15C0">
      <w:pPr>
        <w:rPr>
          <w:rFonts w:ascii="Times New Roman" w:hAnsi="Times New Roman" w:cs="Times New Roman"/>
          <w:sz w:val="24"/>
          <w:szCs w:val="24"/>
        </w:rPr>
      </w:pPr>
      <w:r w:rsidRPr="008D6007">
        <w:rPr>
          <w:rFonts w:ascii="Times New Roman" w:hAnsi="Times New Roman" w:cs="Times New Roman"/>
          <w:b/>
          <w:sz w:val="24"/>
          <w:szCs w:val="24"/>
        </w:rPr>
        <w:t>Fig. S4.</w:t>
      </w:r>
      <w:r>
        <w:rPr>
          <w:rFonts w:ascii="Times New Roman" w:hAnsi="Times New Roman" w:cs="Times New Roman"/>
          <w:sz w:val="24"/>
          <w:szCs w:val="24"/>
        </w:rPr>
        <w:t xml:space="preserve">  Average daily maximum temperatures (°C) recorded at </w:t>
      </w:r>
      <w:r w:rsidRPr="0048322F">
        <w:rPr>
          <w:rFonts w:ascii="Times New Roman" w:hAnsi="Times New Roman" w:cs="Times New Roman"/>
          <w:sz w:val="24"/>
          <w:szCs w:val="24"/>
        </w:rPr>
        <w:t>Narrabri West Post Office</w:t>
      </w:r>
      <w:r>
        <w:rPr>
          <w:rFonts w:ascii="Times New Roman" w:hAnsi="Times New Roman" w:cs="Times New Roman"/>
          <w:sz w:val="24"/>
          <w:szCs w:val="24"/>
        </w:rPr>
        <w:t xml:space="preserve"> (Australian Bureau of Meteorology Station No : 53030) until December 2001; thereafter at </w:t>
      </w:r>
      <w:r w:rsidRPr="0048322F">
        <w:rPr>
          <w:rFonts w:ascii="Times New Roman" w:hAnsi="Times New Roman" w:cs="Times New Roman"/>
          <w:sz w:val="24"/>
          <w:szCs w:val="24"/>
        </w:rPr>
        <w:t>Narrabri Airport (Station No : 54308)</w:t>
      </w:r>
      <w:r>
        <w:rPr>
          <w:rFonts w:ascii="Times New Roman" w:hAnsi="Times New Roman" w:cs="Times New Roman"/>
          <w:sz w:val="24"/>
          <w:szCs w:val="24"/>
        </w:rPr>
        <w:t>.  Data are provided for the autumn (March, April, May) and winter (June, July, August)</w:t>
      </w:r>
      <w:r w:rsidRPr="00355C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preceding the moth activity season, spring (September, October, November) at the start of the moth activity season, and summer (December, January, February) at the end of the activity season.  </w:t>
      </w:r>
    </w:p>
    <w:p w:rsidR="004864FF" w:rsidRDefault="004864F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864FF" w:rsidRDefault="004864FF" w:rsidP="004864FF">
      <w:pPr>
        <w:rPr>
          <w:rFonts w:ascii="Times New Roman" w:hAnsi="Times New Roman" w:cs="Times New Roman"/>
          <w:sz w:val="24"/>
          <w:szCs w:val="24"/>
        </w:rPr>
      </w:pPr>
    </w:p>
    <w:p w:rsidR="005E4352" w:rsidRDefault="005E4352" w:rsidP="005E4352">
      <w:pPr>
        <w:rPr>
          <w:rFonts w:ascii="Times New Roman" w:hAnsi="Times New Roman" w:cs="Times New Roman"/>
          <w:b/>
          <w:sz w:val="24"/>
          <w:szCs w:val="24"/>
        </w:rPr>
      </w:pPr>
    </w:p>
    <w:p w:rsidR="005E4352" w:rsidRDefault="005E4352" w:rsidP="005E4352">
      <w:pPr>
        <w:rPr>
          <w:rFonts w:ascii="Times New Roman" w:hAnsi="Times New Roman" w:cs="Times New Roman"/>
          <w:b/>
          <w:sz w:val="24"/>
          <w:szCs w:val="24"/>
        </w:rPr>
      </w:pPr>
      <w:r w:rsidRPr="00E70C6E">
        <w:rPr>
          <w:rFonts w:ascii="Times New Roman" w:hAnsi="Times New Roman" w:cs="Times New Roman"/>
          <w:b/>
          <w:noProof/>
          <w:sz w:val="24"/>
          <w:szCs w:val="24"/>
          <w:lang w:eastAsia="en-AU"/>
        </w:rPr>
        <w:drawing>
          <wp:inline distT="0" distB="0" distL="0" distR="0" wp14:anchorId="3ACC5F0A" wp14:editId="4D66E40A">
            <wp:extent cx="5731510" cy="3492180"/>
            <wp:effectExtent l="19050" t="0" r="21590" b="0"/>
            <wp:docPr id="9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13E9B" w:rsidRDefault="00DC15C0" w:rsidP="00713E9B">
      <w:pPr>
        <w:rPr>
          <w:rFonts w:ascii="Times New Roman" w:hAnsi="Times New Roman" w:cs="Times New Roman"/>
          <w:sz w:val="24"/>
          <w:szCs w:val="24"/>
        </w:rPr>
      </w:pPr>
      <w:r w:rsidRPr="008D6007">
        <w:rPr>
          <w:rFonts w:ascii="Times New Roman" w:hAnsi="Times New Roman" w:cs="Times New Roman"/>
          <w:b/>
          <w:sz w:val="24"/>
          <w:szCs w:val="24"/>
        </w:rPr>
        <w:t>Fig. S5</w:t>
      </w:r>
      <w:r w:rsidR="005E4352" w:rsidRPr="008D6007">
        <w:rPr>
          <w:rFonts w:ascii="Times New Roman" w:hAnsi="Times New Roman" w:cs="Times New Roman"/>
          <w:b/>
          <w:sz w:val="24"/>
          <w:szCs w:val="24"/>
        </w:rPr>
        <w:t>.</w:t>
      </w:r>
      <w:r w:rsidR="005E4352">
        <w:rPr>
          <w:rFonts w:ascii="Times New Roman" w:hAnsi="Times New Roman" w:cs="Times New Roman"/>
          <w:sz w:val="24"/>
          <w:szCs w:val="24"/>
        </w:rPr>
        <w:t xml:space="preserve"> </w:t>
      </w:r>
      <w:r w:rsidR="00713E9B">
        <w:rPr>
          <w:rFonts w:ascii="Times New Roman" w:hAnsi="Times New Roman" w:cs="Times New Roman"/>
          <w:sz w:val="24"/>
          <w:szCs w:val="24"/>
        </w:rPr>
        <w:t xml:space="preserve"> </w:t>
      </w:r>
      <w:r w:rsidR="00713E9B" w:rsidRPr="00352735">
        <w:rPr>
          <w:rFonts w:ascii="Times New Roman" w:hAnsi="Times New Roman" w:cs="Times New Roman"/>
          <w:sz w:val="24"/>
          <w:szCs w:val="24"/>
        </w:rPr>
        <w:t xml:space="preserve">Hectares of </w:t>
      </w:r>
      <w:r w:rsidR="00713E9B">
        <w:rPr>
          <w:rFonts w:ascii="Times New Roman" w:hAnsi="Times New Roman" w:cs="Times New Roman"/>
          <w:sz w:val="24"/>
          <w:szCs w:val="24"/>
        </w:rPr>
        <w:t xml:space="preserve">canola, </w:t>
      </w:r>
      <w:r w:rsidR="00713E9B" w:rsidRPr="00352735">
        <w:rPr>
          <w:rFonts w:ascii="Times New Roman" w:hAnsi="Times New Roman" w:cs="Times New Roman"/>
          <w:sz w:val="24"/>
          <w:szCs w:val="24"/>
        </w:rPr>
        <w:t xml:space="preserve">chickpea, cotton and sorghum grown annually (1992 to </w:t>
      </w:r>
      <w:r w:rsidR="00713E9B">
        <w:rPr>
          <w:rFonts w:ascii="Times New Roman" w:hAnsi="Times New Roman" w:cs="Times New Roman"/>
          <w:sz w:val="24"/>
          <w:szCs w:val="24"/>
        </w:rPr>
        <w:t>2014</w:t>
      </w:r>
      <w:r w:rsidR="00713E9B" w:rsidRPr="00352735">
        <w:rPr>
          <w:rFonts w:ascii="Times New Roman" w:hAnsi="Times New Roman" w:cs="Times New Roman"/>
          <w:sz w:val="24"/>
          <w:szCs w:val="24"/>
        </w:rPr>
        <w:t>) in the Narrabri Statistical Local Areas (summed) of N.S.W.  Data provided by Neil Clark Business Intelligence</w:t>
      </w:r>
      <w:r w:rsidR="00713E9B">
        <w:rPr>
          <w:rFonts w:ascii="Times New Roman" w:hAnsi="Times New Roman" w:cs="Times New Roman"/>
          <w:sz w:val="24"/>
          <w:szCs w:val="24"/>
        </w:rPr>
        <w:t>.</w:t>
      </w:r>
      <w:r w:rsidR="00713E9B" w:rsidRPr="00F80010">
        <w:rPr>
          <w:rFonts w:ascii="Times New Roman" w:hAnsi="Times New Roman" w:cs="Times New Roman"/>
          <w:sz w:val="24"/>
          <w:szCs w:val="24"/>
        </w:rPr>
        <w:t xml:space="preserve"> </w:t>
      </w:r>
      <w:r w:rsidR="00713E9B">
        <w:rPr>
          <w:rFonts w:ascii="Times New Roman" w:hAnsi="Times New Roman" w:cs="Times New Roman"/>
          <w:sz w:val="24"/>
          <w:szCs w:val="24"/>
        </w:rPr>
        <w:t xml:space="preserve"> No data were available for chickpeas in 2007-08.</w:t>
      </w:r>
    </w:p>
    <w:p w:rsidR="005E4352" w:rsidRDefault="005E4352" w:rsidP="005E4352">
      <w:pPr>
        <w:rPr>
          <w:rFonts w:ascii="Times New Roman" w:hAnsi="Times New Roman" w:cs="Times New Roman"/>
          <w:sz w:val="24"/>
          <w:szCs w:val="24"/>
        </w:rPr>
      </w:pPr>
    </w:p>
    <w:p w:rsidR="005E4352" w:rsidRDefault="005E4352" w:rsidP="005E4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4352" w:rsidRDefault="005E4352" w:rsidP="005E4352">
      <w:pPr>
        <w:rPr>
          <w:rFonts w:ascii="Times New Roman" w:hAnsi="Times New Roman" w:cs="Times New Roman"/>
          <w:sz w:val="24"/>
          <w:szCs w:val="24"/>
        </w:rPr>
      </w:pPr>
      <w:r w:rsidRPr="00E70C6E">
        <w:rPr>
          <w:rFonts w:ascii="Times New Roman" w:hAnsi="Times New Roman" w:cs="Times New Roman"/>
          <w:noProof/>
          <w:sz w:val="24"/>
          <w:szCs w:val="24"/>
          <w:lang w:eastAsia="en-AU"/>
        </w:rPr>
        <w:lastRenderedPageBreak/>
        <w:drawing>
          <wp:inline distT="0" distB="0" distL="0" distR="0" wp14:anchorId="7F473290" wp14:editId="696BC3D5">
            <wp:extent cx="5731510" cy="3492180"/>
            <wp:effectExtent l="19050" t="0" r="21590" b="0"/>
            <wp:docPr id="11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13E9B" w:rsidRDefault="00DC15C0" w:rsidP="00713E9B">
      <w:pPr>
        <w:rPr>
          <w:rFonts w:ascii="Times New Roman" w:hAnsi="Times New Roman" w:cs="Times New Roman"/>
          <w:sz w:val="24"/>
          <w:szCs w:val="24"/>
        </w:rPr>
      </w:pPr>
      <w:r w:rsidRPr="008D6007">
        <w:rPr>
          <w:rFonts w:ascii="Times New Roman" w:hAnsi="Times New Roman" w:cs="Times New Roman"/>
          <w:b/>
          <w:sz w:val="24"/>
          <w:szCs w:val="24"/>
        </w:rPr>
        <w:t>Fig. S6</w:t>
      </w:r>
      <w:r w:rsidR="005E4352" w:rsidRPr="008D6007">
        <w:rPr>
          <w:rFonts w:ascii="Times New Roman" w:hAnsi="Times New Roman" w:cs="Times New Roman"/>
          <w:b/>
          <w:sz w:val="24"/>
          <w:szCs w:val="24"/>
        </w:rPr>
        <w:t>.</w:t>
      </w:r>
      <w:r w:rsidR="005E4352">
        <w:rPr>
          <w:rFonts w:ascii="Times New Roman" w:hAnsi="Times New Roman" w:cs="Times New Roman"/>
          <w:sz w:val="24"/>
          <w:szCs w:val="24"/>
        </w:rPr>
        <w:t xml:space="preserve"> </w:t>
      </w:r>
      <w:r w:rsidR="00713E9B">
        <w:rPr>
          <w:rFonts w:ascii="Times New Roman" w:hAnsi="Times New Roman" w:cs="Times New Roman"/>
          <w:sz w:val="24"/>
          <w:szCs w:val="24"/>
        </w:rPr>
        <w:t xml:space="preserve"> </w:t>
      </w:r>
      <w:r w:rsidR="00713E9B" w:rsidRPr="00352735">
        <w:rPr>
          <w:rFonts w:ascii="Times New Roman" w:hAnsi="Times New Roman" w:cs="Times New Roman"/>
          <w:sz w:val="24"/>
          <w:szCs w:val="24"/>
        </w:rPr>
        <w:t xml:space="preserve">Hectares of </w:t>
      </w:r>
      <w:r w:rsidR="00713E9B">
        <w:rPr>
          <w:rFonts w:ascii="Times New Roman" w:hAnsi="Times New Roman" w:cs="Times New Roman"/>
          <w:sz w:val="24"/>
          <w:szCs w:val="24"/>
        </w:rPr>
        <w:t xml:space="preserve">canola, </w:t>
      </w:r>
      <w:r w:rsidR="00713E9B" w:rsidRPr="00352735">
        <w:rPr>
          <w:rFonts w:ascii="Times New Roman" w:hAnsi="Times New Roman" w:cs="Times New Roman"/>
          <w:sz w:val="24"/>
          <w:szCs w:val="24"/>
        </w:rPr>
        <w:t>chickpea, cotton and sorghum grown annually (1992 to 201</w:t>
      </w:r>
      <w:r w:rsidR="00713E9B">
        <w:rPr>
          <w:rFonts w:ascii="Times New Roman" w:hAnsi="Times New Roman" w:cs="Times New Roman"/>
          <w:sz w:val="24"/>
          <w:szCs w:val="24"/>
        </w:rPr>
        <w:t>4</w:t>
      </w:r>
      <w:r w:rsidR="00713E9B" w:rsidRPr="00352735">
        <w:rPr>
          <w:rFonts w:ascii="Times New Roman" w:hAnsi="Times New Roman" w:cs="Times New Roman"/>
          <w:sz w:val="24"/>
          <w:szCs w:val="24"/>
        </w:rPr>
        <w:t xml:space="preserve">) in the </w:t>
      </w:r>
      <w:r w:rsidR="00713E9B">
        <w:rPr>
          <w:rFonts w:ascii="Times New Roman" w:hAnsi="Times New Roman" w:cs="Times New Roman"/>
          <w:sz w:val="24"/>
          <w:szCs w:val="24"/>
        </w:rPr>
        <w:t>Gunnedah</w:t>
      </w:r>
      <w:r w:rsidR="00713E9B" w:rsidRPr="00352735">
        <w:rPr>
          <w:rFonts w:ascii="Times New Roman" w:hAnsi="Times New Roman" w:cs="Times New Roman"/>
          <w:sz w:val="24"/>
          <w:szCs w:val="24"/>
        </w:rPr>
        <w:t xml:space="preserve"> Statistical Local Areas (summed) of N.S.W.  Data provided by Neil Clark Business Intelligence</w:t>
      </w:r>
      <w:r w:rsidR="00713E9B">
        <w:rPr>
          <w:rFonts w:ascii="Times New Roman" w:hAnsi="Times New Roman" w:cs="Times New Roman"/>
          <w:sz w:val="24"/>
          <w:szCs w:val="24"/>
        </w:rPr>
        <w:t>.</w:t>
      </w:r>
      <w:r w:rsidR="00713E9B" w:rsidRPr="00F80010">
        <w:rPr>
          <w:rFonts w:ascii="Times New Roman" w:hAnsi="Times New Roman" w:cs="Times New Roman"/>
          <w:sz w:val="24"/>
          <w:szCs w:val="24"/>
        </w:rPr>
        <w:t xml:space="preserve"> </w:t>
      </w:r>
      <w:r w:rsidR="00713E9B">
        <w:rPr>
          <w:rFonts w:ascii="Times New Roman" w:hAnsi="Times New Roman" w:cs="Times New Roman"/>
          <w:sz w:val="24"/>
          <w:szCs w:val="24"/>
        </w:rPr>
        <w:t xml:space="preserve"> No data were available for canola in 1996-97, nor for chickpeas in 2007-08.</w:t>
      </w:r>
    </w:p>
    <w:p w:rsidR="005E4352" w:rsidRPr="00473D90" w:rsidRDefault="005E4352" w:rsidP="005E4352">
      <w:pPr>
        <w:rPr>
          <w:rFonts w:ascii="Times New Roman" w:hAnsi="Times New Roman" w:cs="Times New Roman"/>
          <w:sz w:val="24"/>
          <w:szCs w:val="24"/>
        </w:rPr>
      </w:pPr>
    </w:p>
    <w:p w:rsidR="00FB33A1" w:rsidRDefault="00FB33A1"/>
    <w:sectPr w:rsidR="00FB33A1" w:rsidSect="00457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52"/>
    <w:rsid w:val="001627DD"/>
    <w:rsid w:val="004864FF"/>
    <w:rsid w:val="004A2E79"/>
    <w:rsid w:val="00567D47"/>
    <w:rsid w:val="00584995"/>
    <w:rsid w:val="005E4352"/>
    <w:rsid w:val="00713E9B"/>
    <w:rsid w:val="007B524D"/>
    <w:rsid w:val="00807A97"/>
    <w:rsid w:val="008D6007"/>
    <w:rsid w:val="00DC15C0"/>
    <w:rsid w:val="00EC1D91"/>
    <w:rsid w:val="00FB33A1"/>
    <w:rsid w:val="00FC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28A4A-287A-42C1-A7D0-7EC93177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3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1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ak094\Documents\TRAP%20HABITAT%20DESCRIP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ak094\Documents\TRAP%20HABITAT%20DESCRIP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ak094\Documents\GB%20Current%20Working%20Documents\Cotton%20Production%20&amp;%20Helicoverpa%20Catches%20(Narrabri)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ak094\Documents\GB%20Current%20Working%20Documents\Cotton%20Production%20&amp;%20Helicoverpa%20Catches%20(Narrabri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areaChart>
        <c:grouping val="stacked"/>
        <c:varyColors val="0"/>
        <c:ser>
          <c:idx val="0"/>
          <c:order val="0"/>
          <c:tx>
            <c:strRef>
              <c:f>Sheet1!$AD$45</c:f>
              <c:strCache>
                <c:ptCount val="1"/>
                <c:pt idx="0">
                  <c:v>Fallow</c:v>
                </c:pt>
              </c:strCache>
            </c:strRef>
          </c:tx>
          <c:spPr>
            <a:solidFill>
              <a:schemeClr val="tx1"/>
            </a:solidFill>
          </c:spPr>
          <c:cat>
            <c:strRef>
              <c:f>Sheet1!$AE$44:$BA$44</c:f>
              <c:strCache>
                <c:ptCount val="23"/>
                <c:pt idx="0">
                  <c:v>1992-93</c:v>
                </c:pt>
                <c:pt idx="1">
                  <c:v>1993-94</c:v>
                </c:pt>
                <c:pt idx="2">
                  <c:v>1994-95</c:v>
                </c:pt>
                <c:pt idx="3">
                  <c:v>1995-96</c:v>
                </c:pt>
                <c:pt idx="4">
                  <c:v>1996-97</c:v>
                </c:pt>
                <c:pt idx="5">
                  <c:v>1997-98</c:v>
                </c:pt>
                <c:pt idx="6">
                  <c:v>1998-99</c:v>
                </c:pt>
                <c:pt idx="7">
                  <c:v>1999-00</c:v>
                </c:pt>
                <c:pt idx="8">
                  <c:v>2000-01</c:v>
                </c:pt>
                <c:pt idx="9">
                  <c:v>2001-02</c:v>
                </c:pt>
                <c:pt idx="10">
                  <c:v>2002-03</c:v>
                </c:pt>
                <c:pt idx="11">
                  <c:v>2003-04</c:v>
                </c:pt>
                <c:pt idx="12">
                  <c:v>2004-05</c:v>
                </c:pt>
                <c:pt idx="13">
                  <c:v>2005-06</c:v>
                </c:pt>
                <c:pt idx="14">
                  <c:v>2006-07</c:v>
                </c:pt>
                <c:pt idx="15">
                  <c:v>2007-08</c:v>
                </c:pt>
                <c:pt idx="16">
                  <c:v>2008-09</c:v>
                </c:pt>
                <c:pt idx="17">
                  <c:v>2009-10</c:v>
                </c:pt>
                <c:pt idx="18">
                  <c:v>2010-11</c:v>
                </c:pt>
                <c:pt idx="19">
                  <c:v>2011-12</c:v>
                </c:pt>
                <c:pt idx="20">
                  <c:v>2012-13</c:v>
                </c:pt>
                <c:pt idx="21">
                  <c:v>2013-14</c:v>
                </c:pt>
                <c:pt idx="22">
                  <c:v>2014-15</c:v>
                </c:pt>
              </c:strCache>
            </c:strRef>
          </c:cat>
          <c:val>
            <c:numRef>
              <c:f>Sheet1!$AE$45:$BA$45</c:f>
              <c:numCache>
                <c:formatCode>General</c:formatCode>
                <c:ptCount val="23"/>
                <c:pt idx="0">
                  <c:v>57</c:v>
                </c:pt>
                <c:pt idx="1">
                  <c:v>29</c:v>
                </c:pt>
                <c:pt idx="2">
                  <c:v>67</c:v>
                </c:pt>
                <c:pt idx="3">
                  <c:v>39</c:v>
                </c:pt>
                <c:pt idx="4">
                  <c:v>39</c:v>
                </c:pt>
                <c:pt idx="5">
                  <c:v>50</c:v>
                </c:pt>
                <c:pt idx="6">
                  <c:v>44</c:v>
                </c:pt>
                <c:pt idx="7">
                  <c:v>41</c:v>
                </c:pt>
                <c:pt idx="8">
                  <c:v>55</c:v>
                </c:pt>
                <c:pt idx="9">
                  <c:v>41</c:v>
                </c:pt>
                <c:pt idx="10">
                  <c:v>59</c:v>
                </c:pt>
                <c:pt idx="11">
                  <c:v>45</c:v>
                </c:pt>
                <c:pt idx="12">
                  <c:v>55</c:v>
                </c:pt>
                <c:pt idx="13">
                  <c:v>55</c:v>
                </c:pt>
                <c:pt idx="14">
                  <c:v>50</c:v>
                </c:pt>
                <c:pt idx="15">
                  <c:v>27</c:v>
                </c:pt>
                <c:pt idx="16">
                  <c:v>50</c:v>
                </c:pt>
                <c:pt idx="17">
                  <c:v>27</c:v>
                </c:pt>
                <c:pt idx="18">
                  <c:v>32</c:v>
                </c:pt>
                <c:pt idx="19">
                  <c:v>46</c:v>
                </c:pt>
                <c:pt idx="20">
                  <c:v>29</c:v>
                </c:pt>
                <c:pt idx="21">
                  <c:v>46</c:v>
                </c:pt>
                <c:pt idx="22">
                  <c:v>29</c:v>
                </c:pt>
              </c:numCache>
            </c:numRef>
          </c:val>
        </c:ser>
        <c:ser>
          <c:idx val="1"/>
          <c:order val="1"/>
          <c:tx>
            <c:strRef>
              <c:f>Sheet1!$AD$46</c:f>
              <c:strCache>
                <c:ptCount val="1"/>
                <c:pt idx="0">
                  <c:v>Wheat</c:v>
                </c:pt>
              </c:strCache>
            </c:strRef>
          </c:tx>
          <c:spPr>
            <a:solidFill>
              <a:schemeClr val="bg2"/>
            </a:solidFill>
          </c:spPr>
          <c:cat>
            <c:strRef>
              <c:f>Sheet1!$AE$44:$BA$44</c:f>
              <c:strCache>
                <c:ptCount val="23"/>
                <c:pt idx="0">
                  <c:v>1992-93</c:v>
                </c:pt>
                <c:pt idx="1">
                  <c:v>1993-94</c:v>
                </c:pt>
                <c:pt idx="2">
                  <c:v>1994-95</c:v>
                </c:pt>
                <c:pt idx="3">
                  <c:v>1995-96</c:v>
                </c:pt>
                <c:pt idx="4">
                  <c:v>1996-97</c:v>
                </c:pt>
                <c:pt idx="5">
                  <c:v>1997-98</c:v>
                </c:pt>
                <c:pt idx="6">
                  <c:v>1998-99</c:v>
                </c:pt>
                <c:pt idx="7">
                  <c:v>1999-00</c:v>
                </c:pt>
                <c:pt idx="8">
                  <c:v>2000-01</c:v>
                </c:pt>
                <c:pt idx="9">
                  <c:v>2001-02</c:v>
                </c:pt>
                <c:pt idx="10">
                  <c:v>2002-03</c:v>
                </c:pt>
                <c:pt idx="11">
                  <c:v>2003-04</c:v>
                </c:pt>
                <c:pt idx="12">
                  <c:v>2004-05</c:v>
                </c:pt>
                <c:pt idx="13">
                  <c:v>2005-06</c:v>
                </c:pt>
                <c:pt idx="14">
                  <c:v>2006-07</c:v>
                </c:pt>
                <c:pt idx="15">
                  <c:v>2007-08</c:v>
                </c:pt>
                <c:pt idx="16">
                  <c:v>2008-09</c:v>
                </c:pt>
                <c:pt idx="17">
                  <c:v>2009-10</c:v>
                </c:pt>
                <c:pt idx="18">
                  <c:v>2010-11</c:v>
                </c:pt>
                <c:pt idx="19">
                  <c:v>2011-12</c:v>
                </c:pt>
                <c:pt idx="20">
                  <c:v>2012-13</c:v>
                </c:pt>
                <c:pt idx="21">
                  <c:v>2013-14</c:v>
                </c:pt>
                <c:pt idx="22">
                  <c:v>2014-15</c:v>
                </c:pt>
              </c:strCache>
            </c:strRef>
          </c:cat>
          <c:val>
            <c:numRef>
              <c:f>Sheet1!$AE$46:$BA$46</c:f>
              <c:numCache>
                <c:formatCode>General</c:formatCode>
                <c:ptCount val="23"/>
                <c:pt idx="0">
                  <c:v>29</c:v>
                </c:pt>
                <c:pt idx="1">
                  <c:v>43</c:v>
                </c:pt>
                <c:pt idx="2">
                  <c:v>6</c:v>
                </c:pt>
                <c:pt idx="3">
                  <c:v>28</c:v>
                </c:pt>
                <c:pt idx="4">
                  <c:v>39</c:v>
                </c:pt>
                <c:pt idx="5">
                  <c:v>44</c:v>
                </c:pt>
                <c:pt idx="6">
                  <c:v>38</c:v>
                </c:pt>
                <c:pt idx="7">
                  <c:v>45</c:v>
                </c:pt>
                <c:pt idx="8">
                  <c:v>18</c:v>
                </c:pt>
                <c:pt idx="9">
                  <c:v>36</c:v>
                </c:pt>
                <c:pt idx="10">
                  <c:v>23</c:v>
                </c:pt>
                <c:pt idx="11">
                  <c:v>36</c:v>
                </c:pt>
                <c:pt idx="12">
                  <c:v>14</c:v>
                </c:pt>
                <c:pt idx="13">
                  <c:v>27</c:v>
                </c:pt>
                <c:pt idx="14">
                  <c:v>36</c:v>
                </c:pt>
                <c:pt idx="15">
                  <c:v>45</c:v>
                </c:pt>
                <c:pt idx="16">
                  <c:v>32</c:v>
                </c:pt>
                <c:pt idx="17">
                  <c:v>36</c:v>
                </c:pt>
                <c:pt idx="18">
                  <c:v>21</c:v>
                </c:pt>
                <c:pt idx="19">
                  <c:v>25</c:v>
                </c:pt>
                <c:pt idx="20">
                  <c:v>39</c:v>
                </c:pt>
                <c:pt idx="21">
                  <c:v>18</c:v>
                </c:pt>
                <c:pt idx="22">
                  <c:v>39</c:v>
                </c:pt>
              </c:numCache>
            </c:numRef>
          </c:val>
        </c:ser>
        <c:ser>
          <c:idx val="2"/>
          <c:order val="2"/>
          <c:tx>
            <c:strRef>
              <c:f>Sheet1!$AD$47</c:f>
              <c:strCache>
                <c:ptCount val="1"/>
                <c:pt idx="0">
                  <c:v>Verge</c:v>
                </c:pt>
              </c:strCache>
            </c:strRef>
          </c:tx>
          <c:spPr>
            <a:solidFill>
              <a:srgbClr val="969696"/>
            </a:solidFill>
          </c:spPr>
          <c:cat>
            <c:strRef>
              <c:f>Sheet1!$AE$44:$BA$44</c:f>
              <c:strCache>
                <c:ptCount val="23"/>
                <c:pt idx="0">
                  <c:v>1992-93</c:v>
                </c:pt>
                <c:pt idx="1">
                  <c:v>1993-94</c:v>
                </c:pt>
                <c:pt idx="2">
                  <c:v>1994-95</c:v>
                </c:pt>
                <c:pt idx="3">
                  <c:v>1995-96</c:v>
                </c:pt>
                <c:pt idx="4">
                  <c:v>1996-97</c:v>
                </c:pt>
                <c:pt idx="5">
                  <c:v>1997-98</c:v>
                </c:pt>
                <c:pt idx="6">
                  <c:v>1998-99</c:v>
                </c:pt>
                <c:pt idx="7">
                  <c:v>1999-00</c:v>
                </c:pt>
                <c:pt idx="8">
                  <c:v>2000-01</c:v>
                </c:pt>
                <c:pt idx="9">
                  <c:v>2001-02</c:v>
                </c:pt>
                <c:pt idx="10">
                  <c:v>2002-03</c:v>
                </c:pt>
                <c:pt idx="11">
                  <c:v>2003-04</c:v>
                </c:pt>
                <c:pt idx="12">
                  <c:v>2004-05</c:v>
                </c:pt>
                <c:pt idx="13">
                  <c:v>2005-06</c:v>
                </c:pt>
                <c:pt idx="14">
                  <c:v>2006-07</c:v>
                </c:pt>
                <c:pt idx="15">
                  <c:v>2007-08</c:v>
                </c:pt>
                <c:pt idx="16">
                  <c:v>2008-09</c:v>
                </c:pt>
                <c:pt idx="17">
                  <c:v>2009-10</c:v>
                </c:pt>
                <c:pt idx="18">
                  <c:v>2010-11</c:v>
                </c:pt>
                <c:pt idx="19">
                  <c:v>2011-12</c:v>
                </c:pt>
                <c:pt idx="20">
                  <c:v>2012-13</c:v>
                </c:pt>
                <c:pt idx="21">
                  <c:v>2013-14</c:v>
                </c:pt>
                <c:pt idx="22">
                  <c:v>2014-15</c:v>
                </c:pt>
              </c:strCache>
            </c:strRef>
          </c:cat>
          <c:val>
            <c:numRef>
              <c:f>Sheet1!$AE$47:$BA$47</c:f>
              <c:numCache>
                <c:formatCode>General</c:formatCode>
                <c:ptCount val="23"/>
                <c:pt idx="0">
                  <c:v>7</c:v>
                </c:pt>
                <c:pt idx="1">
                  <c:v>21</c:v>
                </c:pt>
                <c:pt idx="2">
                  <c:v>17</c:v>
                </c:pt>
                <c:pt idx="3">
                  <c:v>6</c:v>
                </c:pt>
                <c:pt idx="4">
                  <c:v>11</c:v>
                </c:pt>
                <c:pt idx="5">
                  <c:v>6</c:v>
                </c:pt>
                <c:pt idx="6">
                  <c:v>6</c:v>
                </c:pt>
                <c:pt idx="7">
                  <c:v>14</c:v>
                </c:pt>
                <c:pt idx="8">
                  <c:v>18</c:v>
                </c:pt>
                <c:pt idx="9">
                  <c:v>18</c:v>
                </c:pt>
                <c:pt idx="10">
                  <c:v>18</c:v>
                </c:pt>
                <c:pt idx="11">
                  <c:v>18</c:v>
                </c:pt>
                <c:pt idx="12">
                  <c:v>18</c:v>
                </c:pt>
                <c:pt idx="13">
                  <c:v>18</c:v>
                </c:pt>
                <c:pt idx="14">
                  <c:v>14</c:v>
                </c:pt>
                <c:pt idx="15">
                  <c:v>18</c:v>
                </c:pt>
                <c:pt idx="16">
                  <c:v>14</c:v>
                </c:pt>
                <c:pt idx="17">
                  <c:v>18</c:v>
                </c:pt>
                <c:pt idx="18">
                  <c:v>25</c:v>
                </c:pt>
                <c:pt idx="19">
                  <c:v>21</c:v>
                </c:pt>
                <c:pt idx="20">
                  <c:v>18</c:v>
                </c:pt>
                <c:pt idx="21">
                  <c:v>18</c:v>
                </c:pt>
                <c:pt idx="22">
                  <c:v>21</c:v>
                </c:pt>
              </c:numCache>
            </c:numRef>
          </c:val>
        </c:ser>
        <c:ser>
          <c:idx val="3"/>
          <c:order val="3"/>
          <c:tx>
            <c:strRef>
              <c:f>Sheet1!$AD$48</c:f>
              <c:strCache>
                <c:ptCount val="1"/>
                <c:pt idx="0">
                  <c:v>Other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</c:spPr>
          <c:cat>
            <c:strRef>
              <c:f>Sheet1!$AE$44:$BA$44</c:f>
              <c:strCache>
                <c:ptCount val="23"/>
                <c:pt idx="0">
                  <c:v>1992-93</c:v>
                </c:pt>
                <c:pt idx="1">
                  <c:v>1993-94</c:v>
                </c:pt>
                <c:pt idx="2">
                  <c:v>1994-95</c:v>
                </c:pt>
                <c:pt idx="3">
                  <c:v>1995-96</c:v>
                </c:pt>
                <c:pt idx="4">
                  <c:v>1996-97</c:v>
                </c:pt>
                <c:pt idx="5">
                  <c:v>1997-98</c:v>
                </c:pt>
                <c:pt idx="6">
                  <c:v>1998-99</c:v>
                </c:pt>
                <c:pt idx="7">
                  <c:v>1999-00</c:v>
                </c:pt>
                <c:pt idx="8">
                  <c:v>2000-01</c:v>
                </c:pt>
                <c:pt idx="9">
                  <c:v>2001-02</c:v>
                </c:pt>
                <c:pt idx="10">
                  <c:v>2002-03</c:v>
                </c:pt>
                <c:pt idx="11">
                  <c:v>2003-04</c:v>
                </c:pt>
                <c:pt idx="12">
                  <c:v>2004-05</c:v>
                </c:pt>
                <c:pt idx="13">
                  <c:v>2005-06</c:v>
                </c:pt>
                <c:pt idx="14">
                  <c:v>2006-07</c:v>
                </c:pt>
                <c:pt idx="15">
                  <c:v>2007-08</c:v>
                </c:pt>
                <c:pt idx="16">
                  <c:v>2008-09</c:v>
                </c:pt>
                <c:pt idx="17">
                  <c:v>2009-10</c:v>
                </c:pt>
                <c:pt idx="18">
                  <c:v>2010-11</c:v>
                </c:pt>
                <c:pt idx="19">
                  <c:v>2011-12</c:v>
                </c:pt>
                <c:pt idx="20">
                  <c:v>2012-13</c:v>
                </c:pt>
                <c:pt idx="21">
                  <c:v>2013-14</c:v>
                </c:pt>
                <c:pt idx="22">
                  <c:v>2014-15</c:v>
                </c:pt>
              </c:strCache>
            </c:strRef>
          </c:cat>
          <c:val>
            <c:numRef>
              <c:f>Sheet1!$AE$48:$BA$48</c:f>
              <c:numCache>
                <c:formatCode>General</c:formatCode>
                <c:ptCount val="23"/>
                <c:pt idx="0">
                  <c:v>7</c:v>
                </c:pt>
                <c:pt idx="1">
                  <c:v>7</c:v>
                </c:pt>
                <c:pt idx="2">
                  <c:v>10</c:v>
                </c:pt>
                <c:pt idx="3">
                  <c:v>27</c:v>
                </c:pt>
                <c:pt idx="4">
                  <c:v>11</c:v>
                </c:pt>
                <c:pt idx="5">
                  <c:v>0</c:v>
                </c:pt>
                <c:pt idx="6">
                  <c:v>12</c:v>
                </c:pt>
                <c:pt idx="7">
                  <c:v>0</c:v>
                </c:pt>
                <c:pt idx="8">
                  <c:v>9</c:v>
                </c:pt>
                <c:pt idx="9">
                  <c:v>5</c:v>
                </c:pt>
                <c:pt idx="10">
                  <c:v>0</c:v>
                </c:pt>
                <c:pt idx="11">
                  <c:v>1</c:v>
                </c:pt>
                <c:pt idx="12">
                  <c:v>13</c:v>
                </c:pt>
                <c:pt idx="13">
                  <c:v>0</c:v>
                </c:pt>
                <c:pt idx="14">
                  <c:v>0</c:v>
                </c:pt>
                <c:pt idx="15">
                  <c:v>10</c:v>
                </c:pt>
                <c:pt idx="16">
                  <c:v>4</c:v>
                </c:pt>
                <c:pt idx="17">
                  <c:v>19</c:v>
                </c:pt>
                <c:pt idx="18">
                  <c:v>22</c:v>
                </c:pt>
                <c:pt idx="19">
                  <c:v>8</c:v>
                </c:pt>
                <c:pt idx="20">
                  <c:v>14</c:v>
                </c:pt>
                <c:pt idx="21">
                  <c:v>18</c:v>
                </c:pt>
                <c:pt idx="2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9537160"/>
        <c:axId val="309536768"/>
      </c:areaChart>
      <c:catAx>
        <c:axId val="3095371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400" b="1"/>
                </a:pPr>
                <a:r>
                  <a:rPr lang="en-AU" sz="1400" b="1"/>
                  <a:t>Years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txPr>
          <a:bodyPr rot="-2700000"/>
          <a:lstStyle/>
          <a:p>
            <a:pPr>
              <a:defRPr sz="1000" b="1"/>
            </a:pPr>
            <a:endParaRPr lang="en-US"/>
          </a:p>
        </c:txPr>
        <c:crossAx val="309536768"/>
        <c:crosses val="autoZero"/>
        <c:auto val="1"/>
        <c:lblAlgn val="ctr"/>
        <c:lblOffset val="100"/>
        <c:noMultiLvlLbl val="0"/>
      </c:catAx>
      <c:valAx>
        <c:axId val="309536768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400"/>
                </a:pPr>
                <a:r>
                  <a:rPr lang="en-AU" sz="1400"/>
                  <a:t>Local</a:t>
                </a:r>
                <a:r>
                  <a:rPr lang="en-AU" sz="1400" baseline="0"/>
                  <a:t> Habitat Frequencies (%)</a:t>
                </a:r>
                <a:endParaRPr lang="en-AU" sz="1400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en-US"/>
          </a:p>
        </c:txPr>
        <c:crossAx val="309537160"/>
        <c:crosses val="autoZero"/>
        <c:crossBetween val="midCat"/>
      </c:valAx>
    </c:plotArea>
    <c:legend>
      <c:legendPos val="r"/>
      <c:overlay val="0"/>
      <c:txPr>
        <a:bodyPr/>
        <a:lstStyle/>
        <a:p>
          <a:pPr>
            <a:defRPr sz="1200" b="1"/>
          </a:pPr>
          <a:endParaRPr lang="en-US"/>
        </a:p>
      </c:txPr>
    </c:legend>
    <c:plotVisOnly val="1"/>
    <c:dispBlanksAs val="zero"/>
    <c:showDLblsOverMax val="0"/>
  </c:chart>
  <c:spPr>
    <a:noFill/>
    <a:ln>
      <a:solidFill>
        <a:sysClr val="windowText" lastClr="000000"/>
      </a:solidFill>
    </a:ln>
  </c:spPr>
  <c:txPr>
    <a:bodyPr/>
    <a:lstStyle/>
    <a:p>
      <a:pPr>
        <a:defRPr>
          <a:ln>
            <a:noFill/>
          </a:ln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areaChart>
        <c:grouping val="stacked"/>
        <c:varyColors val="0"/>
        <c:ser>
          <c:idx val="0"/>
          <c:order val="0"/>
          <c:tx>
            <c:strRef>
              <c:f>Sheet1!$AD$50</c:f>
              <c:strCache>
                <c:ptCount val="1"/>
                <c:pt idx="0">
                  <c:v>Cotton</c:v>
                </c:pt>
              </c:strCache>
            </c:strRef>
          </c:tx>
          <c:spPr>
            <a:solidFill>
              <a:schemeClr val="bg2"/>
            </a:solidFill>
          </c:spPr>
          <c:cat>
            <c:strRef>
              <c:f>Sheet1!$AE$49:$BA$49</c:f>
              <c:strCache>
                <c:ptCount val="23"/>
                <c:pt idx="0">
                  <c:v>1992-93</c:v>
                </c:pt>
                <c:pt idx="1">
                  <c:v>1993-94</c:v>
                </c:pt>
                <c:pt idx="2">
                  <c:v>1994-95</c:v>
                </c:pt>
                <c:pt idx="3">
                  <c:v>1995-96</c:v>
                </c:pt>
                <c:pt idx="4">
                  <c:v>1996-97</c:v>
                </c:pt>
                <c:pt idx="5">
                  <c:v>1997-98</c:v>
                </c:pt>
                <c:pt idx="6">
                  <c:v>1998-99</c:v>
                </c:pt>
                <c:pt idx="7">
                  <c:v>1999-00</c:v>
                </c:pt>
                <c:pt idx="8">
                  <c:v>2000-01</c:v>
                </c:pt>
                <c:pt idx="9">
                  <c:v>2001-02</c:v>
                </c:pt>
                <c:pt idx="10">
                  <c:v>2002-03</c:v>
                </c:pt>
                <c:pt idx="11">
                  <c:v>2003-04</c:v>
                </c:pt>
                <c:pt idx="12">
                  <c:v>2004-05</c:v>
                </c:pt>
                <c:pt idx="13">
                  <c:v>2005-06</c:v>
                </c:pt>
                <c:pt idx="14">
                  <c:v>2006-07</c:v>
                </c:pt>
                <c:pt idx="15">
                  <c:v>2007-08</c:v>
                </c:pt>
                <c:pt idx="16">
                  <c:v>2008-09</c:v>
                </c:pt>
                <c:pt idx="17">
                  <c:v>2009-10</c:v>
                </c:pt>
                <c:pt idx="18">
                  <c:v>2010-11</c:v>
                </c:pt>
                <c:pt idx="19">
                  <c:v>2011-12</c:v>
                </c:pt>
                <c:pt idx="20">
                  <c:v>2012-13</c:v>
                </c:pt>
                <c:pt idx="21">
                  <c:v>2013-14</c:v>
                </c:pt>
                <c:pt idx="22">
                  <c:v>2014-15</c:v>
                </c:pt>
              </c:strCache>
            </c:strRef>
          </c:cat>
          <c:val>
            <c:numRef>
              <c:f>Sheet1!$AE$50:$BA$50</c:f>
              <c:numCache>
                <c:formatCode>General</c:formatCode>
                <c:ptCount val="23"/>
                <c:pt idx="0">
                  <c:v>64</c:v>
                </c:pt>
                <c:pt idx="1">
                  <c:v>36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  <c:pt idx="6">
                  <c:v>50</c:v>
                </c:pt>
                <c:pt idx="7">
                  <c:v>45</c:v>
                </c:pt>
                <c:pt idx="8">
                  <c:v>55</c:v>
                </c:pt>
                <c:pt idx="9">
                  <c:v>45</c:v>
                </c:pt>
                <c:pt idx="10">
                  <c:v>41</c:v>
                </c:pt>
                <c:pt idx="11">
                  <c:v>27</c:v>
                </c:pt>
                <c:pt idx="12">
                  <c:v>50</c:v>
                </c:pt>
                <c:pt idx="13">
                  <c:v>41</c:v>
                </c:pt>
                <c:pt idx="14">
                  <c:v>27</c:v>
                </c:pt>
                <c:pt idx="15">
                  <c:v>9</c:v>
                </c:pt>
                <c:pt idx="16">
                  <c:v>18</c:v>
                </c:pt>
                <c:pt idx="17">
                  <c:v>25</c:v>
                </c:pt>
                <c:pt idx="18">
                  <c:v>43</c:v>
                </c:pt>
                <c:pt idx="19">
                  <c:v>43</c:v>
                </c:pt>
                <c:pt idx="20">
                  <c:v>32</c:v>
                </c:pt>
                <c:pt idx="21">
                  <c:v>46</c:v>
                </c:pt>
                <c:pt idx="22">
                  <c:v>18</c:v>
                </c:pt>
              </c:numCache>
            </c:numRef>
          </c:val>
        </c:ser>
        <c:ser>
          <c:idx val="1"/>
          <c:order val="1"/>
          <c:tx>
            <c:strRef>
              <c:f>Sheet1!$AD$51</c:f>
              <c:strCache>
                <c:ptCount val="1"/>
                <c:pt idx="0">
                  <c:v>Fallow</c:v>
                </c:pt>
              </c:strCache>
            </c:strRef>
          </c:tx>
          <c:spPr>
            <a:solidFill>
              <a:schemeClr val="tx1"/>
            </a:solidFill>
          </c:spPr>
          <c:cat>
            <c:strRef>
              <c:f>Sheet1!$AE$49:$BA$49</c:f>
              <c:strCache>
                <c:ptCount val="23"/>
                <c:pt idx="0">
                  <c:v>1992-93</c:v>
                </c:pt>
                <c:pt idx="1">
                  <c:v>1993-94</c:v>
                </c:pt>
                <c:pt idx="2">
                  <c:v>1994-95</c:v>
                </c:pt>
                <c:pt idx="3">
                  <c:v>1995-96</c:v>
                </c:pt>
                <c:pt idx="4">
                  <c:v>1996-97</c:v>
                </c:pt>
                <c:pt idx="5">
                  <c:v>1997-98</c:v>
                </c:pt>
                <c:pt idx="6">
                  <c:v>1998-99</c:v>
                </c:pt>
                <c:pt idx="7">
                  <c:v>1999-00</c:v>
                </c:pt>
                <c:pt idx="8">
                  <c:v>2000-01</c:v>
                </c:pt>
                <c:pt idx="9">
                  <c:v>2001-02</c:v>
                </c:pt>
                <c:pt idx="10">
                  <c:v>2002-03</c:v>
                </c:pt>
                <c:pt idx="11">
                  <c:v>2003-04</c:v>
                </c:pt>
                <c:pt idx="12">
                  <c:v>2004-05</c:v>
                </c:pt>
                <c:pt idx="13">
                  <c:v>2005-06</c:v>
                </c:pt>
                <c:pt idx="14">
                  <c:v>2006-07</c:v>
                </c:pt>
                <c:pt idx="15">
                  <c:v>2007-08</c:v>
                </c:pt>
                <c:pt idx="16">
                  <c:v>2008-09</c:v>
                </c:pt>
                <c:pt idx="17">
                  <c:v>2009-10</c:v>
                </c:pt>
                <c:pt idx="18">
                  <c:v>2010-11</c:v>
                </c:pt>
                <c:pt idx="19">
                  <c:v>2011-12</c:v>
                </c:pt>
                <c:pt idx="20">
                  <c:v>2012-13</c:v>
                </c:pt>
                <c:pt idx="21">
                  <c:v>2013-14</c:v>
                </c:pt>
                <c:pt idx="22">
                  <c:v>2014-15</c:v>
                </c:pt>
              </c:strCache>
            </c:strRef>
          </c:cat>
          <c:val>
            <c:numRef>
              <c:f>Sheet1!$AE$51:$BA$51</c:f>
              <c:numCache>
                <c:formatCode>General</c:formatCode>
                <c:ptCount val="23"/>
                <c:pt idx="0">
                  <c:v>0</c:v>
                </c:pt>
                <c:pt idx="1">
                  <c:v>0</c:v>
                </c:pt>
                <c:pt idx="2">
                  <c:v>28</c:v>
                </c:pt>
                <c:pt idx="3">
                  <c:v>11</c:v>
                </c:pt>
                <c:pt idx="4">
                  <c:v>28</c:v>
                </c:pt>
                <c:pt idx="5">
                  <c:v>39</c:v>
                </c:pt>
                <c:pt idx="6">
                  <c:v>6</c:v>
                </c:pt>
                <c:pt idx="7">
                  <c:v>27</c:v>
                </c:pt>
                <c:pt idx="8">
                  <c:v>18</c:v>
                </c:pt>
                <c:pt idx="9">
                  <c:v>5</c:v>
                </c:pt>
                <c:pt idx="10">
                  <c:v>32</c:v>
                </c:pt>
                <c:pt idx="11">
                  <c:v>36</c:v>
                </c:pt>
                <c:pt idx="12">
                  <c:v>32</c:v>
                </c:pt>
                <c:pt idx="13">
                  <c:v>27</c:v>
                </c:pt>
                <c:pt idx="14">
                  <c:v>41</c:v>
                </c:pt>
                <c:pt idx="15">
                  <c:v>41</c:v>
                </c:pt>
                <c:pt idx="16">
                  <c:v>41</c:v>
                </c:pt>
                <c:pt idx="17">
                  <c:v>29</c:v>
                </c:pt>
                <c:pt idx="18">
                  <c:v>29</c:v>
                </c:pt>
                <c:pt idx="19">
                  <c:v>21</c:v>
                </c:pt>
                <c:pt idx="20">
                  <c:v>32</c:v>
                </c:pt>
                <c:pt idx="21">
                  <c:v>32</c:v>
                </c:pt>
                <c:pt idx="22">
                  <c:v>18</c:v>
                </c:pt>
              </c:numCache>
            </c:numRef>
          </c:val>
        </c:ser>
        <c:ser>
          <c:idx val="2"/>
          <c:order val="2"/>
          <c:tx>
            <c:strRef>
              <c:f>Sheet1!$AD$52</c:f>
              <c:strCache>
                <c:ptCount val="1"/>
                <c:pt idx="0">
                  <c:v>Verge</c:v>
                </c:pt>
              </c:strCache>
            </c:strRef>
          </c:tx>
          <c:spPr>
            <a:solidFill>
              <a:srgbClr val="969696"/>
            </a:solidFill>
          </c:spPr>
          <c:cat>
            <c:strRef>
              <c:f>Sheet1!$AE$49:$BA$49</c:f>
              <c:strCache>
                <c:ptCount val="23"/>
                <c:pt idx="0">
                  <c:v>1992-93</c:v>
                </c:pt>
                <c:pt idx="1">
                  <c:v>1993-94</c:v>
                </c:pt>
                <c:pt idx="2">
                  <c:v>1994-95</c:v>
                </c:pt>
                <c:pt idx="3">
                  <c:v>1995-96</c:v>
                </c:pt>
                <c:pt idx="4">
                  <c:v>1996-97</c:v>
                </c:pt>
                <c:pt idx="5">
                  <c:v>1997-98</c:v>
                </c:pt>
                <c:pt idx="6">
                  <c:v>1998-99</c:v>
                </c:pt>
                <c:pt idx="7">
                  <c:v>1999-00</c:v>
                </c:pt>
                <c:pt idx="8">
                  <c:v>2000-01</c:v>
                </c:pt>
                <c:pt idx="9">
                  <c:v>2001-02</c:v>
                </c:pt>
                <c:pt idx="10">
                  <c:v>2002-03</c:v>
                </c:pt>
                <c:pt idx="11">
                  <c:v>2003-04</c:v>
                </c:pt>
                <c:pt idx="12">
                  <c:v>2004-05</c:v>
                </c:pt>
                <c:pt idx="13">
                  <c:v>2005-06</c:v>
                </c:pt>
                <c:pt idx="14">
                  <c:v>2006-07</c:v>
                </c:pt>
                <c:pt idx="15">
                  <c:v>2007-08</c:v>
                </c:pt>
                <c:pt idx="16">
                  <c:v>2008-09</c:v>
                </c:pt>
                <c:pt idx="17">
                  <c:v>2009-10</c:v>
                </c:pt>
                <c:pt idx="18">
                  <c:v>2010-11</c:v>
                </c:pt>
                <c:pt idx="19">
                  <c:v>2011-12</c:v>
                </c:pt>
                <c:pt idx="20">
                  <c:v>2012-13</c:v>
                </c:pt>
                <c:pt idx="21">
                  <c:v>2013-14</c:v>
                </c:pt>
                <c:pt idx="22">
                  <c:v>2014-15</c:v>
                </c:pt>
              </c:strCache>
            </c:strRef>
          </c:cat>
          <c:val>
            <c:numRef>
              <c:f>Sheet1!$AE$52:$BA$52</c:f>
              <c:numCache>
                <c:formatCode>General</c:formatCode>
                <c:ptCount val="23"/>
                <c:pt idx="0">
                  <c:v>7</c:v>
                </c:pt>
                <c:pt idx="1">
                  <c:v>21</c:v>
                </c:pt>
                <c:pt idx="2">
                  <c:v>17</c:v>
                </c:pt>
                <c:pt idx="3">
                  <c:v>6</c:v>
                </c:pt>
                <c:pt idx="4">
                  <c:v>6</c:v>
                </c:pt>
                <c:pt idx="5">
                  <c:v>6</c:v>
                </c:pt>
                <c:pt idx="6">
                  <c:v>6</c:v>
                </c:pt>
                <c:pt idx="7">
                  <c:v>14</c:v>
                </c:pt>
                <c:pt idx="8">
                  <c:v>18</c:v>
                </c:pt>
                <c:pt idx="9">
                  <c:v>23</c:v>
                </c:pt>
                <c:pt idx="10">
                  <c:v>18</c:v>
                </c:pt>
                <c:pt idx="11">
                  <c:v>18</c:v>
                </c:pt>
                <c:pt idx="12">
                  <c:v>18</c:v>
                </c:pt>
                <c:pt idx="13">
                  <c:v>18</c:v>
                </c:pt>
                <c:pt idx="14">
                  <c:v>18</c:v>
                </c:pt>
                <c:pt idx="15">
                  <c:v>18</c:v>
                </c:pt>
                <c:pt idx="16">
                  <c:v>18</c:v>
                </c:pt>
                <c:pt idx="17">
                  <c:v>18</c:v>
                </c:pt>
                <c:pt idx="18">
                  <c:v>21</c:v>
                </c:pt>
                <c:pt idx="19">
                  <c:v>21</c:v>
                </c:pt>
                <c:pt idx="20">
                  <c:v>21</c:v>
                </c:pt>
                <c:pt idx="21">
                  <c:v>21</c:v>
                </c:pt>
                <c:pt idx="22">
                  <c:v>21</c:v>
                </c:pt>
              </c:numCache>
            </c:numRef>
          </c:val>
        </c:ser>
        <c:ser>
          <c:idx val="3"/>
          <c:order val="3"/>
          <c:tx>
            <c:strRef>
              <c:f>Sheet1!$AD$53</c:f>
              <c:strCache>
                <c:ptCount val="1"/>
                <c:pt idx="0">
                  <c:v>Other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</c:spPr>
          <c:cat>
            <c:strRef>
              <c:f>Sheet1!$AE$49:$BA$49</c:f>
              <c:strCache>
                <c:ptCount val="23"/>
                <c:pt idx="0">
                  <c:v>1992-93</c:v>
                </c:pt>
                <c:pt idx="1">
                  <c:v>1993-94</c:v>
                </c:pt>
                <c:pt idx="2">
                  <c:v>1994-95</c:v>
                </c:pt>
                <c:pt idx="3">
                  <c:v>1995-96</c:v>
                </c:pt>
                <c:pt idx="4">
                  <c:v>1996-97</c:v>
                </c:pt>
                <c:pt idx="5">
                  <c:v>1997-98</c:v>
                </c:pt>
                <c:pt idx="6">
                  <c:v>1998-99</c:v>
                </c:pt>
                <c:pt idx="7">
                  <c:v>1999-00</c:v>
                </c:pt>
                <c:pt idx="8">
                  <c:v>2000-01</c:v>
                </c:pt>
                <c:pt idx="9">
                  <c:v>2001-02</c:v>
                </c:pt>
                <c:pt idx="10">
                  <c:v>2002-03</c:v>
                </c:pt>
                <c:pt idx="11">
                  <c:v>2003-04</c:v>
                </c:pt>
                <c:pt idx="12">
                  <c:v>2004-05</c:v>
                </c:pt>
                <c:pt idx="13">
                  <c:v>2005-06</c:v>
                </c:pt>
                <c:pt idx="14">
                  <c:v>2006-07</c:v>
                </c:pt>
                <c:pt idx="15">
                  <c:v>2007-08</c:v>
                </c:pt>
                <c:pt idx="16">
                  <c:v>2008-09</c:v>
                </c:pt>
                <c:pt idx="17">
                  <c:v>2009-10</c:v>
                </c:pt>
                <c:pt idx="18">
                  <c:v>2010-11</c:v>
                </c:pt>
                <c:pt idx="19">
                  <c:v>2011-12</c:v>
                </c:pt>
                <c:pt idx="20">
                  <c:v>2012-13</c:v>
                </c:pt>
                <c:pt idx="21">
                  <c:v>2013-14</c:v>
                </c:pt>
                <c:pt idx="22">
                  <c:v>2014-15</c:v>
                </c:pt>
              </c:strCache>
            </c:strRef>
          </c:cat>
          <c:val>
            <c:numRef>
              <c:f>Sheet1!$AE$53:$BA$53</c:f>
              <c:numCache>
                <c:formatCode>General</c:formatCode>
                <c:ptCount val="23"/>
                <c:pt idx="0">
                  <c:v>29</c:v>
                </c:pt>
                <c:pt idx="1">
                  <c:v>43</c:v>
                </c:pt>
                <c:pt idx="2">
                  <c:v>5</c:v>
                </c:pt>
                <c:pt idx="3">
                  <c:v>33</c:v>
                </c:pt>
                <c:pt idx="4">
                  <c:v>16</c:v>
                </c:pt>
                <c:pt idx="5">
                  <c:v>5</c:v>
                </c:pt>
                <c:pt idx="6">
                  <c:v>38</c:v>
                </c:pt>
                <c:pt idx="7">
                  <c:v>14</c:v>
                </c:pt>
                <c:pt idx="8">
                  <c:v>9</c:v>
                </c:pt>
                <c:pt idx="9">
                  <c:v>27</c:v>
                </c:pt>
                <c:pt idx="10">
                  <c:v>9</c:v>
                </c:pt>
                <c:pt idx="11">
                  <c:v>19</c:v>
                </c:pt>
                <c:pt idx="12">
                  <c:v>0</c:v>
                </c:pt>
                <c:pt idx="13">
                  <c:v>14</c:v>
                </c:pt>
                <c:pt idx="14">
                  <c:v>14</c:v>
                </c:pt>
                <c:pt idx="15">
                  <c:v>32</c:v>
                </c:pt>
                <c:pt idx="16">
                  <c:v>23</c:v>
                </c:pt>
                <c:pt idx="17">
                  <c:v>28</c:v>
                </c:pt>
                <c:pt idx="18">
                  <c:v>7</c:v>
                </c:pt>
                <c:pt idx="19">
                  <c:v>15</c:v>
                </c:pt>
                <c:pt idx="20">
                  <c:v>15</c:v>
                </c:pt>
                <c:pt idx="21">
                  <c:v>1</c:v>
                </c:pt>
                <c:pt idx="22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9535984"/>
        <c:axId val="309537944"/>
      </c:areaChart>
      <c:catAx>
        <c:axId val="3095359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400"/>
                </a:pPr>
                <a:r>
                  <a:rPr lang="en-AU" sz="1400"/>
                  <a:t>Years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txPr>
          <a:bodyPr rot="-2700000"/>
          <a:lstStyle/>
          <a:p>
            <a:pPr>
              <a:defRPr sz="1000" b="1"/>
            </a:pPr>
            <a:endParaRPr lang="en-US"/>
          </a:p>
        </c:txPr>
        <c:crossAx val="309537944"/>
        <c:crosses val="autoZero"/>
        <c:auto val="1"/>
        <c:lblAlgn val="ctr"/>
        <c:lblOffset val="100"/>
        <c:noMultiLvlLbl val="0"/>
      </c:catAx>
      <c:valAx>
        <c:axId val="309537944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400"/>
                </a:pPr>
                <a:r>
                  <a:rPr lang="en-AU" sz="1400"/>
                  <a:t>Local Habitat Frequencies (%)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309535984"/>
        <c:crosses val="autoZero"/>
        <c:crossBetween val="midCat"/>
      </c:valAx>
    </c:plotArea>
    <c:legend>
      <c:legendPos val="r"/>
      <c:overlay val="0"/>
      <c:txPr>
        <a:bodyPr/>
        <a:lstStyle/>
        <a:p>
          <a:pPr>
            <a:defRPr sz="1200" b="1"/>
          </a:pPr>
          <a:endParaRPr lang="en-US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Sheet1!$R$372</c:f>
              <c:strCache>
                <c:ptCount val="1"/>
                <c:pt idx="0">
                  <c:v>Autumn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ymbol val="none"/>
          </c:marker>
          <c:cat>
            <c:strRef>
              <c:f>Sheet1!$Q$373:$Q$397</c:f>
              <c:strCache>
                <c:ptCount val="25"/>
                <c:pt idx="0">
                  <c:v>1990-91</c:v>
                </c:pt>
                <c:pt idx="1">
                  <c:v>1991-92</c:v>
                </c:pt>
                <c:pt idx="2">
                  <c:v>1992-93</c:v>
                </c:pt>
                <c:pt idx="3">
                  <c:v>1993-94</c:v>
                </c:pt>
                <c:pt idx="4">
                  <c:v>1994-95</c:v>
                </c:pt>
                <c:pt idx="5">
                  <c:v>1995-96</c:v>
                </c:pt>
                <c:pt idx="6">
                  <c:v>1996-97</c:v>
                </c:pt>
                <c:pt idx="7">
                  <c:v>1997-98</c:v>
                </c:pt>
                <c:pt idx="8">
                  <c:v>1998-99</c:v>
                </c:pt>
                <c:pt idx="9">
                  <c:v>1999-00</c:v>
                </c:pt>
                <c:pt idx="10">
                  <c:v>2000-01</c:v>
                </c:pt>
                <c:pt idx="11">
                  <c:v>2001-02</c:v>
                </c:pt>
                <c:pt idx="12">
                  <c:v>2002-03</c:v>
                </c:pt>
                <c:pt idx="13">
                  <c:v>2003-04</c:v>
                </c:pt>
                <c:pt idx="14">
                  <c:v>2004-05</c:v>
                </c:pt>
                <c:pt idx="15">
                  <c:v>2005-06</c:v>
                </c:pt>
                <c:pt idx="16">
                  <c:v>2006-07</c:v>
                </c:pt>
                <c:pt idx="17">
                  <c:v>2007-08</c:v>
                </c:pt>
                <c:pt idx="18">
                  <c:v>2008-09</c:v>
                </c:pt>
                <c:pt idx="19">
                  <c:v>2009-10</c:v>
                </c:pt>
                <c:pt idx="20">
                  <c:v>2010-11</c:v>
                </c:pt>
                <c:pt idx="21">
                  <c:v>2011-12</c:v>
                </c:pt>
                <c:pt idx="22">
                  <c:v>2012-13</c:v>
                </c:pt>
                <c:pt idx="23">
                  <c:v>2013-14</c:v>
                </c:pt>
                <c:pt idx="24">
                  <c:v>2014-15</c:v>
                </c:pt>
              </c:strCache>
            </c:strRef>
          </c:cat>
          <c:val>
            <c:numRef>
              <c:f>Sheet1!$R$373:$R$397</c:f>
              <c:numCache>
                <c:formatCode>General</c:formatCode>
                <c:ptCount val="25"/>
                <c:pt idx="0">
                  <c:v>26.2</c:v>
                </c:pt>
                <c:pt idx="1">
                  <c:v>27.8</c:v>
                </c:pt>
                <c:pt idx="2">
                  <c:v>27.2</c:v>
                </c:pt>
                <c:pt idx="3">
                  <c:v>28.5</c:v>
                </c:pt>
                <c:pt idx="4">
                  <c:v>27</c:v>
                </c:pt>
                <c:pt idx="5">
                  <c:v>27.2</c:v>
                </c:pt>
                <c:pt idx="6">
                  <c:v>28</c:v>
                </c:pt>
                <c:pt idx="7">
                  <c:v>27.9</c:v>
                </c:pt>
                <c:pt idx="8">
                  <c:v>28.1</c:v>
                </c:pt>
                <c:pt idx="9">
                  <c:v>27.1</c:v>
                </c:pt>
                <c:pt idx="10">
                  <c:v>26.9</c:v>
                </c:pt>
                <c:pt idx="11">
                  <c:v>27.2</c:v>
                </c:pt>
                <c:pt idx="12">
                  <c:v>27.8</c:v>
                </c:pt>
                <c:pt idx="13">
                  <c:v>25.3</c:v>
                </c:pt>
                <c:pt idx="14">
                  <c:v>27</c:v>
                </c:pt>
                <c:pt idx="15">
                  <c:v>27.7</c:v>
                </c:pt>
                <c:pt idx="16">
                  <c:v>27</c:v>
                </c:pt>
                <c:pt idx="17">
                  <c:v>27.9</c:v>
                </c:pt>
                <c:pt idx="18">
                  <c:v>26.1</c:v>
                </c:pt>
                <c:pt idx="19">
                  <c:v>26.6</c:v>
                </c:pt>
                <c:pt idx="20">
                  <c:v>26.2</c:v>
                </c:pt>
                <c:pt idx="21">
                  <c:v>26.2</c:v>
                </c:pt>
                <c:pt idx="22">
                  <c:v>26</c:v>
                </c:pt>
                <c:pt idx="23">
                  <c:v>26</c:v>
                </c:pt>
                <c:pt idx="24">
                  <c:v>26.7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Sheet1!$S$372</c:f>
              <c:strCache>
                <c:ptCount val="1"/>
                <c:pt idx="0">
                  <c:v>Winter</c:v>
                </c:pt>
              </c:strCache>
            </c:strRef>
          </c:tx>
          <c:spPr>
            <a:ln>
              <a:solidFill>
                <a:schemeClr val="tx1"/>
              </a:solidFill>
              <a:prstDash val="lgDash"/>
            </a:ln>
          </c:spPr>
          <c:marker>
            <c:symbol val="none"/>
          </c:marker>
          <c:cat>
            <c:strRef>
              <c:f>Sheet1!$Q$373:$Q$397</c:f>
              <c:strCache>
                <c:ptCount val="25"/>
                <c:pt idx="0">
                  <c:v>1990-91</c:v>
                </c:pt>
                <c:pt idx="1">
                  <c:v>1991-92</c:v>
                </c:pt>
                <c:pt idx="2">
                  <c:v>1992-93</c:v>
                </c:pt>
                <c:pt idx="3">
                  <c:v>1993-94</c:v>
                </c:pt>
                <c:pt idx="4">
                  <c:v>1994-95</c:v>
                </c:pt>
                <c:pt idx="5">
                  <c:v>1995-96</c:v>
                </c:pt>
                <c:pt idx="6">
                  <c:v>1996-97</c:v>
                </c:pt>
                <c:pt idx="7">
                  <c:v>1997-98</c:v>
                </c:pt>
                <c:pt idx="8">
                  <c:v>1998-99</c:v>
                </c:pt>
                <c:pt idx="9">
                  <c:v>1999-00</c:v>
                </c:pt>
                <c:pt idx="10">
                  <c:v>2000-01</c:v>
                </c:pt>
                <c:pt idx="11">
                  <c:v>2001-02</c:v>
                </c:pt>
                <c:pt idx="12">
                  <c:v>2002-03</c:v>
                </c:pt>
                <c:pt idx="13">
                  <c:v>2003-04</c:v>
                </c:pt>
                <c:pt idx="14">
                  <c:v>2004-05</c:v>
                </c:pt>
                <c:pt idx="15">
                  <c:v>2005-06</c:v>
                </c:pt>
                <c:pt idx="16">
                  <c:v>2006-07</c:v>
                </c:pt>
                <c:pt idx="17">
                  <c:v>2007-08</c:v>
                </c:pt>
                <c:pt idx="18">
                  <c:v>2008-09</c:v>
                </c:pt>
                <c:pt idx="19">
                  <c:v>2009-10</c:v>
                </c:pt>
                <c:pt idx="20">
                  <c:v>2010-11</c:v>
                </c:pt>
                <c:pt idx="21">
                  <c:v>2011-12</c:v>
                </c:pt>
                <c:pt idx="22">
                  <c:v>2012-13</c:v>
                </c:pt>
                <c:pt idx="23">
                  <c:v>2013-14</c:v>
                </c:pt>
                <c:pt idx="24">
                  <c:v>2014-15</c:v>
                </c:pt>
              </c:strCache>
            </c:strRef>
          </c:cat>
          <c:val>
            <c:numRef>
              <c:f>Sheet1!$S$373:$S$397</c:f>
              <c:numCache>
                <c:formatCode>General</c:formatCode>
                <c:ptCount val="25"/>
                <c:pt idx="0">
                  <c:v>17.100000000000001</c:v>
                </c:pt>
                <c:pt idx="1">
                  <c:v>19.2</c:v>
                </c:pt>
                <c:pt idx="2">
                  <c:v>19.3</c:v>
                </c:pt>
                <c:pt idx="3">
                  <c:v>19.7</c:v>
                </c:pt>
                <c:pt idx="4">
                  <c:v>20.399999999999999</c:v>
                </c:pt>
                <c:pt idx="5">
                  <c:v>19.899999999999999</c:v>
                </c:pt>
                <c:pt idx="6">
                  <c:v>19.100000000000001</c:v>
                </c:pt>
                <c:pt idx="7">
                  <c:v>20.3</c:v>
                </c:pt>
                <c:pt idx="8">
                  <c:v>18.399999999999999</c:v>
                </c:pt>
                <c:pt idx="9">
                  <c:v>20.2</c:v>
                </c:pt>
                <c:pt idx="10">
                  <c:v>19.5</c:v>
                </c:pt>
                <c:pt idx="11">
                  <c:v>20.2</c:v>
                </c:pt>
                <c:pt idx="12">
                  <c:v>20.100000000000001</c:v>
                </c:pt>
                <c:pt idx="13">
                  <c:v>18.399999999999999</c:v>
                </c:pt>
                <c:pt idx="14">
                  <c:v>19.100000000000001</c:v>
                </c:pt>
                <c:pt idx="15">
                  <c:v>18.5</c:v>
                </c:pt>
                <c:pt idx="16">
                  <c:v>19.399999999999999</c:v>
                </c:pt>
                <c:pt idx="17">
                  <c:v>17.5</c:v>
                </c:pt>
                <c:pt idx="18">
                  <c:v>18.5</c:v>
                </c:pt>
                <c:pt idx="19">
                  <c:v>19.8</c:v>
                </c:pt>
                <c:pt idx="20">
                  <c:v>17.5</c:v>
                </c:pt>
                <c:pt idx="21">
                  <c:v>18.7</c:v>
                </c:pt>
                <c:pt idx="22">
                  <c:v>18.3</c:v>
                </c:pt>
                <c:pt idx="23">
                  <c:v>19.600000000000001</c:v>
                </c:pt>
                <c:pt idx="24">
                  <c:v>18.899999999999999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Sheet1!$T$372</c:f>
              <c:strCache>
                <c:ptCount val="1"/>
                <c:pt idx="0">
                  <c:v>Spring</c:v>
                </c:pt>
              </c:strCache>
            </c:strRef>
          </c:tx>
          <c:spPr>
            <a:ln>
              <a:solidFill>
                <a:srgbClr val="0070C0"/>
              </a:solidFill>
              <a:prstDash val="dash"/>
            </a:ln>
          </c:spPr>
          <c:marker>
            <c:symbol val="none"/>
          </c:marker>
          <c:cat>
            <c:strRef>
              <c:f>Sheet1!$Q$373:$Q$397</c:f>
              <c:strCache>
                <c:ptCount val="25"/>
                <c:pt idx="0">
                  <c:v>1990-91</c:v>
                </c:pt>
                <c:pt idx="1">
                  <c:v>1991-92</c:v>
                </c:pt>
                <c:pt idx="2">
                  <c:v>1992-93</c:v>
                </c:pt>
                <c:pt idx="3">
                  <c:v>1993-94</c:v>
                </c:pt>
                <c:pt idx="4">
                  <c:v>1994-95</c:v>
                </c:pt>
                <c:pt idx="5">
                  <c:v>1995-96</c:v>
                </c:pt>
                <c:pt idx="6">
                  <c:v>1996-97</c:v>
                </c:pt>
                <c:pt idx="7">
                  <c:v>1997-98</c:v>
                </c:pt>
                <c:pt idx="8">
                  <c:v>1998-99</c:v>
                </c:pt>
                <c:pt idx="9">
                  <c:v>1999-00</c:v>
                </c:pt>
                <c:pt idx="10">
                  <c:v>2000-01</c:v>
                </c:pt>
                <c:pt idx="11">
                  <c:v>2001-02</c:v>
                </c:pt>
                <c:pt idx="12">
                  <c:v>2002-03</c:v>
                </c:pt>
                <c:pt idx="13">
                  <c:v>2003-04</c:v>
                </c:pt>
                <c:pt idx="14">
                  <c:v>2004-05</c:v>
                </c:pt>
                <c:pt idx="15">
                  <c:v>2005-06</c:v>
                </c:pt>
                <c:pt idx="16">
                  <c:v>2006-07</c:v>
                </c:pt>
                <c:pt idx="17">
                  <c:v>2007-08</c:v>
                </c:pt>
                <c:pt idx="18">
                  <c:v>2008-09</c:v>
                </c:pt>
                <c:pt idx="19">
                  <c:v>2009-10</c:v>
                </c:pt>
                <c:pt idx="20">
                  <c:v>2010-11</c:v>
                </c:pt>
                <c:pt idx="21">
                  <c:v>2011-12</c:v>
                </c:pt>
                <c:pt idx="22">
                  <c:v>2012-13</c:v>
                </c:pt>
                <c:pt idx="23">
                  <c:v>2013-14</c:v>
                </c:pt>
                <c:pt idx="24">
                  <c:v>2014-15</c:v>
                </c:pt>
              </c:strCache>
            </c:strRef>
          </c:cat>
          <c:val>
            <c:numRef>
              <c:f>Sheet1!$T$373:$T$397</c:f>
              <c:numCache>
                <c:formatCode>General</c:formatCode>
                <c:ptCount val="25"/>
                <c:pt idx="0">
                  <c:v>27.6</c:v>
                </c:pt>
                <c:pt idx="1">
                  <c:v>28.5</c:v>
                </c:pt>
                <c:pt idx="2">
                  <c:v>25.8</c:v>
                </c:pt>
                <c:pt idx="3">
                  <c:v>26.7</c:v>
                </c:pt>
                <c:pt idx="4">
                  <c:v>28.4</c:v>
                </c:pt>
                <c:pt idx="5">
                  <c:v>27.8</c:v>
                </c:pt>
                <c:pt idx="6">
                  <c:v>27.3</c:v>
                </c:pt>
                <c:pt idx="7">
                  <c:v>28.9</c:v>
                </c:pt>
                <c:pt idx="8">
                  <c:v>26.1</c:v>
                </c:pt>
                <c:pt idx="9">
                  <c:v>26.7</c:v>
                </c:pt>
                <c:pt idx="10">
                  <c:v>27.9</c:v>
                </c:pt>
                <c:pt idx="11">
                  <c:v>27</c:v>
                </c:pt>
                <c:pt idx="12">
                  <c:v>30.3</c:v>
                </c:pt>
                <c:pt idx="13">
                  <c:v>26.8</c:v>
                </c:pt>
                <c:pt idx="14">
                  <c:v>27</c:v>
                </c:pt>
                <c:pt idx="15">
                  <c:v>26.8</c:v>
                </c:pt>
                <c:pt idx="16">
                  <c:v>29.3</c:v>
                </c:pt>
                <c:pt idx="17">
                  <c:v>27.9</c:v>
                </c:pt>
                <c:pt idx="18">
                  <c:v>26.7</c:v>
                </c:pt>
                <c:pt idx="19">
                  <c:v>29.3</c:v>
                </c:pt>
                <c:pt idx="20">
                  <c:v>24.8</c:v>
                </c:pt>
                <c:pt idx="21">
                  <c:v>26.6</c:v>
                </c:pt>
                <c:pt idx="22">
                  <c:v>28.7</c:v>
                </c:pt>
                <c:pt idx="23">
                  <c:v>29.7</c:v>
                </c:pt>
                <c:pt idx="24">
                  <c:v>30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Sheet1!$U$372</c:f>
              <c:strCache>
                <c:ptCount val="1"/>
                <c:pt idx="0">
                  <c:v>Summer</c:v>
                </c:pt>
              </c:strCache>
            </c:strRef>
          </c:tx>
          <c:spPr>
            <a:ln>
              <a:solidFill>
                <a:srgbClr val="FF0000"/>
              </a:solidFill>
              <a:prstDash val="sysDash"/>
            </a:ln>
          </c:spPr>
          <c:marker>
            <c:symbol val="none"/>
          </c:marker>
          <c:cat>
            <c:strRef>
              <c:f>Sheet1!$Q$373:$Q$397</c:f>
              <c:strCache>
                <c:ptCount val="25"/>
                <c:pt idx="0">
                  <c:v>1990-91</c:v>
                </c:pt>
                <c:pt idx="1">
                  <c:v>1991-92</c:v>
                </c:pt>
                <c:pt idx="2">
                  <c:v>1992-93</c:v>
                </c:pt>
                <c:pt idx="3">
                  <c:v>1993-94</c:v>
                </c:pt>
                <c:pt idx="4">
                  <c:v>1994-95</c:v>
                </c:pt>
                <c:pt idx="5">
                  <c:v>1995-96</c:v>
                </c:pt>
                <c:pt idx="6">
                  <c:v>1996-97</c:v>
                </c:pt>
                <c:pt idx="7">
                  <c:v>1997-98</c:v>
                </c:pt>
                <c:pt idx="8">
                  <c:v>1998-99</c:v>
                </c:pt>
                <c:pt idx="9">
                  <c:v>1999-00</c:v>
                </c:pt>
                <c:pt idx="10">
                  <c:v>2000-01</c:v>
                </c:pt>
                <c:pt idx="11">
                  <c:v>2001-02</c:v>
                </c:pt>
                <c:pt idx="12">
                  <c:v>2002-03</c:v>
                </c:pt>
                <c:pt idx="13">
                  <c:v>2003-04</c:v>
                </c:pt>
                <c:pt idx="14">
                  <c:v>2004-05</c:v>
                </c:pt>
                <c:pt idx="15">
                  <c:v>2005-06</c:v>
                </c:pt>
                <c:pt idx="16">
                  <c:v>2006-07</c:v>
                </c:pt>
                <c:pt idx="17">
                  <c:v>2007-08</c:v>
                </c:pt>
                <c:pt idx="18">
                  <c:v>2008-09</c:v>
                </c:pt>
                <c:pt idx="19">
                  <c:v>2009-10</c:v>
                </c:pt>
                <c:pt idx="20">
                  <c:v>2010-11</c:v>
                </c:pt>
                <c:pt idx="21">
                  <c:v>2011-12</c:v>
                </c:pt>
                <c:pt idx="22">
                  <c:v>2012-13</c:v>
                </c:pt>
                <c:pt idx="23">
                  <c:v>2013-14</c:v>
                </c:pt>
                <c:pt idx="24">
                  <c:v>2014-15</c:v>
                </c:pt>
              </c:strCache>
            </c:strRef>
          </c:cat>
          <c:val>
            <c:numRef>
              <c:f>Sheet1!$U$373:$U$397</c:f>
              <c:numCache>
                <c:formatCode>General</c:formatCode>
                <c:ptCount val="25"/>
                <c:pt idx="0">
                  <c:v>35.4</c:v>
                </c:pt>
                <c:pt idx="1">
                  <c:v>32.800000000000004</c:v>
                </c:pt>
                <c:pt idx="2">
                  <c:v>34.200000000000003</c:v>
                </c:pt>
                <c:pt idx="3">
                  <c:v>33.5</c:v>
                </c:pt>
                <c:pt idx="4">
                  <c:v>33.5</c:v>
                </c:pt>
                <c:pt idx="5">
                  <c:v>32.200000000000003</c:v>
                </c:pt>
                <c:pt idx="6">
                  <c:v>32.6</c:v>
                </c:pt>
                <c:pt idx="7">
                  <c:v>35.300000000000004</c:v>
                </c:pt>
                <c:pt idx="8">
                  <c:v>34.1</c:v>
                </c:pt>
                <c:pt idx="9">
                  <c:v>32.5</c:v>
                </c:pt>
                <c:pt idx="10">
                  <c:v>35.200000000000003</c:v>
                </c:pt>
                <c:pt idx="11">
                  <c:v>33.5</c:v>
                </c:pt>
                <c:pt idx="12">
                  <c:v>34.300000000000004</c:v>
                </c:pt>
                <c:pt idx="13">
                  <c:v>34.4</c:v>
                </c:pt>
                <c:pt idx="14">
                  <c:v>33</c:v>
                </c:pt>
                <c:pt idx="15">
                  <c:v>35.200000000000003</c:v>
                </c:pt>
                <c:pt idx="16">
                  <c:v>34.300000000000004</c:v>
                </c:pt>
                <c:pt idx="17">
                  <c:v>30.7</c:v>
                </c:pt>
                <c:pt idx="18">
                  <c:v>33.200000000000003</c:v>
                </c:pt>
                <c:pt idx="19">
                  <c:v>33.200000000000003</c:v>
                </c:pt>
                <c:pt idx="20">
                  <c:v>33.1</c:v>
                </c:pt>
                <c:pt idx="21">
                  <c:v>29.6</c:v>
                </c:pt>
                <c:pt idx="22">
                  <c:v>34.1</c:v>
                </c:pt>
                <c:pt idx="23">
                  <c:v>35.300000000000004</c:v>
                </c:pt>
                <c:pt idx="24">
                  <c:v>34.1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9538728"/>
        <c:axId val="309539120"/>
      </c:lineChart>
      <c:catAx>
        <c:axId val="3095387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400"/>
                </a:pPr>
                <a:r>
                  <a:rPr lang="en-AU" sz="1400"/>
                  <a:t>Years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 rot="-2700000"/>
          <a:lstStyle/>
          <a:p>
            <a:pPr>
              <a:defRPr sz="1000" b="1"/>
            </a:pPr>
            <a:endParaRPr lang="en-US"/>
          </a:p>
        </c:txPr>
        <c:crossAx val="309539120"/>
        <c:crosses val="autoZero"/>
        <c:auto val="1"/>
        <c:lblAlgn val="ctr"/>
        <c:lblOffset val="100"/>
        <c:noMultiLvlLbl val="0"/>
      </c:catAx>
      <c:valAx>
        <c:axId val="30953912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400"/>
                </a:pPr>
                <a:r>
                  <a:rPr lang="en-AU" sz="1400"/>
                  <a:t>Average Daily Maximum Temperature (°C)</a:t>
                </a:r>
              </a:p>
            </c:rich>
          </c:tx>
          <c:layout>
            <c:manualLayout>
              <c:xMode val="edge"/>
              <c:yMode val="edge"/>
              <c:x val="2.4374030578329271E-2"/>
              <c:y val="9.2105508088084737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en-US"/>
          </a:p>
        </c:txPr>
        <c:crossAx val="309538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783840558596268"/>
          <c:y val="0.4376200539491189"/>
          <c:w val="0.23950738985015099"/>
          <c:h val="0.25213187637259626"/>
        </c:manualLayout>
      </c:layout>
      <c:overlay val="0"/>
      <c:txPr>
        <a:bodyPr/>
        <a:lstStyle/>
        <a:p>
          <a:pPr>
            <a:defRPr sz="1200" b="1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Sheet1!$BQ$158</c:f>
              <c:strCache>
                <c:ptCount val="1"/>
                <c:pt idx="0">
                  <c:v>Canola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Sheet1!$BP$159:$BP$181</c:f>
              <c:strCache>
                <c:ptCount val="23"/>
                <c:pt idx="0">
                  <c:v>1992-93</c:v>
                </c:pt>
                <c:pt idx="1">
                  <c:v>1993-94</c:v>
                </c:pt>
                <c:pt idx="2">
                  <c:v>1994-95</c:v>
                </c:pt>
                <c:pt idx="3">
                  <c:v>1995-96</c:v>
                </c:pt>
                <c:pt idx="4">
                  <c:v>1996-97</c:v>
                </c:pt>
                <c:pt idx="5">
                  <c:v>1997-98</c:v>
                </c:pt>
                <c:pt idx="6">
                  <c:v>1998-99</c:v>
                </c:pt>
                <c:pt idx="7">
                  <c:v>1999-00</c:v>
                </c:pt>
                <c:pt idx="8">
                  <c:v>2000-01</c:v>
                </c:pt>
                <c:pt idx="9">
                  <c:v>2001-02</c:v>
                </c:pt>
                <c:pt idx="10">
                  <c:v>2002-03</c:v>
                </c:pt>
                <c:pt idx="11">
                  <c:v>2003-04</c:v>
                </c:pt>
                <c:pt idx="12">
                  <c:v>2004-05</c:v>
                </c:pt>
                <c:pt idx="13">
                  <c:v>2005-06</c:v>
                </c:pt>
                <c:pt idx="14">
                  <c:v>2006-07</c:v>
                </c:pt>
                <c:pt idx="15">
                  <c:v>2007-08</c:v>
                </c:pt>
                <c:pt idx="16">
                  <c:v>2008-09</c:v>
                </c:pt>
                <c:pt idx="17">
                  <c:v>2009-10</c:v>
                </c:pt>
                <c:pt idx="18">
                  <c:v>2010-11</c:v>
                </c:pt>
                <c:pt idx="19">
                  <c:v>2011-12</c:v>
                </c:pt>
                <c:pt idx="20">
                  <c:v>2012-13</c:v>
                </c:pt>
                <c:pt idx="21">
                  <c:v>2013-14</c:v>
                </c:pt>
                <c:pt idx="22">
                  <c:v>2014-15</c:v>
                </c:pt>
              </c:strCache>
            </c:strRef>
          </c:cat>
          <c:val>
            <c:numRef>
              <c:f>Sheet1!$BQ$159:$BQ$181</c:f>
              <c:numCache>
                <c:formatCode>General</c:formatCode>
                <c:ptCount val="23"/>
                <c:pt idx="0">
                  <c:v>1.1000000000000001</c:v>
                </c:pt>
                <c:pt idx="1">
                  <c:v>0.5</c:v>
                </c:pt>
                <c:pt idx="2">
                  <c:v>4.0000000000000022E-2</c:v>
                </c:pt>
                <c:pt idx="3">
                  <c:v>1.5</c:v>
                </c:pt>
                <c:pt idx="4">
                  <c:v>0.2</c:v>
                </c:pt>
                <c:pt idx="5">
                  <c:v>7.0000000000000021E-2</c:v>
                </c:pt>
                <c:pt idx="6">
                  <c:v>0.4</c:v>
                </c:pt>
                <c:pt idx="7">
                  <c:v>0.4</c:v>
                </c:pt>
                <c:pt idx="8">
                  <c:v>0.9</c:v>
                </c:pt>
                <c:pt idx="9">
                  <c:v>1.2</c:v>
                </c:pt>
                <c:pt idx="10">
                  <c:v>0.60000000000000064</c:v>
                </c:pt>
                <c:pt idx="11">
                  <c:v>1.5</c:v>
                </c:pt>
                <c:pt idx="12">
                  <c:v>2.2999999999999998</c:v>
                </c:pt>
                <c:pt idx="13">
                  <c:v>0.60000000000000064</c:v>
                </c:pt>
                <c:pt idx="14">
                  <c:v>0.70000000000000062</c:v>
                </c:pt>
                <c:pt idx="15">
                  <c:v>0.70000000000000062</c:v>
                </c:pt>
                <c:pt idx="16">
                  <c:v>1.6</c:v>
                </c:pt>
                <c:pt idx="17">
                  <c:v>1.2</c:v>
                </c:pt>
                <c:pt idx="18">
                  <c:v>2.2999999999999998</c:v>
                </c:pt>
                <c:pt idx="19">
                  <c:v>2.1</c:v>
                </c:pt>
                <c:pt idx="20">
                  <c:v>4.7</c:v>
                </c:pt>
                <c:pt idx="21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Sheet1!$BR$158</c:f>
              <c:strCache>
                <c:ptCount val="1"/>
                <c:pt idx="0">
                  <c:v>Chickpeas</c:v>
                </c:pt>
              </c:strCache>
            </c:strRef>
          </c:tx>
          <c:spPr>
            <a:solidFill>
              <a:schemeClr val="tx1"/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Sheet1!$BP$159:$BP$181</c:f>
              <c:strCache>
                <c:ptCount val="23"/>
                <c:pt idx="0">
                  <c:v>1992-93</c:v>
                </c:pt>
                <c:pt idx="1">
                  <c:v>1993-94</c:v>
                </c:pt>
                <c:pt idx="2">
                  <c:v>1994-95</c:v>
                </c:pt>
                <c:pt idx="3">
                  <c:v>1995-96</c:v>
                </c:pt>
                <c:pt idx="4">
                  <c:v>1996-97</c:v>
                </c:pt>
                <c:pt idx="5">
                  <c:v>1997-98</c:v>
                </c:pt>
                <c:pt idx="6">
                  <c:v>1998-99</c:v>
                </c:pt>
                <c:pt idx="7">
                  <c:v>1999-00</c:v>
                </c:pt>
                <c:pt idx="8">
                  <c:v>2000-01</c:v>
                </c:pt>
                <c:pt idx="9">
                  <c:v>2001-02</c:v>
                </c:pt>
                <c:pt idx="10">
                  <c:v>2002-03</c:v>
                </c:pt>
                <c:pt idx="11">
                  <c:v>2003-04</c:v>
                </c:pt>
                <c:pt idx="12">
                  <c:v>2004-05</c:v>
                </c:pt>
                <c:pt idx="13">
                  <c:v>2005-06</c:v>
                </c:pt>
                <c:pt idx="14">
                  <c:v>2006-07</c:v>
                </c:pt>
                <c:pt idx="15">
                  <c:v>2007-08</c:v>
                </c:pt>
                <c:pt idx="16">
                  <c:v>2008-09</c:v>
                </c:pt>
                <c:pt idx="17">
                  <c:v>2009-10</c:v>
                </c:pt>
                <c:pt idx="18">
                  <c:v>2010-11</c:v>
                </c:pt>
                <c:pt idx="19">
                  <c:v>2011-12</c:v>
                </c:pt>
                <c:pt idx="20">
                  <c:v>2012-13</c:v>
                </c:pt>
                <c:pt idx="21">
                  <c:v>2013-14</c:v>
                </c:pt>
                <c:pt idx="22">
                  <c:v>2014-15</c:v>
                </c:pt>
              </c:strCache>
            </c:strRef>
          </c:cat>
          <c:val>
            <c:numRef>
              <c:f>Sheet1!$BR$159:$BR$181</c:f>
              <c:numCache>
                <c:formatCode>General</c:formatCode>
                <c:ptCount val="23"/>
                <c:pt idx="0">
                  <c:v>2</c:v>
                </c:pt>
                <c:pt idx="1">
                  <c:v>1.6</c:v>
                </c:pt>
                <c:pt idx="2">
                  <c:v>0.60000000000000064</c:v>
                </c:pt>
                <c:pt idx="3">
                  <c:v>1.2</c:v>
                </c:pt>
                <c:pt idx="4">
                  <c:v>0.2</c:v>
                </c:pt>
                <c:pt idx="5">
                  <c:v>0.60000000000000064</c:v>
                </c:pt>
                <c:pt idx="6">
                  <c:v>1</c:v>
                </c:pt>
                <c:pt idx="7">
                  <c:v>0.70000000000000062</c:v>
                </c:pt>
                <c:pt idx="8">
                  <c:v>1.5</c:v>
                </c:pt>
                <c:pt idx="9">
                  <c:v>5.2</c:v>
                </c:pt>
                <c:pt idx="10">
                  <c:v>4</c:v>
                </c:pt>
                <c:pt idx="11">
                  <c:v>6.2</c:v>
                </c:pt>
                <c:pt idx="12">
                  <c:v>2.6</c:v>
                </c:pt>
                <c:pt idx="13">
                  <c:v>5.3</c:v>
                </c:pt>
                <c:pt idx="14">
                  <c:v>17.2</c:v>
                </c:pt>
                <c:pt idx="15">
                  <c:v>0</c:v>
                </c:pt>
                <c:pt idx="16">
                  <c:v>24.3</c:v>
                </c:pt>
                <c:pt idx="17">
                  <c:v>24.1</c:v>
                </c:pt>
                <c:pt idx="18">
                  <c:v>37.300000000000004</c:v>
                </c:pt>
                <c:pt idx="19">
                  <c:v>20.6</c:v>
                </c:pt>
                <c:pt idx="20">
                  <c:v>26</c:v>
                </c:pt>
                <c:pt idx="21">
                  <c:v>20.3</c:v>
                </c:pt>
              </c:numCache>
            </c:numRef>
          </c:val>
        </c:ser>
        <c:ser>
          <c:idx val="2"/>
          <c:order val="2"/>
          <c:tx>
            <c:strRef>
              <c:f>Sheet1!$BS$158</c:f>
              <c:strCache>
                <c:ptCount val="1"/>
                <c:pt idx="0">
                  <c:v>Cotton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Sheet1!$BP$159:$BP$181</c:f>
              <c:strCache>
                <c:ptCount val="23"/>
                <c:pt idx="0">
                  <c:v>1992-93</c:v>
                </c:pt>
                <c:pt idx="1">
                  <c:v>1993-94</c:v>
                </c:pt>
                <c:pt idx="2">
                  <c:v>1994-95</c:v>
                </c:pt>
                <c:pt idx="3">
                  <c:v>1995-96</c:v>
                </c:pt>
                <c:pt idx="4">
                  <c:v>1996-97</c:v>
                </c:pt>
                <c:pt idx="5">
                  <c:v>1997-98</c:v>
                </c:pt>
                <c:pt idx="6">
                  <c:v>1998-99</c:v>
                </c:pt>
                <c:pt idx="7">
                  <c:v>1999-00</c:v>
                </c:pt>
                <c:pt idx="8">
                  <c:v>2000-01</c:v>
                </c:pt>
                <c:pt idx="9">
                  <c:v>2001-02</c:v>
                </c:pt>
                <c:pt idx="10">
                  <c:v>2002-03</c:v>
                </c:pt>
                <c:pt idx="11">
                  <c:v>2003-04</c:v>
                </c:pt>
                <c:pt idx="12">
                  <c:v>2004-05</c:v>
                </c:pt>
                <c:pt idx="13">
                  <c:v>2005-06</c:v>
                </c:pt>
                <c:pt idx="14">
                  <c:v>2006-07</c:v>
                </c:pt>
                <c:pt idx="15">
                  <c:v>2007-08</c:v>
                </c:pt>
                <c:pt idx="16">
                  <c:v>2008-09</c:v>
                </c:pt>
                <c:pt idx="17">
                  <c:v>2009-10</c:v>
                </c:pt>
                <c:pt idx="18">
                  <c:v>2010-11</c:v>
                </c:pt>
                <c:pt idx="19">
                  <c:v>2011-12</c:v>
                </c:pt>
                <c:pt idx="20">
                  <c:v>2012-13</c:v>
                </c:pt>
                <c:pt idx="21">
                  <c:v>2013-14</c:v>
                </c:pt>
                <c:pt idx="22">
                  <c:v>2014-15</c:v>
                </c:pt>
              </c:strCache>
            </c:strRef>
          </c:cat>
          <c:val>
            <c:numRef>
              <c:f>Sheet1!$BS$159:$BS$181</c:f>
              <c:numCache>
                <c:formatCode>General</c:formatCode>
                <c:ptCount val="23"/>
                <c:pt idx="0">
                  <c:v>42.5</c:v>
                </c:pt>
                <c:pt idx="1">
                  <c:v>41.1</c:v>
                </c:pt>
                <c:pt idx="2">
                  <c:v>33.5</c:v>
                </c:pt>
                <c:pt idx="3">
                  <c:v>49.4</c:v>
                </c:pt>
                <c:pt idx="4">
                  <c:v>54.2</c:v>
                </c:pt>
                <c:pt idx="5">
                  <c:v>49.7</c:v>
                </c:pt>
                <c:pt idx="6">
                  <c:v>57.8</c:v>
                </c:pt>
                <c:pt idx="7">
                  <c:v>54.4</c:v>
                </c:pt>
                <c:pt idx="8">
                  <c:v>60.8</c:v>
                </c:pt>
                <c:pt idx="9">
                  <c:v>45.5</c:v>
                </c:pt>
                <c:pt idx="10">
                  <c:v>30.7</c:v>
                </c:pt>
                <c:pt idx="11">
                  <c:v>24.1</c:v>
                </c:pt>
                <c:pt idx="12">
                  <c:v>33</c:v>
                </c:pt>
                <c:pt idx="13">
                  <c:v>45.5</c:v>
                </c:pt>
                <c:pt idx="14">
                  <c:v>29.6</c:v>
                </c:pt>
                <c:pt idx="15">
                  <c:v>9.4</c:v>
                </c:pt>
                <c:pt idx="16">
                  <c:v>19.899999999999999</c:v>
                </c:pt>
                <c:pt idx="17">
                  <c:v>26.9</c:v>
                </c:pt>
                <c:pt idx="18">
                  <c:v>61.7</c:v>
                </c:pt>
                <c:pt idx="19">
                  <c:v>51.4</c:v>
                </c:pt>
                <c:pt idx="20">
                  <c:v>36</c:v>
                </c:pt>
                <c:pt idx="21">
                  <c:v>36.6</c:v>
                </c:pt>
              </c:numCache>
            </c:numRef>
          </c:val>
        </c:ser>
        <c:ser>
          <c:idx val="3"/>
          <c:order val="3"/>
          <c:tx>
            <c:strRef>
              <c:f>Sheet1!$BT$158</c:f>
              <c:strCache>
                <c:ptCount val="1"/>
                <c:pt idx="0">
                  <c:v>Sorghum</c:v>
                </c:pt>
              </c:strCache>
            </c:strRef>
          </c:tx>
          <c:spPr>
            <a:solidFill>
              <a:sysClr val="window" lastClr="FFFFFF"/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Sheet1!$BP$159:$BP$181</c:f>
              <c:strCache>
                <c:ptCount val="23"/>
                <c:pt idx="0">
                  <c:v>1992-93</c:v>
                </c:pt>
                <c:pt idx="1">
                  <c:v>1993-94</c:v>
                </c:pt>
                <c:pt idx="2">
                  <c:v>1994-95</c:v>
                </c:pt>
                <c:pt idx="3">
                  <c:v>1995-96</c:v>
                </c:pt>
                <c:pt idx="4">
                  <c:v>1996-97</c:v>
                </c:pt>
                <c:pt idx="5">
                  <c:v>1997-98</c:v>
                </c:pt>
                <c:pt idx="6">
                  <c:v>1998-99</c:v>
                </c:pt>
                <c:pt idx="7">
                  <c:v>1999-00</c:v>
                </c:pt>
                <c:pt idx="8">
                  <c:v>2000-01</c:v>
                </c:pt>
                <c:pt idx="9">
                  <c:v>2001-02</c:v>
                </c:pt>
                <c:pt idx="10">
                  <c:v>2002-03</c:v>
                </c:pt>
                <c:pt idx="11">
                  <c:v>2003-04</c:v>
                </c:pt>
                <c:pt idx="12">
                  <c:v>2004-05</c:v>
                </c:pt>
                <c:pt idx="13">
                  <c:v>2005-06</c:v>
                </c:pt>
                <c:pt idx="14">
                  <c:v>2006-07</c:v>
                </c:pt>
                <c:pt idx="15">
                  <c:v>2007-08</c:v>
                </c:pt>
                <c:pt idx="16">
                  <c:v>2008-09</c:v>
                </c:pt>
                <c:pt idx="17">
                  <c:v>2009-10</c:v>
                </c:pt>
                <c:pt idx="18">
                  <c:v>2010-11</c:v>
                </c:pt>
                <c:pt idx="19">
                  <c:v>2011-12</c:v>
                </c:pt>
                <c:pt idx="20">
                  <c:v>2012-13</c:v>
                </c:pt>
                <c:pt idx="21">
                  <c:v>2013-14</c:v>
                </c:pt>
                <c:pt idx="22">
                  <c:v>2014-15</c:v>
                </c:pt>
              </c:strCache>
            </c:strRef>
          </c:cat>
          <c:val>
            <c:numRef>
              <c:f>Sheet1!$BT$159:$BT$181</c:f>
              <c:numCache>
                <c:formatCode>General</c:formatCode>
                <c:ptCount val="23"/>
                <c:pt idx="0">
                  <c:v>11.8</c:v>
                </c:pt>
                <c:pt idx="1">
                  <c:v>9.8000000000000007</c:v>
                </c:pt>
                <c:pt idx="2">
                  <c:v>9.6</c:v>
                </c:pt>
                <c:pt idx="3">
                  <c:v>8</c:v>
                </c:pt>
                <c:pt idx="4">
                  <c:v>6.5</c:v>
                </c:pt>
                <c:pt idx="5">
                  <c:v>6.1</c:v>
                </c:pt>
                <c:pt idx="6">
                  <c:v>10.8</c:v>
                </c:pt>
                <c:pt idx="7">
                  <c:v>10.8</c:v>
                </c:pt>
                <c:pt idx="8">
                  <c:v>13</c:v>
                </c:pt>
                <c:pt idx="9">
                  <c:v>17.5</c:v>
                </c:pt>
                <c:pt idx="10">
                  <c:v>17.8</c:v>
                </c:pt>
                <c:pt idx="11">
                  <c:v>14.6</c:v>
                </c:pt>
                <c:pt idx="12">
                  <c:v>14.3</c:v>
                </c:pt>
                <c:pt idx="13">
                  <c:v>25.6</c:v>
                </c:pt>
                <c:pt idx="14">
                  <c:v>14.2</c:v>
                </c:pt>
                <c:pt idx="15">
                  <c:v>23.9</c:v>
                </c:pt>
                <c:pt idx="16">
                  <c:v>19.8</c:v>
                </c:pt>
                <c:pt idx="17">
                  <c:v>14.3</c:v>
                </c:pt>
                <c:pt idx="18">
                  <c:v>7.7</c:v>
                </c:pt>
                <c:pt idx="19">
                  <c:v>8.1</c:v>
                </c:pt>
                <c:pt idx="20">
                  <c:v>8.7000000000000011</c:v>
                </c:pt>
                <c:pt idx="21">
                  <c:v>7.1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0863848"/>
        <c:axId val="350864240"/>
      </c:barChart>
      <c:catAx>
        <c:axId val="3508638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400"/>
                </a:pPr>
                <a:r>
                  <a:rPr lang="en-US" sz="1400"/>
                  <a:t>Years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en-US"/>
          </a:p>
        </c:txPr>
        <c:crossAx val="350864240"/>
        <c:crosses val="autoZero"/>
        <c:auto val="1"/>
        <c:lblAlgn val="ctr"/>
        <c:lblOffset val="100"/>
        <c:noMultiLvlLbl val="0"/>
      </c:catAx>
      <c:valAx>
        <c:axId val="35086424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400"/>
                </a:pPr>
                <a:r>
                  <a:rPr lang="en-US" sz="1400"/>
                  <a:t>Hectares of Crop ('000s)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en-US"/>
          </a:p>
        </c:txPr>
        <c:crossAx val="350863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804158066548689"/>
          <c:y val="4.2114667628816917E-2"/>
          <c:w val="0.19820413817650259"/>
          <c:h val="0.26230864388433756"/>
        </c:manualLayout>
      </c:layout>
      <c:overlay val="0"/>
      <c:txPr>
        <a:bodyPr/>
        <a:lstStyle/>
        <a:p>
          <a:pPr>
            <a:defRPr sz="1200" b="1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Sheet1!$BY$158</c:f>
              <c:strCache>
                <c:ptCount val="1"/>
                <c:pt idx="0">
                  <c:v>Canola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Sheet1!$BX$159:$BX$181</c:f>
              <c:strCache>
                <c:ptCount val="23"/>
                <c:pt idx="0">
                  <c:v>1992-93</c:v>
                </c:pt>
                <c:pt idx="1">
                  <c:v>1993-94</c:v>
                </c:pt>
                <c:pt idx="2">
                  <c:v>1994-95</c:v>
                </c:pt>
                <c:pt idx="3">
                  <c:v>1995-96</c:v>
                </c:pt>
                <c:pt idx="4">
                  <c:v>1996-97</c:v>
                </c:pt>
                <c:pt idx="5">
                  <c:v>1997-98</c:v>
                </c:pt>
                <c:pt idx="6">
                  <c:v>1998-99</c:v>
                </c:pt>
                <c:pt idx="7">
                  <c:v>1999-00</c:v>
                </c:pt>
                <c:pt idx="8">
                  <c:v>2000-01</c:v>
                </c:pt>
                <c:pt idx="9">
                  <c:v>2001-02</c:v>
                </c:pt>
                <c:pt idx="10">
                  <c:v>2002-03</c:v>
                </c:pt>
                <c:pt idx="11">
                  <c:v>2003-04</c:v>
                </c:pt>
                <c:pt idx="12">
                  <c:v>2004-05</c:v>
                </c:pt>
                <c:pt idx="13">
                  <c:v>2005-06</c:v>
                </c:pt>
                <c:pt idx="14">
                  <c:v>2006-07</c:v>
                </c:pt>
                <c:pt idx="15">
                  <c:v>2007-08</c:v>
                </c:pt>
                <c:pt idx="16">
                  <c:v>2008-09</c:v>
                </c:pt>
                <c:pt idx="17">
                  <c:v>2009-10</c:v>
                </c:pt>
                <c:pt idx="18">
                  <c:v>2010-11</c:v>
                </c:pt>
                <c:pt idx="19">
                  <c:v>2011-12</c:v>
                </c:pt>
                <c:pt idx="20">
                  <c:v>2012-13</c:v>
                </c:pt>
                <c:pt idx="21">
                  <c:v>2013-14</c:v>
                </c:pt>
                <c:pt idx="22">
                  <c:v>2014-15</c:v>
                </c:pt>
              </c:strCache>
            </c:strRef>
          </c:cat>
          <c:val>
            <c:numRef>
              <c:f>Sheet1!$BY$159:$BY$181</c:f>
              <c:numCache>
                <c:formatCode>General</c:formatCode>
                <c:ptCount val="23"/>
                <c:pt idx="0">
                  <c:v>0.2</c:v>
                </c:pt>
                <c:pt idx="1">
                  <c:v>0.05</c:v>
                </c:pt>
                <c:pt idx="2">
                  <c:v>0.05</c:v>
                </c:pt>
                <c:pt idx="3">
                  <c:v>0.2</c:v>
                </c:pt>
                <c:pt idx="4">
                  <c:v>0</c:v>
                </c:pt>
                <c:pt idx="5">
                  <c:v>0.2</c:v>
                </c:pt>
                <c:pt idx="6">
                  <c:v>1.4</c:v>
                </c:pt>
                <c:pt idx="7">
                  <c:v>1.2</c:v>
                </c:pt>
                <c:pt idx="8">
                  <c:v>3.6</c:v>
                </c:pt>
                <c:pt idx="9">
                  <c:v>6.6</c:v>
                </c:pt>
                <c:pt idx="10">
                  <c:v>3.2</c:v>
                </c:pt>
                <c:pt idx="11">
                  <c:v>8.1</c:v>
                </c:pt>
                <c:pt idx="12">
                  <c:v>12.5</c:v>
                </c:pt>
                <c:pt idx="13">
                  <c:v>4.5</c:v>
                </c:pt>
                <c:pt idx="14">
                  <c:v>5</c:v>
                </c:pt>
                <c:pt idx="15">
                  <c:v>5</c:v>
                </c:pt>
                <c:pt idx="16">
                  <c:v>11.8</c:v>
                </c:pt>
                <c:pt idx="17">
                  <c:v>9</c:v>
                </c:pt>
                <c:pt idx="18">
                  <c:v>13.3</c:v>
                </c:pt>
                <c:pt idx="19">
                  <c:v>12.4</c:v>
                </c:pt>
                <c:pt idx="20">
                  <c:v>27.9</c:v>
                </c:pt>
                <c:pt idx="21">
                  <c:v>23.6</c:v>
                </c:pt>
              </c:numCache>
            </c:numRef>
          </c:val>
        </c:ser>
        <c:ser>
          <c:idx val="1"/>
          <c:order val="1"/>
          <c:tx>
            <c:strRef>
              <c:f>Sheet1!$BZ$158</c:f>
              <c:strCache>
                <c:ptCount val="1"/>
                <c:pt idx="0">
                  <c:v>Chickpeas</c:v>
                </c:pt>
              </c:strCache>
            </c:strRef>
          </c:tx>
          <c:spPr>
            <a:solidFill>
              <a:schemeClr val="tx1"/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Sheet1!$BX$159:$BX$181</c:f>
              <c:strCache>
                <c:ptCount val="23"/>
                <c:pt idx="0">
                  <c:v>1992-93</c:v>
                </c:pt>
                <c:pt idx="1">
                  <c:v>1993-94</c:v>
                </c:pt>
                <c:pt idx="2">
                  <c:v>1994-95</c:v>
                </c:pt>
                <c:pt idx="3">
                  <c:v>1995-96</c:v>
                </c:pt>
                <c:pt idx="4">
                  <c:v>1996-97</c:v>
                </c:pt>
                <c:pt idx="5">
                  <c:v>1997-98</c:v>
                </c:pt>
                <c:pt idx="6">
                  <c:v>1998-99</c:v>
                </c:pt>
                <c:pt idx="7">
                  <c:v>1999-00</c:v>
                </c:pt>
                <c:pt idx="8">
                  <c:v>2000-01</c:v>
                </c:pt>
                <c:pt idx="9">
                  <c:v>2001-02</c:v>
                </c:pt>
                <c:pt idx="10">
                  <c:v>2002-03</c:v>
                </c:pt>
                <c:pt idx="11">
                  <c:v>2003-04</c:v>
                </c:pt>
                <c:pt idx="12">
                  <c:v>2004-05</c:v>
                </c:pt>
                <c:pt idx="13">
                  <c:v>2005-06</c:v>
                </c:pt>
                <c:pt idx="14">
                  <c:v>2006-07</c:v>
                </c:pt>
                <c:pt idx="15">
                  <c:v>2007-08</c:v>
                </c:pt>
                <c:pt idx="16">
                  <c:v>2008-09</c:v>
                </c:pt>
                <c:pt idx="17">
                  <c:v>2009-10</c:v>
                </c:pt>
                <c:pt idx="18">
                  <c:v>2010-11</c:v>
                </c:pt>
                <c:pt idx="19">
                  <c:v>2011-12</c:v>
                </c:pt>
                <c:pt idx="20">
                  <c:v>2012-13</c:v>
                </c:pt>
                <c:pt idx="21">
                  <c:v>2013-14</c:v>
                </c:pt>
                <c:pt idx="22">
                  <c:v>2014-15</c:v>
                </c:pt>
              </c:strCache>
            </c:strRef>
          </c:cat>
          <c:val>
            <c:numRef>
              <c:f>Sheet1!$BZ$159:$BZ$181</c:f>
              <c:numCache>
                <c:formatCode>General</c:formatCode>
                <c:ptCount val="23"/>
                <c:pt idx="0">
                  <c:v>0.60000000000000064</c:v>
                </c:pt>
                <c:pt idx="1">
                  <c:v>0.30000000000000032</c:v>
                </c:pt>
                <c:pt idx="2">
                  <c:v>0.30000000000000032</c:v>
                </c:pt>
                <c:pt idx="3">
                  <c:v>0.2</c:v>
                </c:pt>
                <c:pt idx="4">
                  <c:v>0.1</c:v>
                </c:pt>
                <c:pt idx="5">
                  <c:v>0.2</c:v>
                </c:pt>
                <c:pt idx="6">
                  <c:v>0.30000000000000032</c:v>
                </c:pt>
                <c:pt idx="7">
                  <c:v>0.2</c:v>
                </c:pt>
                <c:pt idx="8">
                  <c:v>0.30000000000000032</c:v>
                </c:pt>
                <c:pt idx="9">
                  <c:v>0.60000000000000064</c:v>
                </c:pt>
                <c:pt idx="10">
                  <c:v>0.4</c:v>
                </c:pt>
                <c:pt idx="11">
                  <c:v>0.70000000000000062</c:v>
                </c:pt>
                <c:pt idx="12">
                  <c:v>0.30000000000000032</c:v>
                </c:pt>
                <c:pt idx="13">
                  <c:v>0.4</c:v>
                </c:pt>
                <c:pt idx="14">
                  <c:v>1.3</c:v>
                </c:pt>
                <c:pt idx="15">
                  <c:v>0</c:v>
                </c:pt>
                <c:pt idx="16">
                  <c:v>1.9000000000000001</c:v>
                </c:pt>
                <c:pt idx="17">
                  <c:v>1.9000000000000001</c:v>
                </c:pt>
                <c:pt idx="18">
                  <c:v>7.9</c:v>
                </c:pt>
                <c:pt idx="19">
                  <c:v>4.4000000000000004</c:v>
                </c:pt>
                <c:pt idx="20">
                  <c:v>5.5</c:v>
                </c:pt>
                <c:pt idx="21">
                  <c:v>4.3</c:v>
                </c:pt>
              </c:numCache>
            </c:numRef>
          </c:val>
        </c:ser>
        <c:ser>
          <c:idx val="2"/>
          <c:order val="2"/>
          <c:tx>
            <c:strRef>
              <c:f>Sheet1!$CA$158</c:f>
              <c:strCache>
                <c:ptCount val="1"/>
                <c:pt idx="0">
                  <c:v>Cotton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Sheet1!$BX$159:$BX$181</c:f>
              <c:strCache>
                <c:ptCount val="23"/>
                <c:pt idx="0">
                  <c:v>1992-93</c:v>
                </c:pt>
                <c:pt idx="1">
                  <c:v>1993-94</c:v>
                </c:pt>
                <c:pt idx="2">
                  <c:v>1994-95</c:v>
                </c:pt>
                <c:pt idx="3">
                  <c:v>1995-96</c:v>
                </c:pt>
                <c:pt idx="4">
                  <c:v>1996-97</c:v>
                </c:pt>
                <c:pt idx="5">
                  <c:v>1997-98</c:v>
                </c:pt>
                <c:pt idx="6">
                  <c:v>1998-99</c:v>
                </c:pt>
                <c:pt idx="7">
                  <c:v>1999-00</c:v>
                </c:pt>
                <c:pt idx="8">
                  <c:v>2000-01</c:v>
                </c:pt>
                <c:pt idx="9">
                  <c:v>2001-02</c:v>
                </c:pt>
                <c:pt idx="10">
                  <c:v>2002-03</c:v>
                </c:pt>
                <c:pt idx="11">
                  <c:v>2003-04</c:v>
                </c:pt>
                <c:pt idx="12">
                  <c:v>2004-05</c:v>
                </c:pt>
                <c:pt idx="13">
                  <c:v>2005-06</c:v>
                </c:pt>
                <c:pt idx="14">
                  <c:v>2006-07</c:v>
                </c:pt>
                <c:pt idx="15">
                  <c:v>2007-08</c:v>
                </c:pt>
                <c:pt idx="16">
                  <c:v>2008-09</c:v>
                </c:pt>
                <c:pt idx="17">
                  <c:v>2009-10</c:v>
                </c:pt>
                <c:pt idx="18">
                  <c:v>2010-11</c:v>
                </c:pt>
                <c:pt idx="19">
                  <c:v>2011-12</c:v>
                </c:pt>
                <c:pt idx="20">
                  <c:v>2012-13</c:v>
                </c:pt>
                <c:pt idx="21">
                  <c:v>2013-14</c:v>
                </c:pt>
                <c:pt idx="22">
                  <c:v>2014-15</c:v>
                </c:pt>
              </c:strCache>
            </c:strRef>
          </c:cat>
          <c:val>
            <c:numRef>
              <c:f>Sheet1!$CA$159:$CA$181</c:f>
              <c:numCache>
                <c:formatCode>General</c:formatCode>
                <c:ptCount val="23"/>
                <c:pt idx="0">
                  <c:v>8</c:v>
                </c:pt>
                <c:pt idx="1">
                  <c:v>12.4</c:v>
                </c:pt>
                <c:pt idx="2">
                  <c:v>10.1</c:v>
                </c:pt>
                <c:pt idx="3">
                  <c:v>20.8</c:v>
                </c:pt>
                <c:pt idx="4">
                  <c:v>18.100000000000001</c:v>
                </c:pt>
                <c:pt idx="5">
                  <c:v>18.100000000000001</c:v>
                </c:pt>
                <c:pt idx="6">
                  <c:v>21.1</c:v>
                </c:pt>
                <c:pt idx="7">
                  <c:v>19.8</c:v>
                </c:pt>
                <c:pt idx="8">
                  <c:v>23.8</c:v>
                </c:pt>
                <c:pt idx="9">
                  <c:v>15.2</c:v>
                </c:pt>
                <c:pt idx="10">
                  <c:v>10.200000000000001</c:v>
                </c:pt>
                <c:pt idx="11">
                  <c:v>8</c:v>
                </c:pt>
                <c:pt idx="12">
                  <c:v>11</c:v>
                </c:pt>
                <c:pt idx="13">
                  <c:v>11.7</c:v>
                </c:pt>
                <c:pt idx="14">
                  <c:v>7.6</c:v>
                </c:pt>
                <c:pt idx="15">
                  <c:v>2.4</c:v>
                </c:pt>
                <c:pt idx="16">
                  <c:v>5.0999999999999996</c:v>
                </c:pt>
                <c:pt idx="17">
                  <c:v>6.9</c:v>
                </c:pt>
                <c:pt idx="18">
                  <c:v>22.5</c:v>
                </c:pt>
                <c:pt idx="19">
                  <c:v>18.7</c:v>
                </c:pt>
                <c:pt idx="20">
                  <c:v>13.1</c:v>
                </c:pt>
                <c:pt idx="21">
                  <c:v>13.3</c:v>
                </c:pt>
              </c:numCache>
            </c:numRef>
          </c:val>
        </c:ser>
        <c:ser>
          <c:idx val="3"/>
          <c:order val="3"/>
          <c:tx>
            <c:strRef>
              <c:f>Sheet1!$CB$158</c:f>
              <c:strCache>
                <c:ptCount val="1"/>
                <c:pt idx="0">
                  <c:v>Sorghum</c:v>
                </c:pt>
              </c:strCache>
            </c:strRef>
          </c:tx>
          <c:spPr>
            <a:solidFill>
              <a:schemeClr val="bg1"/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Sheet1!$BX$159:$BX$181</c:f>
              <c:strCache>
                <c:ptCount val="23"/>
                <c:pt idx="0">
                  <c:v>1992-93</c:v>
                </c:pt>
                <c:pt idx="1">
                  <c:v>1993-94</c:v>
                </c:pt>
                <c:pt idx="2">
                  <c:v>1994-95</c:v>
                </c:pt>
                <c:pt idx="3">
                  <c:v>1995-96</c:v>
                </c:pt>
                <c:pt idx="4">
                  <c:v>1996-97</c:v>
                </c:pt>
                <c:pt idx="5">
                  <c:v>1997-98</c:v>
                </c:pt>
                <c:pt idx="6">
                  <c:v>1998-99</c:v>
                </c:pt>
                <c:pt idx="7">
                  <c:v>1999-00</c:v>
                </c:pt>
                <c:pt idx="8">
                  <c:v>2000-01</c:v>
                </c:pt>
                <c:pt idx="9">
                  <c:v>2001-02</c:v>
                </c:pt>
                <c:pt idx="10">
                  <c:v>2002-03</c:v>
                </c:pt>
                <c:pt idx="11">
                  <c:v>2003-04</c:v>
                </c:pt>
                <c:pt idx="12">
                  <c:v>2004-05</c:v>
                </c:pt>
                <c:pt idx="13">
                  <c:v>2005-06</c:v>
                </c:pt>
                <c:pt idx="14">
                  <c:v>2006-07</c:v>
                </c:pt>
                <c:pt idx="15">
                  <c:v>2007-08</c:v>
                </c:pt>
                <c:pt idx="16">
                  <c:v>2008-09</c:v>
                </c:pt>
                <c:pt idx="17">
                  <c:v>2009-10</c:v>
                </c:pt>
                <c:pt idx="18">
                  <c:v>2010-11</c:v>
                </c:pt>
                <c:pt idx="19">
                  <c:v>2011-12</c:v>
                </c:pt>
                <c:pt idx="20">
                  <c:v>2012-13</c:v>
                </c:pt>
                <c:pt idx="21">
                  <c:v>2013-14</c:v>
                </c:pt>
                <c:pt idx="22">
                  <c:v>2014-15</c:v>
                </c:pt>
              </c:strCache>
            </c:strRef>
          </c:cat>
          <c:val>
            <c:numRef>
              <c:f>Sheet1!$CB$159:$CB$181</c:f>
              <c:numCache>
                <c:formatCode>General</c:formatCode>
                <c:ptCount val="23"/>
                <c:pt idx="0">
                  <c:v>17.399999999999999</c:v>
                </c:pt>
                <c:pt idx="1">
                  <c:v>15.8</c:v>
                </c:pt>
                <c:pt idx="2">
                  <c:v>14</c:v>
                </c:pt>
                <c:pt idx="3">
                  <c:v>14.2</c:v>
                </c:pt>
                <c:pt idx="4">
                  <c:v>18.399999999999999</c:v>
                </c:pt>
                <c:pt idx="5">
                  <c:v>14.6</c:v>
                </c:pt>
                <c:pt idx="6">
                  <c:v>25.8</c:v>
                </c:pt>
                <c:pt idx="7">
                  <c:v>25.8</c:v>
                </c:pt>
                <c:pt idx="8">
                  <c:v>28.2</c:v>
                </c:pt>
                <c:pt idx="9">
                  <c:v>29.9</c:v>
                </c:pt>
                <c:pt idx="10">
                  <c:v>30.4</c:v>
                </c:pt>
                <c:pt idx="11">
                  <c:v>24.9</c:v>
                </c:pt>
                <c:pt idx="12">
                  <c:v>24.5</c:v>
                </c:pt>
                <c:pt idx="13">
                  <c:v>37.700000000000003</c:v>
                </c:pt>
                <c:pt idx="14">
                  <c:v>21</c:v>
                </c:pt>
                <c:pt idx="15">
                  <c:v>35.200000000000003</c:v>
                </c:pt>
                <c:pt idx="16">
                  <c:v>29.1</c:v>
                </c:pt>
                <c:pt idx="17">
                  <c:v>21</c:v>
                </c:pt>
                <c:pt idx="18">
                  <c:v>25.5</c:v>
                </c:pt>
                <c:pt idx="19">
                  <c:v>26.6</c:v>
                </c:pt>
                <c:pt idx="20">
                  <c:v>28.7</c:v>
                </c:pt>
                <c:pt idx="21">
                  <c:v>23.4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0865024"/>
        <c:axId val="350865416"/>
      </c:barChart>
      <c:catAx>
        <c:axId val="3508650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400"/>
                </a:pPr>
                <a:r>
                  <a:rPr lang="en-US" sz="1400"/>
                  <a:t>Years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en-US"/>
          </a:p>
        </c:txPr>
        <c:crossAx val="350865416"/>
        <c:crosses val="autoZero"/>
        <c:auto val="1"/>
        <c:lblAlgn val="ctr"/>
        <c:lblOffset val="100"/>
        <c:noMultiLvlLbl val="0"/>
      </c:catAx>
      <c:valAx>
        <c:axId val="35086541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400"/>
                </a:pPr>
                <a:r>
                  <a:rPr lang="en-US" sz="1400"/>
                  <a:t>Hectares of Crop ('000s)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en-US"/>
          </a:p>
        </c:txPr>
        <c:crossAx val="350865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246011958454231"/>
          <c:y val="5.9769828588446434E-2"/>
          <c:w val="0.19377249625316892"/>
          <c:h val="0.29503891551982114"/>
        </c:manualLayout>
      </c:layout>
      <c:overlay val="0"/>
      <c:txPr>
        <a:bodyPr/>
        <a:lstStyle/>
        <a:p>
          <a:pPr>
            <a:defRPr sz="1200" b="1"/>
          </a:pPr>
          <a:endParaRPr lang="en-US"/>
        </a:p>
      </c:txPr>
    </c:legend>
    <c:plotVisOnly val="1"/>
    <c:dispBlanksAs val="gap"/>
    <c:showDLblsOverMax val="0"/>
  </c:chart>
  <c:spPr>
    <a:ln>
      <a:solidFill>
        <a:sysClr val="windowText" lastClr="000000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Geoff (Agriculture, Black Mountain)</dc:creator>
  <cp:keywords/>
  <dc:description/>
  <cp:lastModifiedBy>Baker, Geoff (Agriculture, Black Mountain)</cp:lastModifiedBy>
  <cp:revision>9</cp:revision>
  <dcterms:created xsi:type="dcterms:W3CDTF">2016-07-26T00:42:00Z</dcterms:created>
  <dcterms:modified xsi:type="dcterms:W3CDTF">2016-07-29T02:01:00Z</dcterms:modified>
</cp:coreProperties>
</file>