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0AD" w:rsidRDefault="00996DBD" w:rsidP="005D78F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Online Resource </w:t>
      </w:r>
      <w:r w:rsidR="00B754D7">
        <w:rPr>
          <w:rFonts w:ascii="Times New Roman" w:hAnsi="Times New Roman" w:cs="Times New Roman"/>
          <w:sz w:val="24"/>
          <w:szCs w:val="24"/>
          <w:lang w:val="en-US"/>
        </w:rPr>
        <w:t>7</w:t>
      </w:r>
      <w:bookmarkStart w:id="0" w:name="_GoBack"/>
      <w:bookmarkEnd w:id="0"/>
      <w:r w:rsidR="006316B2" w:rsidRPr="00A70BF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BD505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omposition of </w:t>
      </w:r>
      <w:r w:rsidR="00BD5054">
        <w:rPr>
          <w:rFonts w:ascii="Times New Roman" w:hAnsi="Times New Roman" w:cs="Times New Roman"/>
          <w:sz w:val="24"/>
          <w:szCs w:val="24"/>
          <w:lang w:val="en-US"/>
        </w:rPr>
        <w:t xml:space="preserve">volatiles emitted by </w:t>
      </w:r>
      <w:r w:rsidR="00081313">
        <w:rPr>
          <w:rFonts w:ascii="Times New Roman" w:hAnsi="Times New Roman" w:cs="Times New Roman"/>
          <w:sz w:val="24"/>
          <w:szCs w:val="24"/>
          <w:lang w:val="en-US"/>
        </w:rPr>
        <w:t>mock plants</w:t>
      </w:r>
      <w:r w:rsidR="00F75735">
        <w:rPr>
          <w:rFonts w:ascii="Times New Roman" w:hAnsi="Times New Roman" w:cs="Times New Roman"/>
          <w:sz w:val="24"/>
          <w:szCs w:val="24"/>
          <w:lang w:val="en-US"/>
        </w:rPr>
        <w:t xml:space="preserve"> (Mock)</w:t>
      </w:r>
      <w:r w:rsidR="0008131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6DBD">
        <w:rPr>
          <w:rFonts w:ascii="Times New Roman" w:hAnsi="Times New Roman" w:cs="Times New Roman"/>
          <w:sz w:val="24"/>
          <w:szCs w:val="24"/>
          <w:lang w:val="en-US"/>
        </w:rPr>
        <w:t>jasmonic</w:t>
      </w:r>
      <w:proofErr w:type="spellEnd"/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acid</w:t>
      </w:r>
      <w:r w:rsidR="004D09F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>treated</w:t>
      </w:r>
      <w:r w:rsidR="009D3783">
        <w:rPr>
          <w:rFonts w:ascii="Times New Roman" w:hAnsi="Times New Roman" w:cs="Times New Roman"/>
          <w:sz w:val="24"/>
          <w:szCs w:val="24"/>
          <w:lang w:val="en-US"/>
        </w:rPr>
        <w:t xml:space="preserve"> plants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(JA), </w:t>
      </w:r>
      <w:r w:rsidR="00081313">
        <w:rPr>
          <w:rFonts w:ascii="Times New Roman" w:hAnsi="Times New Roman" w:cs="Times New Roman"/>
          <w:sz w:val="24"/>
          <w:szCs w:val="24"/>
          <w:lang w:val="en-US"/>
        </w:rPr>
        <w:t>mock</w:t>
      </w:r>
      <w:r w:rsidR="00E072BF">
        <w:rPr>
          <w:rFonts w:ascii="Times New Roman" w:hAnsi="Times New Roman" w:cs="Times New Roman"/>
          <w:sz w:val="24"/>
          <w:szCs w:val="24"/>
          <w:lang w:val="en-US"/>
        </w:rPr>
        <w:t xml:space="preserve"> plant</w:t>
      </w:r>
      <w:r w:rsidR="009D378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072BF">
        <w:rPr>
          <w:rFonts w:ascii="Times New Roman" w:hAnsi="Times New Roman" w:cs="Times New Roman"/>
          <w:sz w:val="24"/>
          <w:szCs w:val="24"/>
          <w:lang w:val="en-US"/>
        </w:rPr>
        <w:t xml:space="preserve"> followed by </w:t>
      </w:r>
      <w:proofErr w:type="spellStart"/>
      <w:r w:rsidR="00E072BF">
        <w:rPr>
          <w:rFonts w:ascii="Times New Roman" w:hAnsi="Times New Roman" w:cs="Times New Roman"/>
          <w:i/>
          <w:sz w:val="24"/>
          <w:szCs w:val="24"/>
          <w:lang w:val="en-US"/>
        </w:rPr>
        <w:t>Diatraea</w:t>
      </w:r>
      <w:proofErr w:type="spellEnd"/>
      <w:r w:rsidR="00E072B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072BF">
        <w:rPr>
          <w:rFonts w:ascii="Times New Roman" w:hAnsi="Times New Roman" w:cs="Times New Roman"/>
          <w:i/>
          <w:sz w:val="24"/>
          <w:szCs w:val="24"/>
          <w:lang w:val="en-US"/>
        </w:rPr>
        <w:t>saccharalis</w:t>
      </w:r>
      <w:proofErr w:type="spellEnd"/>
      <w:r w:rsidR="00BD5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72BF">
        <w:rPr>
          <w:rFonts w:ascii="Times New Roman" w:hAnsi="Times New Roman" w:cs="Times New Roman"/>
          <w:sz w:val="24"/>
          <w:szCs w:val="24"/>
          <w:lang w:val="en-US"/>
        </w:rPr>
        <w:t>damage (</w:t>
      </w:r>
      <w:r w:rsidR="00081313">
        <w:rPr>
          <w:rFonts w:ascii="Times New Roman" w:hAnsi="Times New Roman" w:cs="Times New Roman"/>
          <w:sz w:val="24"/>
          <w:szCs w:val="24"/>
          <w:lang w:val="en-US"/>
        </w:rPr>
        <w:t>Mock</w:t>
      </w:r>
      <w:r w:rsidR="00E072BF">
        <w:rPr>
          <w:rFonts w:ascii="Times New Roman" w:hAnsi="Times New Roman" w:cs="Times New Roman"/>
          <w:sz w:val="24"/>
          <w:szCs w:val="24"/>
          <w:lang w:val="en-US"/>
        </w:rPr>
        <w:t xml:space="preserve"> + DS)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996DBD">
        <w:rPr>
          <w:rFonts w:ascii="Times New Roman" w:hAnsi="Times New Roman" w:cs="Times New Roman"/>
          <w:sz w:val="24"/>
          <w:szCs w:val="24"/>
          <w:lang w:val="en-US"/>
        </w:rPr>
        <w:t>jasmonic</w:t>
      </w:r>
      <w:proofErr w:type="spellEnd"/>
      <w:r w:rsidR="004D09F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>acid treated plant</w:t>
      </w:r>
      <w:r w:rsidR="009D378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followed by </w:t>
      </w:r>
      <w:proofErr w:type="spellStart"/>
      <w:r w:rsidRPr="00E072BF">
        <w:rPr>
          <w:rFonts w:ascii="Times New Roman" w:hAnsi="Times New Roman" w:cs="Times New Roman"/>
          <w:i/>
          <w:sz w:val="24"/>
          <w:szCs w:val="24"/>
          <w:lang w:val="en-US"/>
        </w:rPr>
        <w:t>Diatraea</w:t>
      </w:r>
      <w:proofErr w:type="spellEnd"/>
      <w:r w:rsidRPr="00E072B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E072BF">
        <w:rPr>
          <w:rFonts w:ascii="Times New Roman" w:hAnsi="Times New Roman" w:cs="Times New Roman"/>
          <w:i/>
          <w:sz w:val="24"/>
          <w:szCs w:val="24"/>
          <w:lang w:val="en-US"/>
        </w:rPr>
        <w:t>saccharalis</w:t>
      </w:r>
      <w:proofErr w:type="spellEnd"/>
      <w:r w:rsidR="00BD5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>damage (JA+DS). Relative amounts (mean ± SE in ng.100g</w:t>
      </w:r>
      <w:r w:rsidR="004F18A3" w:rsidRPr="00624EA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dry plant tissue) were estima</w:t>
      </w:r>
      <w:r w:rsidR="009E01F4">
        <w:rPr>
          <w:rFonts w:ascii="Times New Roman" w:hAnsi="Times New Roman" w:cs="Times New Roman"/>
          <w:sz w:val="24"/>
          <w:szCs w:val="24"/>
          <w:lang w:val="en-US"/>
        </w:rPr>
        <w:t>ted based on internal standard</w:t>
      </w:r>
    </w:p>
    <w:tbl>
      <w:tblPr>
        <w:tblW w:w="1033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6"/>
        <w:gridCol w:w="1542"/>
        <w:gridCol w:w="1276"/>
        <w:gridCol w:w="1701"/>
        <w:gridCol w:w="1559"/>
        <w:gridCol w:w="1843"/>
      </w:tblGrid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81313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Calculated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Kovats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Index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Mock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bookmarkStart w:id="1" w:name="RANGE!H13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JA</w:t>
            </w:r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+ </w:t>
            </w: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JA </w:t>
            </w: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DS</w:t>
            </w:r>
          </w:p>
        </w:tc>
      </w:tr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A108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Alcohols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Phenylmethanol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1313" w:rsidRPr="00A108EA" w:rsidRDefault="00081313" w:rsidP="0008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83.0 ± 1.9</w:t>
            </w:r>
          </w:p>
        </w:tc>
      </w:tr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2-Phenylethanol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96.0 ± 4.3</w:t>
            </w:r>
          </w:p>
        </w:tc>
      </w:tr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Alcohols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179.6 ± 4.6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b</w:t>
            </w:r>
          </w:p>
        </w:tc>
      </w:tr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A108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Be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n</w:t>
            </w:r>
            <w:r w:rsidRPr="00A108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zenoids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1313" w:rsidRPr="00A108EA" w:rsidRDefault="00081313" w:rsidP="00A10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Methyl</w:t>
            </w:r>
            <w:proofErr w:type="spell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alicylate</w:t>
            </w:r>
            <w:proofErr w:type="spell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I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87.4 ± 0.5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</w:tr>
      <w:tr w:rsidR="00716CA4" w:rsidRPr="00A108EA" w:rsidTr="00495E20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6CA4" w:rsidRPr="00A108EA" w:rsidRDefault="00716CA4" w:rsidP="0049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1H-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</w:t>
            </w: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ndole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I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16CA4" w:rsidRPr="00A108EA" w:rsidRDefault="00716CA4" w:rsidP="0049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49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49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84.4 ± 16.9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49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49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343.9 ± 85.7 </w:t>
            </w:r>
          </w:p>
        </w:tc>
      </w:tr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benzenoids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84.4 ± 16.9 </w:t>
            </w:r>
            <w:proofErr w:type="spellStart"/>
            <w:r w:rsidRPr="00A10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pt-BR"/>
              </w:rPr>
              <w:t>ab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87.4 ± 0.5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343.9 ± 85.7</w:t>
            </w:r>
            <w:r w:rsidRPr="00A108EA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pt-BR"/>
              </w:rPr>
              <w:t>c</w:t>
            </w:r>
            <w:r w:rsidRPr="00A108EA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pt-BR"/>
              </w:rPr>
              <w:t xml:space="preserve"> </w:t>
            </w:r>
          </w:p>
        </w:tc>
      </w:tr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Ester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1313" w:rsidRPr="00A108EA" w:rsidRDefault="00081313" w:rsidP="00A10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Methyl</w:t>
            </w:r>
            <w:proofErr w:type="spell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nthranilate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1342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A1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120.9 ± 5.1 </w:t>
            </w:r>
          </w:p>
        </w:tc>
      </w:tr>
      <w:tr w:rsidR="00081313" w:rsidRPr="00A108EA" w:rsidTr="00081313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A10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ester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68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120.9 ± 5.1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b</w:t>
            </w:r>
          </w:p>
        </w:tc>
      </w:tr>
      <w:tr w:rsidR="00081313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313" w:rsidRPr="00A108EA" w:rsidRDefault="00081313" w:rsidP="00716C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A108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Sesquiterpenes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81313" w:rsidRPr="00A108EA" w:rsidRDefault="00081313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81313" w:rsidRPr="00A108EA" w:rsidRDefault="00081313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Cyclosativene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1368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118.3 ± 4.4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α</w:t>
            </w:r>
            <w:proofErr w:type="gram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copaene</w:t>
            </w:r>
            <w:proofErr w:type="spell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I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1379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118.3 ± 4.4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β</w:t>
            </w:r>
            <w:proofErr w:type="gram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elemene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1394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111.0 ± 0.6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128.1 ± 4.5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α</w:t>
            </w:r>
            <w:proofErr w:type="gram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bergamotene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1405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187.0 ± 26.6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246.3 ± 12.8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β</w:t>
            </w:r>
            <w:proofErr w:type="gram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caryophyllene</w:t>
            </w:r>
            <w:proofErr w:type="spell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I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1422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154.8 ± 12.2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122.3 ± 3.8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509.2 ± 87.8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proofErr w:type="gram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trans</w:t>
            </w:r>
            <w:proofErr w:type="spellEnd"/>
            <w:proofErr w:type="gram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-β-</w:t>
            </w: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farnesene</w:t>
            </w:r>
            <w:proofErr w:type="spell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I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1456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205.0 ± 32.9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329.4 ± 40.5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β</w:t>
            </w:r>
            <w:proofErr w:type="gram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ionone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1489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126.3 ± 2.1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Zing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</w:t>
            </w: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berene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1495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114.4 ± 2.3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355.6 ± 7.4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β</w:t>
            </w:r>
            <w:proofErr w:type="gram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bisabollene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1513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125.6 ± 0.9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134.4 ± 5.0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β</w:t>
            </w:r>
            <w:proofErr w:type="gram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sesquiphellandrene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1535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266.3 ± 10.5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307.6 ± 7.0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Caryoph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y</w:t>
            </w: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llene</w:t>
            </w:r>
            <w:proofErr w:type="spellEnd"/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xide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I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1580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149.2 ±  5.0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sesquiterpenes</w:t>
            </w:r>
            <w:proofErr w:type="spellEnd"/>
          </w:p>
        </w:tc>
        <w:tc>
          <w:tcPr>
            <w:tcW w:w="1542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1272.7 ± 80.7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b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122.3 ± 3.8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2426.5 ± 127.5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c</w:t>
            </w:r>
          </w:p>
        </w:tc>
      </w:tr>
      <w:tr w:rsidR="00716CA4" w:rsidRPr="00A108EA" w:rsidTr="00716CA4">
        <w:trPr>
          <w:trHeight w:val="315"/>
          <w:jc w:val="center"/>
        </w:trPr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e</w:t>
            </w:r>
            <w:r w:rsidRPr="00A108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mission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s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0.0 ± 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1227.2 ± 86.9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209.8 ± 4.0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16CA4" w:rsidRPr="00A108EA" w:rsidRDefault="00716CA4" w:rsidP="0071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10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2698.1 ± 199.6 </w:t>
            </w:r>
            <w:r w:rsidRPr="00A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t-BR"/>
              </w:rPr>
              <w:t>c</w:t>
            </w:r>
          </w:p>
        </w:tc>
      </w:tr>
    </w:tbl>
    <w:p w:rsidR="009E01F4" w:rsidRDefault="009E01F4" w:rsidP="009E01F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Same letters </w:t>
      </w:r>
      <w:r w:rsidR="00BD5054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no differ</w:t>
      </w:r>
      <w:r w:rsidR="00BD5054">
        <w:rPr>
          <w:rFonts w:ascii="Times New Roman" w:hAnsi="Times New Roman" w:cs="Times New Roman"/>
          <w:sz w:val="24"/>
          <w:szCs w:val="24"/>
          <w:lang w:val="en-US"/>
        </w:rPr>
        <w:t>ence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at 5% significance</w:t>
      </w:r>
      <w:r w:rsidR="004D09F2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according to </w:t>
      </w:r>
      <w:proofErr w:type="spellStart"/>
      <w:r w:rsidRPr="00996DBD">
        <w:rPr>
          <w:rFonts w:ascii="Times New Roman" w:hAnsi="Times New Roman" w:cs="Times New Roman"/>
          <w:sz w:val="24"/>
          <w:szCs w:val="24"/>
          <w:lang w:val="en-US"/>
        </w:rPr>
        <w:t>generali</w:t>
      </w:r>
      <w:r w:rsidR="00BD505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linear model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followed by Tukey’s test for pairwise comparisons</w:t>
      </w:r>
    </w:p>
    <w:p w:rsidR="009132C8" w:rsidRPr="00624EAA" w:rsidRDefault="009E01F4" w:rsidP="009E01F4">
      <w:pPr>
        <w:jc w:val="both"/>
        <w:rPr>
          <w:lang w:val="en-US"/>
        </w:rPr>
      </w:pP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72BF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I</w:t>
      </w:r>
      <w:r w:rsidRPr="00996DBD">
        <w:rPr>
          <w:rFonts w:ascii="Times New Roman" w:hAnsi="Times New Roman" w:cs="Times New Roman"/>
          <w:sz w:val="24"/>
          <w:szCs w:val="24"/>
          <w:lang w:val="en-US"/>
        </w:rPr>
        <w:t xml:space="preserve"> indicates recognition by synthetic standard</w:t>
      </w:r>
    </w:p>
    <w:sectPr w:rsidR="009132C8" w:rsidRPr="00624EAA" w:rsidSect="00A108E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A3F" w:rsidRDefault="00E73A3F" w:rsidP="00147225">
      <w:pPr>
        <w:spacing w:after="0" w:line="240" w:lineRule="auto"/>
      </w:pPr>
      <w:r>
        <w:separator/>
      </w:r>
    </w:p>
  </w:endnote>
  <w:endnote w:type="continuationSeparator" w:id="0">
    <w:p w:rsidR="00E73A3F" w:rsidRDefault="00E73A3F" w:rsidP="0014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EAA" w:rsidRPr="00147225" w:rsidRDefault="00147225" w:rsidP="00624EAA">
    <w:pPr>
      <w:pStyle w:val="Rodap"/>
      <w:rPr>
        <w:lang w:val="en-US"/>
      </w:rPr>
    </w:pPr>
    <w:proofErr w:type="spellStart"/>
    <w:r w:rsidRPr="00147225">
      <w:rPr>
        <w:rFonts w:ascii="Times New Roman" w:hAnsi="Times New Roman" w:cs="Times New Roman"/>
        <w:sz w:val="24"/>
        <w:szCs w:val="24"/>
        <w:lang w:val="en-US"/>
      </w:rPr>
      <w:t>Sanches</w:t>
    </w:r>
    <w:proofErr w:type="spellEnd"/>
    <w:r w:rsidRPr="00147225">
      <w:rPr>
        <w:rFonts w:ascii="Times New Roman" w:hAnsi="Times New Roman" w:cs="Times New Roman"/>
        <w:sz w:val="24"/>
        <w:szCs w:val="24"/>
        <w:lang w:val="en-US"/>
      </w:rPr>
      <w:t xml:space="preserve"> et al. 201</w:t>
    </w:r>
    <w:r w:rsidR="00081313">
      <w:rPr>
        <w:rFonts w:ascii="Times New Roman" w:hAnsi="Times New Roman" w:cs="Times New Roman"/>
        <w:sz w:val="24"/>
        <w:szCs w:val="24"/>
        <w:lang w:val="en-US"/>
      </w:rPr>
      <w:t>7</w:t>
    </w:r>
    <w:r w:rsidRPr="00147225">
      <w:rPr>
        <w:rFonts w:ascii="Times New Roman" w:hAnsi="Times New Roman" w:cs="Times New Roman"/>
        <w:sz w:val="24"/>
        <w:szCs w:val="24"/>
        <w:lang w:val="en-US"/>
      </w:rPr>
      <w:t xml:space="preserve">. </w:t>
    </w:r>
    <w:r w:rsidR="00624EAA">
      <w:rPr>
        <w:rFonts w:ascii="Times New Roman" w:hAnsi="Times New Roman" w:cs="Times New Roman"/>
        <w:sz w:val="24"/>
        <w:szCs w:val="24"/>
        <w:lang w:val="en-US"/>
      </w:rPr>
      <w:t>D</w:t>
    </w:r>
    <w:r w:rsidR="00624EAA" w:rsidRPr="00F5526F">
      <w:rPr>
        <w:rFonts w:ascii="Times New Roman" w:hAnsi="Times New Roman" w:cs="Times New Roman"/>
        <w:sz w:val="24"/>
        <w:szCs w:val="24"/>
        <w:lang w:val="en-US"/>
      </w:rPr>
      <w:t>irect and indir</w:t>
    </w:r>
    <w:r w:rsidR="00624EAA">
      <w:rPr>
        <w:rFonts w:ascii="Times New Roman" w:hAnsi="Times New Roman" w:cs="Times New Roman"/>
        <w:sz w:val="24"/>
        <w:szCs w:val="24"/>
        <w:lang w:val="en-US"/>
      </w:rPr>
      <w:t xml:space="preserve">ect resistance of sugarcane to </w:t>
    </w:r>
    <w:proofErr w:type="spellStart"/>
    <w:r w:rsidR="00624EAA" w:rsidRPr="00F5526F">
      <w:rPr>
        <w:rFonts w:ascii="Times New Roman" w:hAnsi="Times New Roman" w:cs="Times New Roman"/>
        <w:i/>
        <w:sz w:val="24"/>
        <w:szCs w:val="24"/>
        <w:lang w:val="en-US"/>
      </w:rPr>
      <w:t>Diatraea</w:t>
    </w:r>
    <w:proofErr w:type="spellEnd"/>
    <w:r w:rsidR="00624EAA" w:rsidRPr="00F5526F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proofErr w:type="spellStart"/>
    <w:r w:rsidR="00624EAA" w:rsidRPr="00F5526F">
      <w:rPr>
        <w:rFonts w:ascii="Times New Roman" w:hAnsi="Times New Roman" w:cs="Times New Roman"/>
        <w:i/>
        <w:sz w:val="24"/>
        <w:szCs w:val="24"/>
        <w:lang w:val="en-US"/>
      </w:rPr>
      <w:t>saccharalis</w:t>
    </w:r>
    <w:proofErr w:type="spellEnd"/>
    <w:r w:rsidR="00624EAA" w:rsidRPr="00F5526F">
      <w:rPr>
        <w:rFonts w:ascii="Times New Roman" w:hAnsi="Times New Roman" w:cs="Times New Roman"/>
        <w:sz w:val="24"/>
        <w:szCs w:val="24"/>
        <w:lang w:val="en-US"/>
      </w:rPr>
      <w:t xml:space="preserve"> induced by </w:t>
    </w:r>
    <w:proofErr w:type="spellStart"/>
    <w:r w:rsidR="00624EAA" w:rsidRPr="00F5526F">
      <w:rPr>
        <w:rFonts w:ascii="Times New Roman" w:hAnsi="Times New Roman" w:cs="Times New Roman"/>
        <w:sz w:val="24"/>
        <w:szCs w:val="24"/>
        <w:lang w:val="en-US"/>
      </w:rPr>
      <w:t>jasmonic</w:t>
    </w:r>
    <w:proofErr w:type="spellEnd"/>
    <w:r w:rsidR="00624EAA" w:rsidRPr="00F5526F">
      <w:rPr>
        <w:rFonts w:ascii="Times New Roman" w:hAnsi="Times New Roman" w:cs="Times New Roman"/>
        <w:sz w:val="24"/>
        <w:szCs w:val="24"/>
        <w:lang w:val="en-US"/>
      </w:rPr>
      <w:t xml:space="preserve"> acid</w:t>
    </w:r>
  </w:p>
  <w:p w:rsidR="00624EAA" w:rsidRPr="00147225" w:rsidRDefault="00624EAA" w:rsidP="00624EAA">
    <w:pPr>
      <w:pStyle w:val="Rodap"/>
      <w:rPr>
        <w:lang w:val="en-US"/>
      </w:rPr>
    </w:pPr>
  </w:p>
  <w:p w:rsidR="00147225" w:rsidRPr="00147225" w:rsidRDefault="00147225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A3F" w:rsidRDefault="00E73A3F" w:rsidP="00147225">
      <w:pPr>
        <w:spacing w:after="0" w:line="240" w:lineRule="auto"/>
      </w:pPr>
      <w:r>
        <w:separator/>
      </w:r>
    </w:p>
  </w:footnote>
  <w:footnote w:type="continuationSeparator" w:id="0">
    <w:p w:rsidR="00E73A3F" w:rsidRDefault="00E73A3F" w:rsidP="00147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225" w:rsidRPr="00147225" w:rsidRDefault="00147225">
    <w:pPr>
      <w:pStyle w:val="Cabealho"/>
      <w:rPr>
        <w:rFonts w:ascii="Times New Roman" w:hAnsi="Times New Roman" w:cs="Times New Roman"/>
        <w:sz w:val="24"/>
        <w:szCs w:val="24"/>
        <w:lang w:val="en-US"/>
      </w:rPr>
    </w:pPr>
    <w:r w:rsidRPr="00147225">
      <w:rPr>
        <w:rFonts w:ascii="Times New Roman" w:hAnsi="Times New Roman" w:cs="Times New Roman"/>
        <w:sz w:val="24"/>
        <w:szCs w:val="24"/>
        <w:lang w:val="en-US"/>
      </w:rPr>
      <w:t>Bulletin of Entomological Research – Ele</w:t>
    </w:r>
    <w:r>
      <w:rPr>
        <w:rFonts w:ascii="Times New Roman" w:hAnsi="Times New Roman" w:cs="Times New Roman"/>
        <w:sz w:val="24"/>
        <w:szCs w:val="24"/>
        <w:lang w:val="en-US"/>
      </w:rPr>
      <w:t>c</w:t>
    </w:r>
    <w:r w:rsidRPr="00147225">
      <w:rPr>
        <w:rFonts w:ascii="Times New Roman" w:hAnsi="Times New Roman" w:cs="Times New Roman"/>
        <w:sz w:val="24"/>
        <w:szCs w:val="24"/>
        <w:lang w:val="en-US"/>
      </w:rPr>
      <w:t>tronic Supplementary Material</w:t>
    </w:r>
  </w:p>
  <w:p w:rsidR="00147225" w:rsidRPr="00147225" w:rsidRDefault="00147225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AyMTA3NrU0MLYwMDJS0lEKTi0uzszPAykwrQUAwmrlASwAAAA="/>
  </w:docVars>
  <w:rsids>
    <w:rsidRoot w:val="00147225"/>
    <w:rsid w:val="000103BA"/>
    <w:rsid w:val="00025E16"/>
    <w:rsid w:val="00081313"/>
    <w:rsid w:val="000D7B8E"/>
    <w:rsid w:val="00114033"/>
    <w:rsid w:val="001417D4"/>
    <w:rsid w:val="00144F5C"/>
    <w:rsid w:val="00147225"/>
    <w:rsid w:val="00166BBC"/>
    <w:rsid w:val="00170F6C"/>
    <w:rsid w:val="001A2277"/>
    <w:rsid w:val="001F33DA"/>
    <w:rsid w:val="00267CA3"/>
    <w:rsid w:val="002810D3"/>
    <w:rsid w:val="002D150F"/>
    <w:rsid w:val="00375146"/>
    <w:rsid w:val="004D09F2"/>
    <w:rsid w:val="004F18A3"/>
    <w:rsid w:val="005916F8"/>
    <w:rsid w:val="005D78FE"/>
    <w:rsid w:val="005F48BF"/>
    <w:rsid w:val="00624EAA"/>
    <w:rsid w:val="006316B2"/>
    <w:rsid w:val="00716CA4"/>
    <w:rsid w:val="007F5B9A"/>
    <w:rsid w:val="009132C8"/>
    <w:rsid w:val="00996DBD"/>
    <w:rsid w:val="009D3783"/>
    <w:rsid w:val="009E01F4"/>
    <w:rsid w:val="00A108EA"/>
    <w:rsid w:val="00A8349A"/>
    <w:rsid w:val="00AA1CE3"/>
    <w:rsid w:val="00B4296E"/>
    <w:rsid w:val="00B754D7"/>
    <w:rsid w:val="00BD5054"/>
    <w:rsid w:val="00C10D24"/>
    <w:rsid w:val="00C750AD"/>
    <w:rsid w:val="00DC5B41"/>
    <w:rsid w:val="00E072BF"/>
    <w:rsid w:val="00E71DEC"/>
    <w:rsid w:val="00E73A3F"/>
    <w:rsid w:val="00EE0979"/>
    <w:rsid w:val="00F7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350A1-C896-4B11-AEE8-D830D94D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225"/>
  </w:style>
  <w:style w:type="paragraph" w:styleId="Rodap">
    <w:name w:val="footer"/>
    <w:basedOn w:val="Normal"/>
    <w:link w:val="RodapChar"/>
    <w:uiPriority w:val="99"/>
    <w:unhideWhenUsed/>
    <w:rsid w:val="00147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7225"/>
  </w:style>
  <w:style w:type="paragraph" w:styleId="Textodebalo">
    <w:name w:val="Balloon Text"/>
    <w:basedOn w:val="Normal"/>
    <w:link w:val="TextodebaloChar"/>
    <w:uiPriority w:val="99"/>
    <w:semiHidden/>
    <w:unhideWhenUsed/>
    <w:rsid w:val="0014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7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</dc:creator>
  <cp:lastModifiedBy>HSB</cp:lastModifiedBy>
  <cp:revision>5</cp:revision>
  <dcterms:created xsi:type="dcterms:W3CDTF">2017-01-10T19:23:00Z</dcterms:created>
  <dcterms:modified xsi:type="dcterms:W3CDTF">2017-01-17T14:27:00Z</dcterms:modified>
</cp:coreProperties>
</file>