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EE" w:rsidRDefault="008953EE" w:rsidP="008953EE">
      <w:pPr>
        <w:spacing w:line="360" w:lineRule="auto"/>
      </w:pPr>
      <w:r>
        <w:rPr>
          <w:b/>
          <w:lang w:val="en-US"/>
        </w:rPr>
        <w:t>Table S2.</w:t>
      </w:r>
      <w:r>
        <w:rPr>
          <w:lang w:val="en-US"/>
        </w:rPr>
        <w:t xml:space="preserve"> Temporal distribution of dung beetles per site. </w:t>
      </w:r>
      <w:r>
        <w:t xml:space="preserve">MOCE: Morro do </w:t>
      </w:r>
      <w:proofErr w:type="spellStart"/>
      <w:r>
        <w:t>Cerrito</w:t>
      </w:r>
      <w:proofErr w:type="spellEnd"/>
      <w:r>
        <w:t xml:space="preserve">; VAFE: Val </w:t>
      </w:r>
      <w:proofErr w:type="spellStart"/>
      <w:r>
        <w:t>Feltrina</w:t>
      </w:r>
      <w:proofErr w:type="spellEnd"/>
      <w:r>
        <w:t xml:space="preserve">, MFBR: Moreno Fortes </w:t>
      </w:r>
      <w:proofErr w:type="spellStart"/>
      <w:r>
        <w:t>Biological</w:t>
      </w:r>
      <w:proofErr w:type="spellEnd"/>
      <w:r>
        <w:t xml:space="preserve"> Reserve; TSPK: Turvo </w:t>
      </w:r>
      <w:proofErr w:type="spellStart"/>
      <w:r>
        <w:t>State</w:t>
      </w:r>
      <w:proofErr w:type="spellEnd"/>
      <w:r>
        <w:t xml:space="preserve"> Park.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210"/>
        <w:gridCol w:w="280"/>
        <w:gridCol w:w="210"/>
        <w:gridCol w:w="280"/>
        <w:gridCol w:w="280"/>
        <w:gridCol w:w="350"/>
        <w:gridCol w:w="350"/>
        <w:gridCol w:w="350"/>
        <w:gridCol w:w="350"/>
        <w:gridCol w:w="350"/>
        <w:gridCol w:w="280"/>
        <w:gridCol w:w="350"/>
        <w:gridCol w:w="210"/>
        <w:gridCol w:w="210"/>
        <w:gridCol w:w="210"/>
        <w:gridCol w:w="210"/>
        <w:gridCol w:w="280"/>
        <w:gridCol w:w="21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50"/>
        <w:gridCol w:w="350"/>
        <w:gridCol w:w="350"/>
        <w:gridCol w:w="350"/>
        <w:gridCol w:w="280"/>
        <w:gridCol w:w="280"/>
        <w:gridCol w:w="350"/>
        <w:gridCol w:w="280"/>
        <w:gridCol w:w="280"/>
        <w:gridCol w:w="420"/>
        <w:gridCol w:w="350"/>
        <w:gridCol w:w="280"/>
        <w:gridCol w:w="280"/>
      </w:tblGrid>
      <w:tr w:rsidR="008953EE" w:rsidTr="008953EE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Species</w:t>
            </w:r>
            <w:proofErr w:type="spellEnd"/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MOCE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VAFE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MFRB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TSPK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apicatus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carbonarius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Ateuchus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robustus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trinodosum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164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43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deplanatum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dispar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Canthidium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moestum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luctuosus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angularis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conformis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laminatus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lividus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oliverioi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quinquemaculatus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rutilans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cyanescens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seminitens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Chalcocopris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hesperus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Coprophanaeus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saphirinus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brasiliense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furcatum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morbillosum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rubripenne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Deltochilum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sculpturatum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acuticornis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assifer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depressicolis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fissus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mormon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nisus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Dichotomius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sericeus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aeneus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caribaeus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Eurysternus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parallelus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630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Homocopris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sp.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Ontherus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azteca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Ontherus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sulcator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Onthophagus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catharinensis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360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Onthophagus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tristis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splendidulus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Scybalocanthon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nigriceps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Sulcophanaeus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menelas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Trichillum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sp.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Uroxys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dilaticollis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Uroxys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aff</w:t>
            </w:r>
            <w:proofErr w:type="spellEnd"/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terminalis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Zonocopris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eastAsia="pt-BR"/>
              </w:rPr>
              <w:t>gibbicollis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asciiTheme="minorHAnsi" w:hAnsiTheme="minorHAnsi"/>
                <w:sz w:val="22"/>
              </w:rPr>
            </w:pPr>
          </w:p>
        </w:tc>
      </w:tr>
      <w:tr w:rsidR="008953EE" w:rsidTr="008953EE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53EE" w:rsidRDefault="008953EE">
            <w:pP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Abundance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48</w:t>
            </w:r>
          </w:p>
        </w:tc>
      </w:tr>
      <w:tr w:rsidR="008953EE" w:rsidTr="008953EE">
        <w:trPr>
          <w:trHeight w:val="1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Species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richness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953EE" w:rsidRDefault="008953EE">
            <w:pPr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sz w:val="14"/>
                <w:szCs w:val="14"/>
                <w:lang w:eastAsia="pt-BR"/>
              </w:rPr>
              <w:t>5</w:t>
            </w:r>
          </w:p>
        </w:tc>
      </w:tr>
    </w:tbl>
    <w:p w:rsidR="008427AD" w:rsidRPr="008953EE" w:rsidRDefault="008427AD" w:rsidP="008953EE">
      <w:bookmarkStart w:id="0" w:name="_GoBack"/>
      <w:bookmarkEnd w:id="0"/>
    </w:p>
    <w:sectPr w:rsidR="008427AD" w:rsidRPr="008953EE" w:rsidSect="008953EE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EE"/>
    <w:rsid w:val="008427AD"/>
    <w:rsid w:val="008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EE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953EE"/>
    <w:pPr>
      <w:keepNext/>
      <w:keepLines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53EE"/>
    <w:pPr>
      <w:keepNext/>
      <w:keepLines/>
      <w:spacing w:after="240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53EE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53EE"/>
    <w:pPr>
      <w:keepNext/>
      <w:keepLines/>
      <w:spacing w:after="240"/>
      <w:outlineLvl w:val="3"/>
    </w:pPr>
    <w:rPr>
      <w:rFonts w:eastAsiaTheme="majorEastAsia"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53EE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53EE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53E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53EE"/>
    <w:rPr>
      <w:rFonts w:ascii="Times New Roman" w:eastAsiaTheme="majorEastAsia" w:hAnsi="Times New Roman" w:cstheme="majorBidi"/>
      <w:iCs/>
      <w:sz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953EE"/>
    <w:pPr>
      <w:spacing w:after="100" w:line="256" w:lineRule="auto"/>
    </w:pPr>
    <w:rPr>
      <w:b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953EE"/>
    <w:pPr>
      <w:spacing w:after="100" w:line="256" w:lineRule="auto"/>
      <w:ind w:left="220"/>
    </w:pPr>
    <w:rPr>
      <w:cap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8953EE"/>
    <w:pPr>
      <w:spacing w:after="100" w:line="256" w:lineRule="auto"/>
      <w:ind w:left="440"/>
    </w:pPr>
    <w:rPr>
      <w:b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8953EE"/>
    <w:pPr>
      <w:spacing w:after="100"/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3EE"/>
    <w:rPr>
      <w:rFonts w:ascii="Segoe UI" w:hAnsi="Segoe UI" w:cs="Segoe UI"/>
      <w:sz w:val="18"/>
      <w:szCs w:val="18"/>
    </w:rPr>
  </w:style>
  <w:style w:type="table" w:customStyle="1" w:styleId="TabelaSimples41">
    <w:name w:val="Tabela Simples 41"/>
    <w:basedOn w:val="Tabelanormal"/>
    <w:uiPriority w:val="44"/>
    <w:rsid w:val="008953EE"/>
    <w:pPr>
      <w:spacing w:after="0" w:line="240" w:lineRule="auto"/>
    </w:pPr>
    <w:rPr>
      <w:rFonts w:ascii="Cambria" w:hAnsi="Cambria"/>
      <w:sz w:val="24"/>
    </w:rPr>
    <w:tblPr>
      <w:tblStyleRowBandSize w:val="1"/>
      <w:tblStyleColBandSize w:val="1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hint="default"/>
        <w:b w:val="0"/>
        <w:bCs/>
        <w:sz w:val="24"/>
        <w:szCs w:val="24"/>
      </w:rPr>
      <w:tblPr/>
      <w:tcPr>
        <w:tcBorders>
          <w:top w:val="single" w:sz="4" w:space="0" w:color="auto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bottom w:val="nil"/>
        </w:tcBorders>
      </w:tcPr>
    </w:tblStylePr>
    <w:tblStylePr w:type="firstCol">
      <w:rPr>
        <w:rFonts w:ascii="Cambria" w:hAnsi="Cambria" w:hint="default"/>
        <w:b w:val="0"/>
        <w:bCs/>
        <w:sz w:val="24"/>
        <w:szCs w:val="24"/>
      </w:rPr>
    </w:tblStylePr>
    <w:tblStylePr w:type="lastCol">
      <w:rPr>
        <w:rFonts w:ascii="Cambria" w:hAnsi="Cambria" w:hint="default"/>
        <w:b w:val="0"/>
        <w:bCs/>
        <w:sz w:val="24"/>
        <w:szCs w:val="24"/>
      </w:rPr>
    </w:tblStylePr>
    <w:tblStylePr w:type="band1Vert">
      <w:rPr>
        <w:rFonts w:ascii="Cambria" w:hAnsi="Cambria" w:hint="default"/>
        <w:b w:val="0"/>
        <w:sz w:val="24"/>
        <w:szCs w:val="24"/>
      </w:rPr>
      <w:tblPr/>
      <w:tcPr>
        <w:shd w:val="clear" w:color="auto" w:fill="F2F2F2" w:themeFill="background1" w:themeFillShade="F2"/>
      </w:tcPr>
    </w:tblStylePr>
    <w:tblStylePr w:type="band2Vert">
      <w:rPr>
        <w:rFonts w:ascii="Cambria" w:hAnsi="Cambria" w:hint="default"/>
        <w:b w:val="0"/>
        <w:sz w:val="24"/>
        <w:szCs w:val="24"/>
      </w:r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EE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953EE"/>
    <w:pPr>
      <w:keepNext/>
      <w:keepLines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53EE"/>
    <w:pPr>
      <w:keepNext/>
      <w:keepLines/>
      <w:spacing w:after="240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53EE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53EE"/>
    <w:pPr>
      <w:keepNext/>
      <w:keepLines/>
      <w:spacing w:after="240"/>
      <w:outlineLvl w:val="3"/>
    </w:pPr>
    <w:rPr>
      <w:rFonts w:eastAsiaTheme="majorEastAsia"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53EE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53EE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53E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53EE"/>
    <w:rPr>
      <w:rFonts w:ascii="Times New Roman" w:eastAsiaTheme="majorEastAsia" w:hAnsi="Times New Roman" w:cstheme="majorBidi"/>
      <w:iCs/>
      <w:sz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953EE"/>
    <w:pPr>
      <w:spacing w:after="100" w:line="256" w:lineRule="auto"/>
    </w:pPr>
    <w:rPr>
      <w:b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953EE"/>
    <w:pPr>
      <w:spacing w:after="100" w:line="256" w:lineRule="auto"/>
      <w:ind w:left="220"/>
    </w:pPr>
    <w:rPr>
      <w:cap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8953EE"/>
    <w:pPr>
      <w:spacing w:after="100" w:line="256" w:lineRule="auto"/>
      <w:ind w:left="440"/>
    </w:pPr>
    <w:rPr>
      <w:b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8953EE"/>
    <w:pPr>
      <w:spacing w:after="100"/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3EE"/>
    <w:rPr>
      <w:rFonts w:ascii="Segoe UI" w:hAnsi="Segoe UI" w:cs="Segoe UI"/>
      <w:sz w:val="18"/>
      <w:szCs w:val="18"/>
    </w:rPr>
  </w:style>
  <w:style w:type="table" w:customStyle="1" w:styleId="TabelaSimples41">
    <w:name w:val="Tabela Simples 41"/>
    <w:basedOn w:val="Tabelanormal"/>
    <w:uiPriority w:val="44"/>
    <w:rsid w:val="008953EE"/>
    <w:pPr>
      <w:spacing w:after="0" w:line="240" w:lineRule="auto"/>
    </w:pPr>
    <w:rPr>
      <w:rFonts w:ascii="Cambria" w:hAnsi="Cambria"/>
      <w:sz w:val="24"/>
    </w:rPr>
    <w:tblPr>
      <w:tblStyleRowBandSize w:val="1"/>
      <w:tblStyleColBandSize w:val="1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hint="default"/>
        <w:b w:val="0"/>
        <w:bCs/>
        <w:sz w:val="24"/>
        <w:szCs w:val="24"/>
      </w:rPr>
      <w:tblPr/>
      <w:tcPr>
        <w:tcBorders>
          <w:top w:val="single" w:sz="4" w:space="0" w:color="auto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bottom w:val="nil"/>
        </w:tcBorders>
      </w:tcPr>
    </w:tblStylePr>
    <w:tblStylePr w:type="firstCol">
      <w:rPr>
        <w:rFonts w:ascii="Cambria" w:hAnsi="Cambria" w:hint="default"/>
        <w:b w:val="0"/>
        <w:bCs/>
        <w:sz w:val="24"/>
        <w:szCs w:val="24"/>
      </w:rPr>
    </w:tblStylePr>
    <w:tblStylePr w:type="lastCol">
      <w:rPr>
        <w:rFonts w:ascii="Cambria" w:hAnsi="Cambria" w:hint="default"/>
        <w:b w:val="0"/>
        <w:bCs/>
        <w:sz w:val="24"/>
        <w:szCs w:val="24"/>
      </w:rPr>
    </w:tblStylePr>
    <w:tblStylePr w:type="band1Vert">
      <w:rPr>
        <w:rFonts w:ascii="Cambria" w:hAnsi="Cambria" w:hint="default"/>
        <w:b w:val="0"/>
        <w:sz w:val="24"/>
        <w:szCs w:val="24"/>
      </w:rPr>
      <w:tblPr/>
      <w:tcPr>
        <w:shd w:val="clear" w:color="auto" w:fill="F2F2F2" w:themeFill="background1" w:themeFillShade="F2"/>
      </w:tcPr>
    </w:tblStylePr>
    <w:tblStylePr w:type="band2Vert">
      <w:rPr>
        <w:rFonts w:ascii="Cambria" w:hAnsi="Cambria" w:hint="default"/>
        <w:b w:val="0"/>
        <w:sz w:val="24"/>
        <w:szCs w:val="24"/>
      </w:r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Cassenotte</dc:creator>
  <cp:lastModifiedBy>Sheila Cassenotte</cp:lastModifiedBy>
  <cp:revision>1</cp:revision>
  <dcterms:created xsi:type="dcterms:W3CDTF">2018-07-19T14:52:00Z</dcterms:created>
  <dcterms:modified xsi:type="dcterms:W3CDTF">2018-07-19T14:54:00Z</dcterms:modified>
</cp:coreProperties>
</file>