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85B9" w14:textId="255D8BCF" w:rsidR="00942B1B" w:rsidRDefault="00942B1B" w:rsidP="00942B1B">
      <w:pPr>
        <w:rPr>
          <w:rFonts w:ascii="Arial" w:eastAsia="Arial" w:hAnsi="Arial" w:cs="Arial"/>
        </w:rPr>
      </w:pPr>
      <w:r w:rsidRPr="00D95B34">
        <w:rPr>
          <w:rFonts w:ascii="Arial" w:eastAsia="Arial" w:hAnsi="Arial" w:cs="Arial"/>
          <w:b/>
          <w:bCs/>
        </w:rPr>
        <w:t xml:space="preserve">Supplementary </w:t>
      </w:r>
      <w:r w:rsidR="00BF098F">
        <w:rPr>
          <w:rFonts w:ascii="Arial" w:eastAsia="Arial" w:hAnsi="Arial" w:cs="Arial"/>
          <w:b/>
          <w:bCs/>
        </w:rPr>
        <w:t xml:space="preserve">material: </w:t>
      </w:r>
      <w:r w:rsidR="00BF098F">
        <w:rPr>
          <w:rFonts w:ascii="Arial" w:eastAsia="Arial" w:hAnsi="Arial" w:cs="Arial"/>
        </w:rPr>
        <w:t>I</w:t>
      </w:r>
      <w:r w:rsidRPr="00D95B34">
        <w:rPr>
          <w:rFonts w:ascii="Arial" w:eastAsia="Arial" w:hAnsi="Arial" w:cs="Arial"/>
        </w:rPr>
        <w:t>nstructions provided to participating beekeepers</w:t>
      </w:r>
    </w:p>
    <w:p w14:paraId="10C951AE" w14:textId="5C54CB21" w:rsidR="00BF098F" w:rsidRPr="00BF098F" w:rsidRDefault="00BF098F" w:rsidP="00942B1B">
      <w:pPr>
        <w:rPr>
          <w:rFonts w:ascii="Arial" w:eastAsia="Arial" w:hAnsi="Arial" w:cs="Arial"/>
          <w:b/>
          <w:bCs/>
          <w:i/>
        </w:rPr>
      </w:pPr>
      <w:r w:rsidRPr="00BF098F">
        <w:rPr>
          <w:rFonts w:ascii="Arial" w:eastAsia="Arial" w:hAnsi="Arial" w:cs="Arial"/>
          <w:b/>
          <w:bCs/>
          <w:i/>
        </w:rPr>
        <w:t>Sampling</w:t>
      </w:r>
    </w:p>
    <w:p w14:paraId="60E5E0E6"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Light your smoker – bees don’t like being placed in a sample bag. If they become agitated, it’s nice to have some smoke on hand to use.</w:t>
      </w:r>
    </w:p>
    <w:p w14:paraId="6DF1B776"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Have all your materials nearby – hive tool, sample bag, measuring cup, basin (you don’t want to have to run back to your truck for the bags or be searching for the measuring cup as your sample flies away!)</w:t>
      </w:r>
    </w:p>
    <w:p w14:paraId="6D1816E3"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Check the hive tag and prepare the appropriate sample bag. We usually put the cup inside the open sample bag and lay next to the basin so we are not running after it as it blows across the apiary.</w:t>
      </w:r>
    </w:p>
    <w:p w14:paraId="5032E765"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 xml:space="preserve">Remove the hive inner cover – usually there are enough bees on the inside of the inner cover for your sample. Don’t bump the inner cover, or the bees will fly off. If there aren’t enough bees on the inner cover, you can use bees from a frame inside the hive, preferably an outer frame. </w:t>
      </w:r>
    </w:p>
    <w:p w14:paraId="4BE3DAF1"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 xml:space="preserve">Scan for the queen – chances are, the queen isn’t hanging out on the inner cover, but always look first. If you are using bees from a frame, take some extra time to look for the queen. </w:t>
      </w:r>
    </w:p>
    <w:p w14:paraId="7F5333CD"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 xml:space="preserve">Shake the bees into a basin. We use an old wash basin because the sides are rounded and it’s easy for the measuring cup to gather the bees. Once you get more experienced/comfortable you may even choose to scrape bees directly off the inner cover or frames. </w:t>
      </w:r>
    </w:p>
    <w:p w14:paraId="35F74106"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Bump the basin on one corner so all the bees will collect in one corner.</w:t>
      </w:r>
    </w:p>
    <w:p w14:paraId="69865F44"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 xml:space="preserve">Using your measuring cup, scoop up the bees and hold them toward one side of the basin and get your sample bag ready with your other hand. </w:t>
      </w:r>
    </w:p>
    <w:p w14:paraId="6301969B"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Quickly, empty the measuring cup into the sample bag.</w:t>
      </w:r>
    </w:p>
    <w:p w14:paraId="4EFBAF85"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Shake the bees to the bottom of the sample bag and close the top. Double check for the queen again. Make sure she didn’t get captured!</w:t>
      </w:r>
    </w:p>
    <w:p w14:paraId="28895AC8"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 xml:space="preserve">Double check that the sample bag tag matches the hive ID tag. </w:t>
      </w:r>
    </w:p>
    <w:p w14:paraId="386C7FDA"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Lay the sample bags in the shade and place in the freezer as soon as possible. If you are out in the bee yard for the day, bringing a cooler with an ice pack and putting the bees in it until you get to a freezer will work as well.</w:t>
      </w:r>
    </w:p>
    <w:p w14:paraId="357195D4"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We use this same technique for taking samples for mite testing, but instead of a sample bag, the bees are emptied into a shaker jar with alcohol wash.</w:t>
      </w:r>
    </w:p>
    <w:p w14:paraId="618DB25E" w14:textId="77777777" w:rsidR="00942B1B" w:rsidRPr="00D95B34" w:rsidRDefault="00942B1B" w:rsidP="00942B1B">
      <w:pPr>
        <w:numPr>
          <w:ilvl w:val="0"/>
          <w:numId w:val="1"/>
        </w:numPr>
        <w:pBdr>
          <w:top w:val="nil"/>
          <w:left w:val="nil"/>
          <w:bottom w:val="nil"/>
          <w:right w:val="nil"/>
          <w:between w:val="nil"/>
        </w:pBdr>
        <w:spacing w:after="160"/>
        <w:rPr>
          <w:rFonts w:ascii="Arial" w:eastAsia="Arial" w:hAnsi="Arial" w:cs="Arial"/>
          <w:color w:val="000000"/>
        </w:rPr>
      </w:pPr>
      <w:r w:rsidRPr="00D95B34">
        <w:rPr>
          <w:rFonts w:ascii="Arial" w:eastAsia="Arial" w:hAnsi="Arial" w:cs="Arial"/>
          <w:color w:val="000000"/>
        </w:rPr>
        <w:t xml:space="preserve">After returning from the bee yard, place sample bags in freezer for at least 12 hours to ensure bees are dead. </w:t>
      </w:r>
    </w:p>
    <w:p w14:paraId="14009D83" w14:textId="73DFE51A" w:rsidR="00942B1B" w:rsidRPr="00BF098F" w:rsidRDefault="00942B1B" w:rsidP="00BF098F">
      <w:pPr>
        <w:rPr>
          <w:rFonts w:ascii="Arial" w:eastAsia="Arial" w:hAnsi="Arial" w:cs="Arial"/>
          <w:b/>
          <w:i/>
        </w:rPr>
      </w:pPr>
      <w:r w:rsidRPr="00BF098F">
        <w:rPr>
          <w:rFonts w:ascii="Arial" w:eastAsia="Arial" w:hAnsi="Arial" w:cs="Arial"/>
          <w:b/>
          <w:i/>
        </w:rPr>
        <w:t>Shipping</w:t>
      </w:r>
    </w:p>
    <w:p w14:paraId="76A76A80"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 xml:space="preserve">Find a size-appropriate box and put an ice pack in the bottom. Lay the bee samples on top of the ice pack (double check the freezer or count the bags to ensure they are all accounted for). Ensure the sample is secure by adding packing material such as balled up newspapers, plastic bags, bubble wrap, etc. </w:t>
      </w:r>
    </w:p>
    <w:p w14:paraId="0FADAE62" w14:textId="77777777" w:rsidR="00942B1B" w:rsidRPr="00D95B34" w:rsidRDefault="00942B1B" w:rsidP="00942B1B">
      <w:pPr>
        <w:numPr>
          <w:ilvl w:val="0"/>
          <w:numId w:val="1"/>
        </w:numPr>
        <w:pBdr>
          <w:top w:val="nil"/>
          <w:left w:val="nil"/>
          <w:bottom w:val="nil"/>
          <w:right w:val="nil"/>
          <w:between w:val="nil"/>
        </w:pBdr>
        <w:rPr>
          <w:rFonts w:ascii="Arial" w:eastAsia="Arial" w:hAnsi="Arial" w:cs="Arial"/>
          <w:color w:val="000000"/>
        </w:rPr>
      </w:pPr>
      <w:r w:rsidRPr="00D95B34">
        <w:rPr>
          <w:rFonts w:ascii="Arial" w:eastAsia="Arial" w:hAnsi="Arial" w:cs="Arial"/>
          <w:color w:val="000000"/>
        </w:rPr>
        <w:t>Fill out the bill of lading and stick it to the box.</w:t>
      </w:r>
    </w:p>
    <w:p w14:paraId="15079F13" w14:textId="77777777" w:rsidR="00942B1B" w:rsidRPr="00D95B34" w:rsidRDefault="00942B1B" w:rsidP="00942B1B">
      <w:pPr>
        <w:numPr>
          <w:ilvl w:val="0"/>
          <w:numId w:val="1"/>
        </w:numPr>
        <w:pBdr>
          <w:top w:val="nil"/>
          <w:left w:val="nil"/>
          <w:bottom w:val="nil"/>
          <w:right w:val="nil"/>
          <w:between w:val="nil"/>
        </w:pBdr>
        <w:spacing w:after="160"/>
        <w:rPr>
          <w:rFonts w:ascii="Arial" w:eastAsia="Arial" w:hAnsi="Arial" w:cs="Arial"/>
          <w:color w:val="000000"/>
        </w:rPr>
      </w:pPr>
      <w:r w:rsidRPr="00D95B34">
        <w:rPr>
          <w:rFonts w:ascii="Arial" w:eastAsia="Arial" w:hAnsi="Arial" w:cs="Arial"/>
          <w:color w:val="000000"/>
        </w:rPr>
        <w:t>Call the Purolator number on the bill for pick up. Sending the samples out for delivery is best if done on Mondays as this will prevent samples from sitting in a warehouse over the weekend.</w:t>
      </w:r>
    </w:p>
    <w:p w14:paraId="606E5B97" w14:textId="77777777" w:rsidR="00942B1B" w:rsidRPr="00D95B34" w:rsidRDefault="00942B1B" w:rsidP="00942B1B">
      <w:pPr>
        <w:rPr>
          <w:rFonts w:ascii="Arial" w:eastAsia="Arial" w:hAnsi="Arial" w:cs="Arial"/>
        </w:rPr>
      </w:pPr>
    </w:p>
    <w:p w14:paraId="04BC98D5" w14:textId="14C50F5D" w:rsidR="00942B1B" w:rsidRPr="00D95B34" w:rsidRDefault="00942B1B" w:rsidP="00942B1B">
      <w:pPr>
        <w:rPr>
          <w:rFonts w:ascii="Arial" w:eastAsia="Arial" w:hAnsi="Arial" w:cs="Arial"/>
        </w:rPr>
      </w:pPr>
      <w:r w:rsidRPr="00D95B34">
        <w:rPr>
          <w:rFonts w:ascii="Arial" w:eastAsia="Arial" w:hAnsi="Arial" w:cs="Arial"/>
          <w:b/>
          <w:bCs/>
        </w:rPr>
        <w:t xml:space="preserve">Supplementary </w:t>
      </w:r>
      <w:r w:rsidR="00BF098F">
        <w:rPr>
          <w:rFonts w:ascii="Arial" w:eastAsia="Arial" w:hAnsi="Arial" w:cs="Arial"/>
          <w:b/>
          <w:bCs/>
        </w:rPr>
        <w:t xml:space="preserve">material, </w:t>
      </w:r>
      <w:r w:rsidRPr="00D95B34">
        <w:rPr>
          <w:rFonts w:ascii="Arial" w:eastAsia="Arial" w:hAnsi="Arial" w:cs="Arial"/>
          <w:b/>
          <w:bCs/>
        </w:rPr>
        <w:t xml:space="preserve">Table </w:t>
      </w:r>
      <w:r w:rsidR="00BF098F">
        <w:rPr>
          <w:rFonts w:ascii="Arial" w:eastAsia="Arial" w:hAnsi="Arial" w:cs="Arial"/>
          <w:b/>
          <w:bCs/>
        </w:rPr>
        <w:t>S</w:t>
      </w:r>
      <w:r w:rsidRPr="00D95B34">
        <w:rPr>
          <w:rFonts w:ascii="Arial" w:eastAsia="Arial" w:hAnsi="Arial" w:cs="Arial"/>
          <w:b/>
          <w:bCs/>
        </w:rPr>
        <w:t>1.</w:t>
      </w:r>
      <w:r w:rsidRPr="00D95B34">
        <w:rPr>
          <w:rFonts w:ascii="Arial" w:eastAsia="Arial" w:hAnsi="Arial" w:cs="Arial"/>
        </w:rPr>
        <w:t xml:space="preserve"> </w:t>
      </w:r>
      <w:r w:rsidRPr="00D95B34">
        <w:rPr>
          <w:rFonts w:ascii="Arial" w:hAnsi="Arial" w:cs="Arial"/>
        </w:rPr>
        <w:t>Mean September 1981</w:t>
      </w:r>
      <w:r w:rsidR="00BF098F">
        <w:rPr>
          <w:rFonts w:ascii="Arial" w:hAnsi="Arial" w:cs="Arial"/>
        </w:rPr>
        <w:t>–</w:t>
      </w:r>
      <w:r w:rsidRPr="00D95B34">
        <w:rPr>
          <w:rFonts w:ascii="Arial" w:hAnsi="Arial" w:cs="Arial"/>
        </w:rPr>
        <w:t>2010 and 2020 temperatures (°Celsius) for three locations in Nova Scotia (NS), New Brunswick (NB), and Prince Edward Island (PEI)</w:t>
      </w:r>
      <w:r w:rsidR="00BF098F">
        <w:rPr>
          <w:rFonts w:ascii="Arial" w:hAnsi="Arial" w:cs="Arial"/>
        </w:rPr>
        <w:t>, Canada</w:t>
      </w:r>
      <w:r w:rsidRPr="00D95B34">
        <w:rPr>
          <w:rFonts w:ascii="Arial" w:hAnsi="Arial" w:cs="Arial"/>
        </w:rPr>
        <w:t xml:space="preserve"> (</w:t>
      </w:r>
      <w:hyperlink r:id="rId7" w:tgtFrame="_blank" w:history="1">
        <w:r w:rsidRPr="00D95B34">
          <w:rPr>
            <w:rStyle w:val="Hyperlink"/>
            <w:rFonts w:ascii="Arial" w:hAnsi="Arial" w:cs="Arial"/>
          </w:rPr>
          <w:t>https://climate.weather.gc.ca/</w:t>
        </w:r>
      </w:hyperlink>
      <w:r w:rsidRPr="00D95B34">
        <w:rPr>
          <w:rFonts w:ascii="Arial" w:hAnsi="Arial" w:cs="Arial"/>
        </w:rPr>
        <w:t>).</w:t>
      </w:r>
    </w:p>
    <w:p w14:paraId="523FE936" w14:textId="77777777" w:rsidR="00942B1B" w:rsidRPr="00D95B34" w:rsidRDefault="00942B1B" w:rsidP="00942B1B">
      <w:pPr>
        <w:rPr>
          <w:rFonts w:ascii="Arial" w:eastAsia="Arial" w:hAnsi="Arial" w:cs="Arial"/>
          <w:sz w:val="28"/>
          <w:szCs w:val="28"/>
        </w:rPr>
      </w:pPr>
    </w:p>
    <w:tbl>
      <w:tblPr>
        <w:tblW w:w="7938" w:type="dxa"/>
        <w:tblLook w:val="04A0" w:firstRow="1" w:lastRow="0" w:firstColumn="1" w:lastColumn="0" w:noHBand="0" w:noVBand="1"/>
      </w:tblPr>
      <w:tblGrid>
        <w:gridCol w:w="2410"/>
        <w:gridCol w:w="2410"/>
        <w:gridCol w:w="850"/>
        <w:gridCol w:w="2268"/>
      </w:tblGrid>
      <w:tr w:rsidR="00942B1B" w:rsidRPr="00D95B34" w14:paraId="2E838D9D" w14:textId="77777777" w:rsidTr="00AB66BE">
        <w:trPr>
          <w:trHeight w:val="300"/>
        </w:trPr>
        <w:tc>
          <w:tcPr>
            <w:tcW w:w="2410" w:type="dxa"/>
            <w:tcBorders>
              <w:top w:val="single" w:sz="4" w:space="0" w:color="000000"/>
              <w:left w:val="nil"/>
              <w:bottom w:val="single" w:sz="4" w:space="0" w:color="000000"/>
              <w:right w:val="nil"/>
            </w:tcBorders>
            <w:shd w:val="clear" w:color="auto" w:fill="auto"/>
            <w:noWrap/>
            <w:vAlign w:val="bottom"/>
            <w:hideMark/>
          </w:tcPr>
          <w:p w14:paraId="78E2A18B" w14:textId="77777777" w:rsidR="00942B1B" w:rsidRPr="00D95B34" w:rsidRDefault="00942B1B" w:rsidP="00AB66BE">
            <w:pPr>
              <w:rPr>
                <w:rFonts w:ascii="Arial" w:hAnsi="Arial" w:cs="Arial"/>
                <w:b/>
                <w:bCs/>
                <w:sz w:val="28"/>
                <w:szCs w:val="28"/>
                <w:lang w:eastAsia="en-CA"/>
              </w:rPr>
            </w:pPr>
            <w:r w:rsidRPr="00D95B34">
              <w:rPr>
                <w:rFonts w:ascii="Arial" w:hAnsi="Arial" w:cs="Arial"/>
                <w:b/>
                <w:bCs/>
                <w:lang w:eastAsia="en-CA"/>
              </w:rPr>
              <w:t>Location</w:t>
            </w:r>
          </w:p>
        </w:tc>
        <w:tc>
          <w:tcPr>
            <w:tcW w:w="2410" w:type="dxa"/>
            <w:tcBorders>
              <w:top w:val="single" w:sz="4" w:space="0" w:color="000000"/>
              <w:left w:val="nil"/>
              <w:bottom w:val="single" w:sz="4" w:space="0" w:color="000000"/>
              <w:right w:val="nil"/>
            </w:tcBorders>
            <w:shd w:val="clear" w:color="auto" w:fill="auto"/>
            <w:noWrap/>
            <w:vAlign w:val="bottom"/>
            <w:hideMark/>
          </w:tcPr>
          <w:p w14:paraId="295C450A" w14:textId="4DD3C20D" w:rsidR="00942B1B" w:rsidRPr="00D95B34" w:rsidRDefault="00942B1B" w:rsidP="00AB66BE">
            <w:pPr>
              <w:jc w:val="center"/>
              <w:rPr>
                <w:rFonts w:ascii="Arial" w:hAnsi="Arial" w:cs="Arial"/>
                <w:b/>
                <w:bCs/>
                <w:lang w:eastAsia="en-CA"/>
              </w:rPr>
            </w:pPr>
            <w:r w:rsidRPr="00D95B34">
              <w:rPr>
                <w:rFonts w:ascii="Arial" w:hAnsi="Arial" w:cs="Arial"/>
                <w:b/>
                <w:bCs/>
                <w:lang w:eastAsia="en-CA"/>
              </w:rPr>
              <w:t>1981</w:t>
            </w:r>
            <w:r w:rsidR="00BF098F">
              <w:rPr>
                <w:rFonts w:ascii="Arial" w:hAnsi="Arial" w:cs="Arial"/>
                <w:b/>
                <w:bCs/>
                <w:lang w:eastAsia="en-CA"/>
              </w:rPr>
              <w:t>–</w:t>
            </w:r>
            <w:r w:rsidRPr="00D95B34">
              <w:rPr>
                <w:rFonts w:ascii="Arial" w:hAnsi="Arial" w:cs="Arial"/>
                <w:b/>
                <w:bCs/>
                <w:lang w:eastAsia="en-CA"/>
              </w:rPr>
              <w:t>2010</w:t>
            </w:r>
          </w:p>
        </w:tc>
        <w:tc>
          <w:tcPr>
            <w:tcW w:w="850" w:type="dxa"/>
            <w:tcBorders>
              <w:top w:val="single" w:sz="4" w:space="0" w:color="000000"/>
              <w:left w:val="nil"/>
              <w:bottom w:val="single" w:sz="4" w:space="0" w:color="000000"/>
              <w:right w:val="single" w:sz="4" w:space="0" w:color="FFFFFF" w:themeColor="background1"/>
            </w:tcBorders>
            <w:shd w:val="clear" w:color="auto" w:fill="auto"/>
            <w:noWrap/>
            <w:vAlign w:val="bottom"/>
            <w:hideMark/>
          </w:tcPr>
          <w:p w14:paraId="53D147B4" w14:textId="77777777" w:rsidR="00942B1B" w:rsidRPr="00D95B34" w:rsidRDefault="00942B1B" w:rsidP="00AB66BE">
            <w:pPr>
              <w:jc w:val="center"/>
              <w:rPr>
                <w:rFonts w:ascii="Arial" w:hAnsi="Arial" w:cs="Arial"/>
                <w:b/>
                <w:bCs/>
                <w:lang w:eastAsia="en-CA"/>
              </w:rPr>
            </w:pPr>
            <w:r w:rsidRPr="00D95B34">
              <w:rPr>
                <w:rFonts w:ascii="Arial" w:hAnsi="Arial" w:cs="Arial"/>
                <w:b/>
                <w:bCs/>
                <w:lang w:eastAsia="en-CA"/>
              </w:rPr>
              <w:t>2020</w:t>
            </w:r>
          </w:p>
        </w:tc>
        <w:tc>
          <w:tcPr>
            <w:tcW w:w="2268" w:type="dxa"/>
            <w:tcBorders>
              <w:top w:val="single" w:sz="4" w:space="0" w:color="000000"/>
              <w:left w:val="single" w:sz="4" w:space="0" w:color="FFFFFF" w:themeColor="background1"/>
              <w:bottom w:val="single" w:sz="4" w:space="0" w:color="000000"/>
              <w:right w:val="nil"/>
            </w:tcBorders>
            <w:shd w:val="clear" w:color="auto" w:fill="auto"/>
            <w:noWrap/>
            <w:vAlign w:val="bottom"/>
            <w:hideMark/>
          </w:tcPr>
          <w:p w14:paraId="1EB8B1A3" w14:textId="77777777" w:rsidR="00942B1B" w:rsidRPr="00D95B34" w:rsidRDefault="00942B1B" w:rsidP="00AB66BE">
            <w:pPr>
              <w:jc w:val="center"/>
              <w:rPr>
                <w:rFonts w:ascii="Arial" w:hAnsi="Arial" w:cs="Arial"/>
                <w:b/>
                <w:bCs/>
                <w:lang w:eastAsia="en-CA"/>
              </w:rPr>
            </w:pPr>
            <w:r w:rsidRPr="00D95B34">
              <w:rPr>
                <w:rFonts w:ascii="Arial" w:hAnsi="Arial" w:cs="Arial"/>
                <w:b/>
                <w:bCs/>
                <w:lang w:eastAsia="en-CA"/>
              </w:rPr>
              <w:t>Difference</w:t>
            </w:r>
          </w:p>
        </w:tc>
      </w:tr>
      <w:tr w:rsidR="00942B1B" w:rsidRPr="00D95B34" w14:paraId="6B0FD402" w14:textId="77777777" w:rsidTr="00AB66BE">
        <w:trPr>
          <w:trHeight w:val="300"/>
        </w:trPr>
        <w:tc>
          <w:tcPr>
            <w:tcW w:w="2410" w:type="dxa"/>
            <w:tcBorders>
              <w:top w:val="single" w:sz="4" w:space="0" w:color="000000"/>
              <w:left w:val="nil"/>
              <w:bottom w:val="nil"/>
              <w:right w:val="nil"/>
            </w:tcBorders>
            <w:shd w:val="clear" w:color="auto" w:fill="auto"/>
            <w:noWrap/>
            <w:vAlign w:val="bottom"/>
            <w:hideMark/>
          </w:tcPr>
          <w:p w14:paraId="07DC79E2" w14:textId="77777777" w:rsidR="00942B1B" w:rsidRPr="00D95B34" w:rsidRDefault="00942B1B" w:rsidP="00AB66BE">
            <w:pPr>
              <w:rPr>
                <w:rFonts w:ascii="Arial" w:hAnsi="Arial" w:cs="Arial"/>
                <w:lang w:eastAsia="en-CA"/>
              </w:rPr>
            </w:pPr>
            <w:r w:rsidRPr="00D95B34">
              <w:rPr>
                <w:rFonts w:ascii="Arial" w:hAnsi="Arial" w:cs="Arial"/>
                <w:lang w:eastAsia="en-CA"/>
              </w:rPr>
              <w:t>Kentville, NS</w:t>
            </w:r>
          </w:p>
        </w:tc>
        <w:tc>
          <w:tcPr>
            <w:tcW w:w="2410" w:type="dxa"/>
            <w:tcBorders>
              <w:top w:val="single" w:sz="4" w:space="0" w:color="000000"/>
              <w:left w:val="nil"/>
              <w:bottom w:val="nil"/>
              <w:right w:val="nil"/>
            </w:tcBorders>
            <w:shd w:val="clear" w:color="auto" w:fill="auto"/>
            <w:noWrap/>
            <w:vAlign w:val="bottom"/>
            <w:hideMark/>
          </w:tcPr>
          <w:p w14:paraId="303C8F45" w14:textId="77777777" w:rsidR="00942B1B" w:rsidRPr="00D95B34" w:rsidRDefault="00942B1B" w:rsidP="00AB66BE">
            <w:pPr>
              <w:jc w:val="center"/>
              <w:rPr>
                <w:rFonts w:ascii="Arial" w:hAnsi="Arial" w:cs="Arial"/>
                <w:lang w:eastAsia="en-CA"/>
              </w:rPr>
            </w:pPr>
            <w:r w:rsidRPr="00D95B34">
              <w:rPr>
                <w:rFonts w:ascii="Arial" w:hAnsi="Arial" w:cs="Arial"/>
                <w:lang w:eastAsia="en-CA"/>
              </w:rPr>
              <w:t>14.5</w:t>
            </w:r>
          </w:p>
        </w:tc>
        <w:tc>
          <w:tcPr>
            <w:tcW w:w="850" w:type="dxa"/>
            <w:tcBorders>
              <w:top w:val="single" w:sz="4" w:space="0" w:color="000000"/>
              <w:left w:val="nil"/>
              <w:bottom w:val="nil"/>
              <w:right w:val="nil"/>
            </w:tcBorders>
            <w:shd w:val="clear" w:color="auto" w:fill="auto"/>
            <w:noWrap/>
            <w:vAlign w:val="bottom"/>
            <w:hideMark/>
          </w:tcPr>
          <w:p w14:paraId="1E511E70" w14:textId="77777777" w:rsidR="00942B1B" w:rsidRPr="00D95B34" w:rsidRDefault="00942B1B" w:rsidP="00AB66BE">
            <w:pPr>
              <w:jc w:val="center"/>
              <w:rPr>
                <w:rFonts w:ascii="Arial" w:hAnsi="Arial" w:cs="Arial"/>
                <w:lang w:eastAsia="en-CA"/>
              </w:rPr>
            </w:pPr>
            <w:r w:rsidRPr="00D95B34">
              <w:rPr>
                <w:rFonts w:ascii="Arial" w:hAnsi="Arial" w:cs="Arial"/>
                <w:lang w:eastAsia="en-CA"/>
              </w:rPr>
              <w:t>15.3</w:t>
            </w:r>
          </w:p>
        </w:tc>
        <w:tc>
          <w:tcPr>
            <w:tcW w:w="2268" w:type="dxa"/>
            <w:tcBorders>
              <w:top w:val="single" w:sz="4" w:space="0" w:color="000000"/>
              <w:left w:val="nil"/>
              <w:bottom w:val="nil"/>
              <w:right w:val="nil"/>
            </w:tcBorders>
            <w:shd w:val="clear" w:color="auto" w:fill="auto"/>
            <w:noWrap/>
            <w:vAlign w:val="bottom"/>
            <w:hideMark/>
          </w:tcPr>
          <w:p w14:paraId="29097665" w14:textId="77777777" w:rsidR="00942B1B" w:rsidRPr="00D95B34" w:rsidRDefault="00942B1B" w:rsidP="00AB66BE">
            <w:pPr>
              <w:jc w:val="center"/>
              <w:rPr>
                <w:rFonts w:ascii="Arial" w:hAnsi="Arial" w:cs="Arial"/>
                <w:lang w:eastAsia="en-CA"/>
              </w:rPr>
            </w:pPr>
            <w:r w:rsidRPr="00D95B34">
              <w:rPr>
                <w:rFonts w:ascii="Arial" w:hAnsi="Arial" w:cs="Arial"/>
                <w:lang w:eastAsia="en-CA"/>
              </w:rPr>
              <w:t>+0.8</w:t>
            </w:r>
          </w:p>
        </w:tc>
      </w:tr>
      <w:tr w:rsidR="00942B1B" w:rsidRPr="00D95B34" w14:paraId="1880B842" w14:textId="77777777" w:rsidTr="00AB66BE">
        <w:trPr>
          <w:trHeight w:val="300"/>
        </w:trPr>
        <w:tc>
          <w:tcPr>
            <w:tcW w:w="2410" w:type="dxa"/>
            <w:tcBorders>
              <w:top w:val="nil"/>
              <w:left w:val="nil"/>
              <w:bottom w:val="nil"/>
              <w:right w:val="nil"/>
            </w:tcBorders>
            <w:shd w:val="clear" w:color="auto" w:fill="auto"/>
            <w:noWrap/>
            <w:vAlign w:val="bottom"/>
            <w:hideMark/>
          </w:tcPr>
          <w:p w14:paraId="59455054" w14:textId="77777777" w:rsidR="00942B1B" w:rsidRPr="00D95B34" w:rsidRDefault="00942B1B" w:rsidP="00AB66BE">
            <w:pPr>
              <w:rPr>
                <w:rFonts w:ascii="Arial" w:hAnsi="Arial" w:cs="Arial"/>
                <w:lang w:eastAsia="en-CA"/>
              </w:rPr>
            </w:pPr>
            <w:r w:rsidRPr="00D95B34">
              <w:rPr>
                <w:rFonts w:ascii="Arial" w:hAnsi="Arial" w:cs="Arial"/>
                <w:lang w:eastAsia="en-CA"/>
              </w:rPr>
              <w:t>Mactaquaq, NB</w:t>
            </w:r>
          </w:p>
        </w:tc>
        <w:tc>
          <w:tcPr>
            <w:tcW w:w="2410" w:type="dxa"/>
            <w:tcBorders>
              <w:top w:val="nil"/>
              <w:left w:val="nil"/>
              <w:bottom w:val="nil"/>
              <w:right w:val="nil"/>
            </w:tcBorders>
            <w:shd w:val="clear" w:color="auto" w:fill="auto"/>
            <w:noWrap/>
            <w:vAlign w:val="bottom"/>
            <w:hideMark/>
          </w:tcPr>
          <w:p w14:paraId="53278D3E" w14:textId="77777777" w:rsidR="00942B1B" w:rsidRPr="00D95B34" w:rsidRDefault="00942B1B" w:rsidP="00AB66BE">
            <w:pPr>
              <w:jc w:val="center"/>
              <w:rPr>
                <w:rFonts w:ascii="Arial" w:hAnsi="Arial" w:cs="Arial"/>
                <w:lang w:eastAsia="en-CA"/>
              </w:rPr>
            </w:pPr>
            <w:r w:rsidRPr="00D95B34">
              <w:rPr>
                <w:rFonts w:ascii="Arial" w:hAnsi="Arial" w:cs="Arial"/>
                <w:lang w:eastAsia="en-CA"/>
              </w:rPr>
              <w:t>13.5</w:t>
            </w:r>
          </w:p>
        </w:tc>
        <w:tc>
          <w:tcPr>
            <w:tcW w:w="850" w:type="dxa"/>
            <w:tcBorders>
              <w:top w:val="nil"/>
              <w:left w:val="nil"/>
              <w:bottom w:val="nil"/>
              <w:right w:val="nil"/>
            </w:tcBorders>
            <w:shd w:val="clear" w:color="auto" w:fill="auto"/>
            <w:noWrap/>
            <w:vAlign w:val="bottom"/>
            <w:hideMark/>
          </w:tcPr>
          <w:p w14:paraId="2F625E7D" w14:textId="77777777" w:rsidR="00942B1B" w:rsidRPr="00D95B34" w:rsidRDefault="00942B1B" w:rsidP="00AB66BE">
            <w:pPr>
              <w:jc w:val="center"/>
              <w:rPr>
                <w:rFonts w:ascii="Arial" w:hAnsi="Arial" w:cs="Arial"/>
                <w:lang w:eastAsia="en-CA"/>
              </w:rPr>
            </w:pPr>
            <w:r w:rsidRPr="00D95B34">
              <w:rPr>
                <w:rFonts w:ascii="Arial" w:hAnsi="Arial" w:cs="Arial"/>
                <w:lang w:eastAsia="en-CA"/>
              </w:rPr>
              <w:t>14.7</w:t>
            </w:r>
          </w:p>
        </w:tc>
        <w:tc>
          <w:tcPr>
            <w:tcW w:w="2268" w:type="dxa"/>
            <w:tcBorders>
              <w:top w:val="nil"/>
              <w:left w:val="nil"/>
              <w:bottom w:val="nil"/>
              <w:right w:val="nil"/>
            </w:tcBorders>
            <w:shd w:val="clear" w:color="auto" w:fill="auto"/>
            <w:noWrap/>
            <w:vAlign w:val="bottom"/>
            <w:hideMark/>
          </w:tcPr>
          <w:p w14:paraId="6BCFA884" w14:textId="77777777" w:rsidR="00942B1B" w:rsidRPr="00D95B34" w:rsidRDefault="00942B1B" w:rsidP="00AB66BE">
            <w:pPr>
              <w:jc w:val="center"/>
              <w:rPr>
                <w:rFonts w:ascii="Arial" w:hAnsi="Arial" w:cs="Arial"/>
                <w:lang w:eastAsia="en-CA"/>
              </w:rPr>
            </w:pPr>
            <w:r w:rsidRPr="00D95B34">
              <w:rPr>
                <w:rFonts w:ascii="Arial" w:hAnsi="Arial" w:cs="Arial"/>
                <w:lang w:eastAsia="en-CA"/>
              </w:rPr>
              <w:t>+1.2</w:t>
            </w:r>
          </w:p>
        </w:tc>
      </w:tr>
      <w:tr w:rsidR="00942B1B" w:rsidRPr="00D95B34" w14:paraId="113CAAE2" w14:textId="77777777" w:rsidTr="00AB66BE">
        <w:trPr>
          <w:trHeight w:val="300"/>
        </w:trPr>
        <w:tc>
          <w:tcPr>
            <w:tcW w:w="2410" w:type="dxa"/>
            <w:tcBorders>
              <w:top w:val="nil"/>
              <w:left w:val="nil"/>
              <w:bottom w:val="single" w:sz="4" w:space="0" w:color="000000"/>
              <w:right w:val="nil"/>
            </w:tcBorders>
            <w:shd w:val="clear" w:color="auto" w:fill="auto"/>
            <w:noWrap/>
            <w:vAlign w:val="bottom"/>
            <w:hideMark/>
          </w:tcPr>
          <w:p w14:paraId="1D296976" w14:textId="77777777" w:rsidR="00942B1B" w:rsidRPr="00D95B34" w:rsidRDefault="00942B1B" w:rsidP="00AB66BE">
            <w:pPr>
              <w:rPr>
                <w:rFonts w:ascii="Arial" w:hAnsi="Arial" w:cs="Arial"/>
                <w:lang w:eastAsia="en-CA"/>
              </w:rPr>
            </w:pPr>
            <w:r w:rsidRPr="00D95B34">
              <w:rPr>
                <w:rFonts w:ascii="Arial" w:hAnsi="Arial" w:cs="Arial"/>
                <w:lang w:eastAsia="en-CA"/>
              </w:rPr>
              <w:t>New Glasgow, PEI</w:t>
            </w:r>
          </w:p>
        </w:tc>
        <w:tc>
          <w:tcPr>
            <w:tcW w:w="2410" w:type="dxa"/>
            <w:tcBorders>
              <w:top w:val="nil"/>
              <w:left w:val="nil"/>
              <w:bottom w:val="single" w:sz="4" w:space="0" w:color="000000"/>
              <w:right w:val="nil"/>
            </w:tcBorders>
            <w:shd w:val="clear" w:color="auto" w:fill="auto"/>
            <w:noWrap/>
            <w:vAlign w:val="bottom"/>
            <w:hideMark/>
          </w:tcPr>
          <w:p w14:paraId="58BF9128" w14:textId="77777777" w:rsidR="00942B1B" w:rsidRPr="00D95B34" w:rsidRDefault="00942B1B" w:rsidP="00AB66BE">
            <w:pPr>
              <w:jc w:val="center"/>
              <w:rPr>
                <w:rFonts w:ascii="Arial" w:hAnsi="Arial" w:cs="Arial"/>
                <w:lang w:eastAsia="en-CA"/>
              </w:rPr>
            </w:pPr>
            <w:r w:rsidRPr="00D95B34">
              <w:rPr>
                <w:rFonts w:ascii="Arial" w:hAnsi="Arial" w:cs="Arial"/>
                <w:lang w:eastAsia="en-CA"/>
              </w:rPr>
              <w:t>14.4</w:t>
            </w:r>
          </w:p>
        </w:tc>
        <w:tc>
          <w:tcPr>
            <w:tcW w:w="850" w:type="dxa"/>
            <w:tcBorders>
              <w:top w:val="nil"/>
              <w:left w:val="nil"/>
              <w:bottom w:val="single" w:sz="4" w:space="0" w:color="000000"/>
              <w:right w:val="nil"/>
            </w:tcBorders>
            <w:shd w:val="clear" w:color="auto" w:fill="auto"/>
            <w:noWrap/>
            <w:vAlign w:val="bottom"/>
            <w:hideMark/>
          </w:tcPr>
          <w:p w14:paraId="48309BB3" w14:textId="77777777" w:rsidR="00942B1B" w:rsidRPr="00D95B34" w:rsidRDefault="00942B1B" w:rsidP="00AB66BE">
            <w:pPr>
              <w:jc w:val="center"/>
              <w:rPr>
                <w:rFonts w:ascii="Arial" w:hAnsi="Arial" w:cs="Arial"/>
                <w:lang w:eastAsia="en-CA"/>
              </w:rPr>
            </w:pPr>
            <w:r w:rsidRPr="00D95B34">
              <w:rPr>
                <w:rFonts w:ascii="Arial" w:hAnsi="Arial" w:cs="Arial"/>
                <w:lang w:eastAsia="en-CA"/>
              </w:rPr>
              <w:t>15.5</w:t>
            </w:r>
          </w:p>
        </w:tc>
        <w:tc>
          <w:tcPr>
            <w:tcW w:w="2268" w:type="dxa"/>
            <w:tcBorders>
              <w:top w:val="nil"/>
              <w:left w:val="nil"/>
              <w:bottom w:val="single" w:sz="4" w:space="0" w:color="000000"/>
              <w:right w:val="nil"/>
            </w:tcBorders>
            <w:shd w:val="clear" w:color="auto" w:fill="auto"/>
            <w:noWrap/>
            <w:vAlign w:val="bottom"/>
            <w:hideMark/>
          </w:tcPr>
          <w:p w14:paraId="0BD1F8A6" w14:textId="77777777" w:rsidR="00942B1B" w:rsidRPr="00D95B34" w:rsidRDefault="00942B1B" w:rsidP="00AB66BE">
            <w:pPr>
              <w:jc w:val="center"/>
              <w:rPr>
                <w:rFonts w:ascii="Arial" w:hAnsi="Arial" w:cs="Arial"/>
                <w:lang w:eastAsia="en-CA"/>
              </w:rPr>
            </w:pPr>
            <w:r w:rsidRPr="00D95B34">
              <w:rPr>
                <w:rFonts w:ascii="Arial" w:hAnsi="Arial" w:cs="Arial"/>
                <w:lang w:eastAsia="en-CA"/>
              </w:rPr>
              <w:t>+1.1</w:t>
            </w:r>
          </w:p>
        </w:tc>
      </w:tr>
    </w:tbl>
    <w:p w14:paraId="5F746AE1" w14:textId="77777777" w:rsidR="00942B1B" w:rsidRPr="00D95B34" w:rsidRDefault="00942B1B" w:rsidP="00942B1B">
      <w:pPr>
        <w:rPr>
          <w:rFonts w:ascii="Arial" w:eastAsia="Arial" w:hAnsi="Arial" w:cs="Arial"/>
        </w:rPr>
      </w:pPr>
    </w:p>
    <w:p w14:paraId="10351E38" w14:textId="77777777" w:rsidR="00942B1B" w:rsidRPr="00D95B34" w:rsidRDefault="00942B1B" w:rsidP="00942B1B">
      <w:pPr>
        <w:rPr>
          <w:rFonts w:ascii="Arial" w:eastAsia="Arial" w:hAnsi="Arial" w:cs="Arial"/>
          <w:b/>
          <w:bCs/>
        </w:rPr>
      </w:pPr>
      <w:r w:rsidRPr="00D95B34">
        <w:rPr>
          <w:rFonts w:ascii="Arial" w:eastAsia="Arial" w:hAnsi="Arial" w:cs="Arial"/>
          <w:b/>
          <w:bCs/>
        </w:rPr>
        <w:br w:type="page"/>
      </w:r>
    </w:p>
    <w:p w14:paraId="60D51412" w14:textId="5A2043FE" w:rsidR="00942B1B" w:rsidRPr="00D95B34" w:rsidRDefault="00942B1B" w:rsidP="00942B1B">
      <w:pPr>
        <w:rPr>
          <w:rFonts w:ascii="Arial" w:eastAsia="Arial" w:hAnsi="Arial" w:cs="Arial"/>
        </w:rPr>
      </w:pPr>
      <w:r w:rsidRPr="00D95B34">
        <w:rPr>
          <w:rFonts w:ascii="Arial" w:eastAsia="Arial" w:hAnsi="Arial" w:cs="Arial"/>
          <w:b/>
          <w:bCs/>
        </w:rPr>
        <w:lastRenderedPageBreak/>
        <w:t xml:space="preserve">Supplementary </w:t>
      </w:r>
      <w:r w:rsidR="00BF098F">
        <w:rPr>
          <w:rFonts w:ascii="Arial" w:eastAsia="Arial" w:hAnsi="Arial" w:cs="Arial"/>
          <w:b/>
          <w:bCs/>
        </w:rPr>
        <w:t xml:space="preserve">material, </w:t>
      </w:r>
      <w:r w:rsidRPr="00D95B34">
        <w:rPr>
          <w:rFonts w:ascii="Arial" w:eastAsia="Arial" w:hAnsi="Arial" w:cs="Arial"/>
          <w:b/>
          <w:bCs/>
        </w:rPr>
        <w:t xml:space="preserve">Table </w:t>
      </w:r>
      <w:r w:rsidR="00BF098F">
        <w:rPr>
          <w:rFonts w:ascii="Arial" w:eastAsia="Arial" w:hAnsi="Arial" w:cs="Arial"/>
          <w:b/>
          <w:bCs/>
        </w:rPr>
        <w:t>S</w:t>
      </w:r>
      <w:r w:rsidRPr="00D95B34">
        <w:rPr>
          <w:rFonts w:ascii="Arial" w:eastAsia="Arial" w:hAnsi="Arial" w:cs="Arial"/>
          <w:b/>
          <w:bCs/>
        </w:rPr>
        <w:t>2</w:t>
      </w:r>
      <w:r w:rsidRPr="00D95B34">
        <w:rPr>
          <w:rFonts w:ascii="Arial" w:eastAsia="Arial" w:hAnsi="Arial" w:cs="Arial"/>
        </w:rPr>
        <w:t xml:space="preserve">.  </w:t>
      </w:r>
      <w:r w:rsidRPr="00D95B34">
        <w:rPr>
          <w:rFonts w:ascii="Arial" w:hAnsi="Arial" w:cs="Arial"/>
        </w:rPr>
        <w:t>Millions of </w:t>
      </w:r>
      <w:r w:rsidRPr="00D95B34">
        <w:rPr>
          <w:rFonts w:ascii="Arial" w:hAnsi="Arial" w:cs="Arial"/>
          <w:i/>
          <w:iCs/>
        </w:rPr>
        <w:t>Nosema</w:t>
      </w:r>
      <w:r w:rsidRPr="00D95B34">
        <w:rPr>
          <w:rFonts w:ascii="Arial" w:hAnsi="Arial" w:cs="Arial"/>
        </w:rPr>
        <w:t xml:space="preserve"> spp. spores (mean ± standard deviation, and (sample size)) from hives used in blueberry pollination (Blueberry) and hives that remained at a home apiary (Home), in </w:t>
      </w:r>
      <w:r w:rsidR="00BF098F">
        <w:rPr>
          <w:rFonts w:ascii="Arial" w:hAnsi="Arial" w:cs="Arial"/>
        </w:rPr>
        <w:t>Canada’s</w:t>
      </w:r>
      <w:r w:rsidRPr="00D95B34">
        <w:rPr>
          <w:rFonts w:ascii="Arial" w:hAnsi="Arial" w:cs="Arial"/>
        </w:rPr>
        <w:t xml:space="preserve"> Maritime </w:t>
      </w:r>
      <w:r w:rsidR="00BF098F">
        <w:rPr>
          <w:rFonts w:ascii="Arial" w:hAnsi="Arial" w:cs="Arial"/>
        </w:rPr>
        <w:t>p</w:t>
      </w:r>
      <w:r w:rsidRPr="00D95B34">
        <w:rPr>
          <w:rFonts w:ascii="Arial" w:hAnsi="Arial" w:cs="Arial"/>
        </w:rPr>
        <w:t>rovinces, 2020.</w:t>
      </w:r>
    </w:p>
    <w:p w14:paraId="696FEC8D" w14:textId="77777777" w:rsidR="00942B1B" w:rsidRPr="00D95B34" w:rsidRDefault="00942B1B" w:rsidP="00942B1B">
      <w:pPr>
        <w:rPr>
          <w:rFonts w:ascii="Arial" w:eastAsia="Arial" w:hAnsi="Arial" w:cs="Arial"/>
        </w:rPr>
      </w:pPr>
    </w:p>
    <w:tbl>
      <w:tblPr>
        <w:tblW w:w="9923" w:type="dxa"/>
        <w:tblInd w:w="-142" w:type="dxa"/>
        <w:tblBorders>
          <w:top w:val="single" w:sz="4" w:space="0" w:color="auto"/>
          <w:bottom w:val="single" w:sz="4" w:space="0" w:color="auto"/>
        </w:tblBorders>
        <w:tblLayout w:type="fixed"/>
        <w:tblLook w:val="04A0" w:firstRow="1" w:lastRow="0" w:firstColumn="1" w:lastColumn="0" w:noHBand="0" w:noVBand="1"/>
      </w:tblPr>
      <w:tblGrid>
        <w:gridCol w:w="1418"/>
        <w:gridCol w:w="1101"/>
        <w:gridCol w:w="1429"/>
        <w:gridCol w:w="1429"/>
        <w:gridCol w:w="1429"/>
        <w:gridCol w:w="1429"/>
        <w:gridCol w:w="1688"/>
      </w:tblGrid>
      <w:tr w:rsidR="00942B1B" w:rsidRPr="00D95B34" w14:paraId="07955459" w14:textId="77777777" w:rsidTr="00AB66BE">
        <w:trPr>
          <w:trHeight w:val="232"/>
        </w:trPr>
        <w:tc>
          <w:tcPr>
            <w:tcW w:w="1418" w:type="dxa"/>
            <w:tcBorders>
              <w:bottom w:val="single" w:sz="4" w:space="0" w:color="auto"/>
            </w:tcBorders>
            <w:shd w:val="clear" w:color="auto" w:fill="auto"/>
            <w:noWrap/>
            <w:vAlign w:val="bottom"/>
            <w:hideMark/>
          </w:tcPr>
          <w:p w14:paraId="05D2BA4A" w14:textId="77777777" w:rsidR="00942B1B" w:rsidRPr="00D95B34" w:rsidRDefault="00942B1B" w:rsidP="00AB66BE">
            <w:pPr>
              <w:rPr>
                <w:rFonts w:ascii="Arial" w:hAnsi="Arial" w:cs="Arial"/>
                <w:b/>
                <w:bCs/>
                <w:lang w:eastAsia="en-CA"/>
              </w:rPr>
            </w:pPr>
            <w:r w:rsidRPr="00D95B34">
              <w:rPr>
                <w:rFonts w:ascii="Arial" w:hAnsi="Arial" w:cs="Arial"/>
                <w:b/>
                <w:bCs/>
                <w:lang w:eastAsia="en-CA"/>
              </w:rPr>
              <w:t>Treatment</w:t>
            </w:r>
          </w:p>
        </w:tc>
        <w:tc>
          <w:tcPr>
            <w:tcW w:w="1101" w:type="dxa"/>
            <w:tcBorders>
              <w:bottom w:val="single" w:sz="4" w:space="0" w:color="auto"/>
            </w:tcBorders>
            <w:shd w:val="clear" w:color="auto" w:fill="auto"/>
            <w:noWrap/>
            <w:vAlign w:val="bottom"/>
            <w:hideMark/>
          </w:tcPr>
          <w:p w14:paraId="00414CED" w14:textId="77777777" w:rsidR="00942B1B" w:rsidRPr="00D95B34" w:rsidRDefault="00942B1B" w:rsidP="00AB66BE">
            <w:pPr>
              <w:jc w:val="right"/>
              <w:rPr>
                <w:rFonts w:ascii="Arial" w:hAnsi="Arial" w:cs="Arial"/>
                <w:b/>
                <w:bCs/>
                <w:color w:val="000000"/>
                <w:lang w:eastAsia="en-CA"/>
              </w:rPr>
            </w:pPr>
            <w:r w:rsidRPr="00D95B34">
              <w:rPr>
                <w:rFonts w:ascii="Arial" w:hAnsi="Arial" w:cs="Arial"/>
                <w:b/>
                <w:bCs/>
                <w:color w:val="000000"/>
                <w:lang w:eastAsia="en-CA"/>
              </w:rPr>
              <w:t>April</w:t>
            </w:r>
          </w:p>
        </w:tc>
        <w:tc>
          <w:tcPr>
            <w:tcW w:w="1429" w:type="dxa"/>
            <w:tcBorders>
              <w:bottom w:val="single" w:sz="4" w:space="0" w:color="auto"/>
            </w:tcBorders>
            <w:shd w:val="clear" w:color="auto" w:fill="auto"/>
            <w:noWrap/>
            <w:vAlign w:val="bottom"/>
            <w:hideMark/>
          </w:tcPr>
          <w:p w14:paraId="6430E1BC" w14:textId="77777777" w:rsidR="00942B1B" w:rsidRPr="00D95B34" w:rsidRDefault="00942B1B" w:rsidP="00AB66BE">
            <w:pPr>
              <w:jc w:val="right"/>
              <w:rPr>
                <w:rFonts w:ascii="Arial" w:hAnsi="Arial" w:cs="Arial"/>
                <w:b/>
                <w:bCs/>
                <w:color w:val="000000"/>
                <w:lang w:eastAsia="en-CA"/>
              </w:rPr>
            </w:pPr>
            <w:r w:rsidRPr="00D95B34">
              <w:rPr>
                <w:rFonts w:ascii="Arial" w:hAnsi="Arial" w:cs="Arial"/>
                <w:b/>
                <w:bCs/>
                <w:color w:val="000000"/>
                <w:lang w:eastAsia="en-CA"/>
              </w:rPr>
              <w:t>May</w:t>
            </w:r>
          </w:p>
        </w:tc>
        <w:tc>
          <w:tcPr>
            <w:tcW w:w="1429" w:type="dxa"/>
            <w:tcBorders>
              <w:bottom w:val="single" w:sz="4" w:space="0" w:color="auto"/>
            </w:tcBorders>
            <w:shd w:val="clear" w:color="auto" w:fill="auto"/>
            <w:noWrap/>
            <w:vAlign w:val="bottom"/>
            <w:hideMark/>
          </w:tcPr>
          <w:p w14:paraId="4250C7A2" w14:textId="77777777" w:rsidR="00942B1B" w:rsidRPr="00D95B34" w:rsidRDefault="00942B1B" w:rsidP="00AB66BE">
            <w:pPr>
              <w:jc w:val="right"/>
              <w:rPr>
                <w:rFonts w:ascii="Arial" w:hAnsi="Arial" w:cs="Arial"/>
                <w:b/>
                <w:bCs/>
                <w:color w:val="000000"/>
                <w:lang w:eastAsia="en-CA"/>
              </w:rPr>
            </w:pPr>
            <w:r w:rsidRPr="00D95B34">
              <w:rPr>
                <w:rFonts w:ascii="Arial" w:hAnsi="Arial" w:cs="Arial"/>
                <w:b/>
                <w:bCs/>
                <w:color w:val="000000"/>
                <w:lang w:eastAsia="en-CA"/>
              </w:rPr>
              <w:t>June</w:t>
            </w:r>
          </w:p>
        </w:tc>
        <w:tc>
          <w:tcPr>
            <w:tcW w:w="1429" w:type="dxa"/>
            <w:tcBorders>
              <w:bottom w:val="single" w:sz="4" w:space="0" w:color="auto"/>
            </w:tcBorders>
            <w:shd w:val="clear" w:color="auto" w:fill="auto"/>
            <w:noWrap/>
            <w:vAlign w:val="bottom"/>
            <w:hideMark/>
          </w:tcPr>
          <w:p w14:paraId="30076E04" w14:textId="77777777" w:rsidR="00942B1B" w:rsidRPr="00D95B34" w:rsidRDefault="00942B1B" w:rsidP="00AB66BE">
            <w:pPr>
              <w:jc w:val="right"/>
              <w:rPr>
                <w:rFonts w:ascii="Arial" w:hAnsi="Arial" w:cs="Arial"/>
                <w:b/>
                <w:bCs/>
                <w:color w:val="000000"/>
                <w:lang w:eastAsia="en-CA"/>
              </w:rPr>
            </w:pPr>
            <w:r w:rsidRPr="00D95B34">
              <w:rPr>
                <w:rFonts w:ascii="Arial" w:hAnsi="Arial" w:cs="Arial"/>
                <w:b/>
                <w:bCs/>
                <w:color w:val="000000"/>
                <w:lang w:eastAsia="en-CA"/>
              </w:rPr>
              <w:t>July</w:t>
            </w:r>
          </w:p>
        </w:tc>
        <w:tc>
          <w:tcPr>
            <w:tcW w:w="1429" w:type="dxa"/>
            <w:tcBorders>
              <w:bottom w:val="single" w:sz="4" w:space="0" w:color="auto"/>
            </w:tcBorders>
            <w:shd w:val="clear" w:color="auto" w:fill="auto"/>
            <w:noWrap/>
            <w:vAlign w:val="bottom"/>
            <w:hideMark/>
          </w:tcPr>
          <w:p w14:paraId="281452F7" w14:textId="77777777" w:rsidR="00942B1B" w:rsidRPr="00D95B34" w:rsidRDefault="00942B1B" w:rsidP="00AB66BE">
            <w:pPr>
              <w:jc w:val="right"/>
              <w:rPr>
                <w:rFonts w:ascii="Arial" w:hAnsi="Arial" w:cs="Arial"/>
                <w:b/>
                <w:bCs/>
                <w:color w:val="000000"/>
                <w:lang w:eastAsia="en-CA"/>
              </w:rPr>
            </w:pPr>
            <w:r w:rsidRPr="00D95B34">
              <w:rPr>
                <w:rFonts w:ascii="Arial" w:hAnsi="Arial" w:cs="Arial"/>
                <w:b/>
                <w:bCs/>
                <w:color w:val="000000"/>
                <w:lang w:eastAsia="en-CA"/>
              </w:rPr>
              <w:t>August</w:t>
            </w:r>
          </w:p>
        </w:tc>
        <w:tc>
          <w:tcPr>
            <w:tcW w:w="1688" w:type="dxa"/>
            <w:tcBorders>
              <w:bottom w:val="single" w:sz="4" w:space="0" w:color="auto"/>
            </w:tcBorders>
            <w:shd w:val="clear" w:color="auto" w:fill="auto"/>
            <w:noWrap/>
            <w:vAlign w:val="bottom"/>
            <w:hideMark/>
          </w:tcPr>
          <w:p w14:paraId="2EBF9A75" w14:textId="77777777" w:rsidR="00942B1B" w:rsidRPr="00D95B34" w:rsidRDefault="00942B1B" w:rsidP="00AB66BE">
            <w:pPr>
              <w:jc w:val="right"/>
              <w:rPr>
                <w:rFonts w:ascii="Arial" w:hAnsi="Arial" w:cs="Arial"/>
                <w:b/>
                <w:bCs/>
                <w:color w:val="000000"/>
                <w:lang w:eastAsia="en-CA"/>
              </w:rPr>
            </w:pPr>
            <w:r w:rsidRPr="00D95B34">
              <w:rPr>
                <w:rFonts w:ascii="Arial" w:hAnsi="Arial" w:cs="Arial"/>
                <w:b/>
                <w:bCs/>
                <w:color w:val="000000"/>
                <w:lang w:eastAsia="en-CA"/>
              </w:rPr>
              <w:t>September</w:t>
            </w:r>
          </w:p>
        </w:tc>
      </w:tr>
      <w:tr w:rsidR="00942B1B" w:rsidRPr="00D95B34" w14:paraId="60EF16BC" w14:textId="77777777" w:rsidTr="00AB66BE">
        <w:trPr>
          <w:trHeight w:val="300"/>
        </w:trPr>
        <w:tc>
          <w:tcPr>
            <w:tcW w:w="1418" w:type="dxa"/>
            <w:tcBorders>
              <w:top w:val="single" w:sz="4" w:space="0" w:color="auto"/>
              <w:bottom w:val="single" w:sz="4" w:space="0" w:color="auto"/>
            </w:tcBorders>
            <w:shd w:val="clear" w:color="auto" w:fill="auto"/>
            <w:noWrap/>
            <w:vAlign w:val="bottom"/>
            <w:hideMark/>
          </w:tcPr>
          <w:p w14:paraId="06D185A5" w14:textId="77777777" w:rsidR="00942B1B" w:rsidRPr="00D95B34" w:rsidRDefault="00942B1B" w:rsidP="00AB66BE">
            <w:pPr>
              <w:rPr>
                <w:rFonts w:ascii="Arial" w:hAnsi="Arial" w:cs="Arial"/>
                <w:color w:val="000000"/>
                <w:lang w:eastAsia="en-CA"/>
              </w:rPr>
            </w:pPr>
            <w:r w:rsidRPr="00D95B34">
              <w:rPr>
                <w:rFonts w:ascii="Arial" w:hAnsi="Arial" w:cs="Arial"/>
                <w:color w:val="000000"/>
                <w:lang w:eastAsia="en-CA"/>
              </w:rPr>
              <w:t>Home</w:t>
            </w:r>
          </w:p>
          <w:p w14:paraId="2F00BDF8" w14:textId="77777777" w:rsidR="00942B1B" w:rsidRPr="00D95B34" w:rsidRDefault="00942B1B" w:rsidP="00AB66BE">
            <w:pPr>
              <w:rPr>
                <w:rFonts w:ascii="Arial" w:hAnsi="Arial" w:cs="Arial"/>
                <w:color w:val="000000"/>
                <w:lang w:eastAsia="en-CA"/>
              </w:rPr>
            </w:pPr>
          </w:p>
        </w:tc>
        <w:tc>
          <w:tcPr>
            <w:tcW w:w="1101" w:type="dxa"/>
            <w:tcBorders>
              <w:top w:val="single" w:sz="4" w:space="0" w:color="auto"/>
              <w:bottom w:val="single" w:sz="4" w:space="0" w:color="auto"/>
            </w:tcBorders>
            <w:shd w:val="clear" w:color="auto" w:fill="auto"/>
            <w:noWrap/>
            <w:vAlign w:val="bottom"/>
            <w:hideMark/>
          </w:tcPr>
          <w:p w14:paraId="4A84A152"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3.06 </w:t>
            </w:r>
          </w:p>
          <w:p w14:paraId="5D2D928A"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0.13</w:t>
            </w:r>
          </w:p>
          <w:p w14:paraId="385BAA79"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(44)</w:t>
            </w:r>
          </w:p>
        </w:tc>
        <w:tc>
          <w:tcPr>
            <w:tcW w:w="1429" w:type="dxa"/>
            <w:tcBorders>
              <w:top w:val="single" w:sz="4" w:space="0" w:color="auto"/>
              <w:bottom w:val="single" w:sz="4" w:space="0" w:color="auto"/>
            </w:tcBorders>
            <w:shd w:val="clear" w:color="auto" w:fill="auto"/>
            <w:noWrap/>
            <w:vAlign w:val="bottom"/>
            <w:hideMark/>
          </w:tcPr>
          <w:p w14:paraId="2FA7C4D7"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2.33 </w:t>
            </w:r>
          </w:p>
          <w:p w14:paraId="523740A0"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0.163 </w:t>
            </w:r>
          </w:p>
          <w:p w14:paraId="2CB70FC5"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(45)</w:t>
            </w:r>
          </w:p>
        </w:tc>
        <w:tc>
          <w:tcPr>
            <w:tcW w:w="1429" w:type="dxa"/>
            <w:tcBorders>
              <w:top w:val="single" w:sz="4" w:space="0" w:color="auto"/>
              <w:bottom w:val="single" w:sz="4" w:space="0" w:color="auto"/>
            </w:tcBorders>
            <w:shd w:val="clear" w:color="auto" w:fill="auto"/>
            <w:noWrap/>
            <w:vAlign w:val="bottom"/>
            <w:hideMark/>
          </w:tcPr>
          <w:p w14:paraId="05E4C3A6"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0.386 </w:t>
            </w:r>
          </w:p>
          <w:p w14:paraId="34326AEE"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0.22</w:t>
            </w:r>
          </w:p>
          <w:p w14:paraId="0D3D0C13"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(45)</w:t>
            </w:r>
          </w:p>
        </w:tc>
        <w:tc>
          <w:tcPr>
            <w:tcW w:w="1429" w:type="dxa"/>
            <w:tcBorders>
              <w:top w:val="single" w:sz="4" w:space="0" w:color="auto"/>
              <w:bottom w:val="single" w:sz="4" w:space="0" w:color="auto"/>
            </w:tcBorders>
            <w:shd w:val="clear" w:color="auto" w:fill="auto"/>
            <w:noWrap/>
            <w:vAlign w:val="bottom"/>
            <w:hideMark/>
          </w:tcPr>
          <w:p w14:paraId="7A04DFAF"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0.101</w:t>
            </w:r>
          </w:p>
          <w:p w14:paraId="280631EA"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 0.134 </w:t>
            </w:r>
          </w:p>
          <w:p w14:paraId="10B5A2DF"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(33)</w:t>
            </w:r>
          </w:p>
        </w:tc>
        <w:tc>
          <w:tcPr>
            <w:tcW w:w="1429" w:type="dxa"/>
            <w:tcBorders>
              <w:top w:val="single" w:sz="4" w:space="0" w:color="auto"/>
              <w:bottom w:val="single" w:sz="4" w:space="0" w:color="auto"/>
            </w:tcBorders>
            <w:shd w:val="clear" w:color="auto" w:fill="auto"/>
            <w:noWrap/>
            <w:vAlign w:val="bottom"/>
            <w:hideMark/>
          </w:tcPr>
          <w:p w14:paraId="2335F5B8"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0 </w:t>
            </w:r>
          </w:p>
          <w:p w14:paraId="682049DD"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0.021 </w:t>
            </w:r>
          </w:p>
          <w:p w14:paraId="39BEA211"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(43)</w:t>
            </w:r>
          </w:p>
        </w:tc>
        <w:tc>
          <w:tcPr>
            <w:tcW w:w="1688" w:type="dxa"/>
            <w:tcBorders>
              <w:top w:val="single" w:sz="4" w:space="0" w:color="auto"/>
              <w:bottom w:val="single" w:sz="4" w:space="0" w:color="auto"/>
            </w:tcBorders>
            <w:shd w:val="clear" w:color="auto" w:fill="auto"/>
            <w:noWrap/>
            <w:vAlign w:val="bottom"/>
            <w:hideMark/>
          </w:tcPr>
          <w:p w14:paraId="615C268A"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0.003 </w:t>
            </w:r>
          </w:p>
          <w:p w14:paraId="273F5719"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0.013 </w:t>
            </w:r>
          </w:p>
          <w:p w14:paraId="43FD2130"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(31)</w:t>
            </w:r>
          </w:p>
        </w:tc>
      </w:tr>
      <w:tr w:rsidR="00942B1B" w:rsidRPr="009A7895" w14:paraId="7675FAD9" w14:textId="77777777" w:rsidTr="00AB66BE">
        <w:trPr>
          <w:trHeight w:val="300"/>
        </w:trPr>
        <w:tc>
          <w:tcPr>
            <w:tcW w:w="1418" w:type="dxa"/>
            <w:tcBorders>
              <w:top w:val="single" w:sz="4" w:space="0" w:color="auto"/>
            </w:tcBorders>
            <w:shd w:val="clear" w:color="auto" w:fill="auto"/>
            <w:noWrap/>
            <w:vAlign w:val="bottom"/>
            <w:hideMark/>
          </w:tcPr>
          <w:p w14:paraId="4F482481" w14:textId="77777777" w:rsidR="00942B1B" w:rsidRPr="00D95B34" w:rsidRDefault="00942B1B" w:rsidP="00AB66BE">
            <w:pPr>
              <w:rPr>
                <w:rFonts w:ascii="Arial" w:hAnsi="Arial" w:cs="Arial"/>
                <w:color w:val="000000"/>
                <w:lang w:eastAsia="en-CA"/>
              </w:rPr>
            </w:pPr>
            <w:r w:rsidRPr="00D95B34">
              <w:rPr>
                <w:rFonts w:ascii="Arial" w:hAnsi="Arial" w:cs="Arial"/>
                <w:color w:val="000000"/>
                <w:lang w:eastAsia="en-CA"/>
              </w:rPr>
              <w:t>Blueberry</w:t>
            </w:r>
          </w:p>
          <w:p w14:paraId="1DAD4C85" w14:textId="77777777" w:rsidR="00942B1B" w:rsidRPr="00D95B34" w:rsidRDefault="00942B1B" w:rsidP="00AB66BE">
            <w:pPr>
              <w:rPr>
                <w:rFonts w:ascii="Arial" w:hAnsi="Arial" w:cs="Arial"/>
                <w:color w:val="000000"/>
                <w:lang w:eastAsia="en-CA"/>
              </w:rPr>
            </w:pPr>
          </w:p>
        </w:tc>
        <w:tc>
          <w:tcPr>
            <w:tcW w:w="1101" w:type="dxa"/>
            <w:tcBorders>
              <w:top w:val="single" w:sz="4" w:space="0" w:color="auto"/>
            </w:tcBorders>
            <w:shd w:val="clear" w:color="auto" w:fill="auto"/>
            <w:noWrap/>
            <w:vAlign w:val="bottom"/>
            <w:hideMark/>
          </w:tcPr>
          <w:p w14:paraId="1C5D5420"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1.70 </w:t>
            </w:r>
          </w:p>
          <w:p w14:paraId="4370FFE1"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0.121 </w:t>
            </w:r>
          </w:p>
          <w:p w14:paraId="611533AD"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(82)</w:t>
            </w:r>
          </w:p>
        </w:tc>
        <w:tc>
          <w:tcPr>
            <w:tcW w:w="1429" w:type="dxa"/>
            <w:tcBorders>
              <w:top w:val="single" w:sz="4" w:space="0" w:color="auto"/>
            </w:tcBorders>
            <w:shd w:val="clear" w:color="auto" w:fill="auto"/>
            <w:noWrap/>
            <w:vAlign w:val="bottom"/>
            <w:hideMark/>
          </w:tcPr>
          <w:p w14:paraId="056C64FE"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3.12 </w:t>
            </w:r>
          </w:p>
          <w:p w14:paraId="2A6B2264"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0.091 </w:t>
            </w:r>
          </w:p>
          <w:p w14:paraId="6B13200E"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(94)</w:t>
            </w:r>
          </w:p>
        </w:tc>
        <w:tc>
          <w:tcPr>
            <w:tcW w:w="1429" w:type="dxa"/>
            <w:tcBorders>
              <w:top w:val="single" w:sz="4" w:space="0" w:color="auto"/>
            </w:tcBorders>
            <w:shd w:val="clear" w:color="auto" w:fill="auto"/>
            <w:noWrap/>
            <w:vAlign w:val="bottom"/>
            <w:hideMark/>
          </w:tcPr>
          <w:p w14:paraId="57C1AF19"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1.04 </w:t>
            </w:r>
          </w:p>
          <w:p w14:paraId="3C672F38"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0.154 </w:t>
            </w:r>
          </w:p>
          <w:p w14:paraId="5D8B48B7"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(81)</w:t>
            </w:r>
          </w:p>
        </w:tc>
        <w:tc>
          <w:tcPr>
            <w:tcW w:w="1429" w:type="dxa"/>
            <w:tcBorders>
              <w:top w:val="single" w:sz="4" w:space="0" w:color="auto"/>
            </w:tcBorders>
            <w:shd w:val="clear" w:color="auto" w:fill="auto"/>
            <w:noWrap/>
            <w:vAlign w:val="bottom"/>
            <w:hideMark/>
          </w:tcPr>
          <w:p w14:paraId="4371785C"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0.112 </w:t>
            </w:r>
          </w:p>
          <w:p w14:paraId="73234021"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0.068 </w:t>
            </w:r>
          </w:p>
          <w:p w14:paraId="2A60229B"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(47)</w:t>
            </w:r>
          </w:p>
        </w:tc>
        <w:tc>
          <w:tcPr>
            <w:tcW w:w="1429" w:type="dxa"/>
            <w:tcBorders>
              <w:top w:val="single" w:sz="4" w:space="0" w:color="auto"/>
            </w:tcBorders>
            <w:shd w:val="clear" w:color="auto" w:fill="auto"/>
            <w:noWrap/>
            <w:vAlign w:val="bottom"/>
            <w:hideMark/>
          </w:tcPr>
          <w:p w14:paraId="451C6E73"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0.011 </w:t>
            </w:r>
          </w:p>
          <w:p w14:paraId="6EC5F8F5"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0.058 </w:t>
            </w:r>
          </w:p>
          <w:p w14:paraId="3BECBE46"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(65)</w:t>
            </w:r>
          </w:p>
        </w:tc>
        <w:tc>
          <w:tcPr>
            <w:tcW w:w="1688" w:type="dxa"/>
            <w:tcBorders>
              <w:top w:val="single" w:sz="4" w:space="0" w:color="auto"/>
            </w:tcBorders>
            <w:shd w:val="clear" w:color="auto" w:fill="auto"/>
            <w:noWrap/>
            <w:vAlign w:val="bottom"/>
            <w:hideMark/>
          </w:tcPr>
          <w:p w14:paraId="044C533B"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0.014 </w:t>
            </w:r>
          </w:p>
          <w:p w14:paraId="7F21C310" w14:textId="77777777" w:rsidR="00942B1B" w:rsidRPr="00D95B34" w:rsidRDefault="00942B1B" w:rsidP="00AB66BE">
            <w:pPr>
              <w:jc w:val="right"/>
              <w:rPr>
                <w:rFonts w:ascii="Arial" w:hAnsi="Arial" w:cs="Arial"/>
                <w:color w:val="000000"/>
                <w:lang w:eastAsia="en-CA"/>
              </w:rPr>
            </w:pPr>
            <w:r w:rsidRPr="00D95B34">
              <w:rPr>
                <w:rFonts w:ascii="Arial" w:hAnsi="Arial" w:cs="Arial"/>
                <w:color w:val="000000"/>
                <w:lang w:eastAsia="en-CA"/>
              </w:rPr>
              <w:t xml:space="preserve">± 0.052 </w:t>
            </w:r>
          </w:p>
          <w:p w14:paraId="4D454BB3" w14:textId="77777777" w:rsidR="00942B1B" w:rsidRPr="009A7895" w:rsidRDefault="00942B1B" w:rsidP="00AB66BE">
            <w:pPr>
              <w:jc w:val="right"/>
              <w:rPr>
                <w:rFonts w:ascii="Arial" w:hAnsi="Arial" w:cs="Arial"/>
                <w:color w:val="000000"/>
                <w:lang w:eastAsia="en-CA"/>
              </w:rPr>
            </w:pPr>
            <w:r w:rsidRPr="00D95B34">
              <w:rPr>
                <w:rFonts w:ascii="Arial" w:hAnsi="Arial" w:cs="Arial"/>
                <w:color w:val="000000"/>
                <w:lang w:eastAsia="en-CA"/>
              </w:rPr>
              <w:t>(45)</w:t>
            </w:r>
          </w:p>
        </w:tc>
      </w:tr>
    </w:tbl>
    <w:p w14:paraId="27255B75" w14:textId="77777777" w:rsidR="00942B1B" w:rsidRDefault="00942B1B" w:rsidP="00942B1B">
      <w:pPr>
        <w:rPr>
          <w:rFonts w:ascii="Arial" w:eastAsia="Arial" w:hAnsi="Arial" w:cs="Arial"/>
        </w:rPr>
      </w:pPr>
    </w:p>
    <w:p w14:paraId="5F325E76" w14:textId="77777777" w:rsidR="00942B1B" w:rsidRDefault="00942B1B" w:rsidP="00942B1B">
      <w:pPr>
        <w:rPr>
          <w:rFonts w:ascii="Arial" w:eastAsia="Arial" w:hAnsi="Arial" w:cs="Arial"/>
        </w:rPr>
      </w:pPr>
      <w:r>
        <w:rPr>
          <w:rFonts w:ascii="Arial" w:eastAsia="Arial" w:hAnsi="Arial" w:cs="Arial"/>
        </w:rPr>
        <w:br w:type="page"/>
      </w:r>
    </w:p>
    <w:p w14:paraId="2A5EAF3B" w14:textId="20F75EE7" w:rsidR="00942B1B" w:rsidRDefault="00942B1B" w:rsidP="00942B1B">
      <w:pPr>
        <w:rPr>
          <w:rFonts w:ascii="Arial" w:hAnsi="Arial" w:cs="Arial"/>
        </w:rPr>
      </w:pPr>
      <w:r>
        <w:rPr>
          <w:rFonts w:ascii="Arial" w:hAnsi="Arial" w:cs="Arial"/>
          <w:b/>
          <w:bCs/>
        </w:rPr>
        <w:lastRenderedPageBreak/>
        <w:t>Supplementa</w:t>
      </w:r>
      <w:r w:rsidR="00BF098F">
        <w:rPr>
          <w:rFonts w:ascii="Arial" w:hAnsi="Arial" w:cs="Arial"/>
          <w:b/>
          <w:bCs/>
        </w:rPr>
        <w:t>ry material,</w:t>
      </w:r>
      <w:r>
        <w:rPr>
          <w:rFonts w:ascii="Arial" w:hAnsi="Arial" w:cs="Arial"/>
          <w:b/>
          <w:bCs/>
        </w:rPr>
        <w:t xml:space="preserve"> Table </w:t>
      </w:r>
      <w:r w:rsidR="00BF098F">
        <w:rPr>
          <w:rFonts w:ascii="Arial" w:hAnsi="Arial" w:cs="Arial"/>
          <w:b/>
          <w:bCs/>
        </w:rPr>
        <w:t>S</w:t>
      </w:r>
      <w:r>
        <w:rPr>
          <w:rFonts w:ascii="Arial" w:hAnsi="Arial" w:cs="Arial"/>
          <w:b/>
          <w:bCs/>
        </w:rPr>
        <w:t xml:space="preserve">3. </w:t>
      </w:r>
      <w:r w:rsidR="00BF098F">
        <w:rPr>
          <w:rFonts w:ascii="Arial" w:hAnsi="Arial" w:cs="Arial"/>
        </w:rPr>
        <w:t>Analysis of variance</w:t>
      </w:r>
      <w:r>
        <w:rPr>
          <w:rFonts w:ascii="Arial" w:hAnsi="Arial" w:cs="Arial"/>
        </w:rPr>
        <w:t xml:space="preserve"> results showing the significance of the fixed effects.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Look w:val="04A0" w:firstRow="1" w:lastRow="0" w:firstColumn="1" w:lastColumn="0" w:noHBand="0" w:noVBand="1"/>
        <w:tblDescription w:val="Procedure Mixed: Type 3 Tests of Fixed Effects"/>
      </w:tblPr>
      <w:tblGrid>
        <w:gridCol w:w="2320"/>
        <w:gridCol w:w="927"/>
        <w:gridCol w:w="847"/>
        <w:gridCol w:w="941"/>
        <w:gridCol w:w="774"/>
      </w:tblGrid>
      <w:tr w:rsidR="00942B1B" w14:paraId="1A9F6901" w14:textId="77777777" w:rsidTr="00AB66BE">
        <w:trPr>
          <w:trHeight w:val="366"/>
          <w:tblHeader/>
          <w:jc w:val="center"/>
        </w:trPr>
        <w:tc>
          <w:tcPr>
            <w:tcW w:w="0" w:type="auto"/>
            <w:tcBorders>
              <w:top w:val="single" w:sz="4" w:space="0" w:color="auto"/>
              <w:left w:val="single" w:sz="4" w:space="0" w:color="auto"/>
              <w:bottom w:val="single" w:sz="4" w:space="0" w:color="auto"/>
              <w:right w:val="single" w:sz="4" w:space="0" w:color="auto"/>
            </w:tcBorders>
            <w:hideMark/>
          </w:tcPr>
          <w:p w14:paraId="0D754686" w14:textId="77777777" w:rsidR="00942B1B" w:rsidRDefault="00942B1B" w:rsidP="00AB66BE">
            <w:pPr>
              <w:rPr>
                <w:rFonts w:ascii="Arial" w:hAnsi="Arial" w:cs="Arial"/>
                <w:b/>
                <w:bCs/>
              </w:rPr>
            </w:pPr>
            <w:r>
              <w:rPr>
                <w:rFonts w:ascii="Arial" w:hAnsi="Arial" w:cs="Arial"/>
                <w:b/>
                <w:bCs/>
              </w:rPr>
              <w:t>Effect</w:t>
            </w:r>
          </w:p>
        </w:tc>
        <w:tc>
          <w:tcPr>
            <w:tcW w:w="0" w:type="auto"/>
            <w:tcBorders>
              <w:top w:val="single" w:sz="4" w:space="0" w:color="auto"/>
              <w:left w:val="single" w:sz="4" w:space="0" w:color="auto"/>
              <w:bottom w:val="single" w:sz="4" w:space="0" w:color="auto"/>
              <w:right w:val="single" w:sz="4" w:space="0" w:color="auto"/>
            </w:tcBorders>
            <w:hideMark/>
          </w:tcPr>
          <w:p w14:paraId="671F3F38" w14:textId="7D1263BF" w:rsidR="00942B1B" w:rsidRDefault="00942B1B" w:rsidP="00AB66BE">
            <w:pPr>
              <w:rPr>
                <w:rFonts w:ascii="Arial" w:hAnsi="Arial" w:cs="Arial"/>
                <w:b/>
                <w:bCs/>
              </w:rPr>
            </w:pPr>
            <w:proofErr w:type="spellStart"/>
            <w:r>
              <w:rPr>
                <w:rFonts w:ascii="Arial" w:hAnsi="Arial" w:cs="Arial"/>
                <w:b/>
                <w:bCs/>
              </w:rPr>
              <w:t>Num</w:t>
            </w:r>
            <w:proofErr w:type="spellEnd"/>
            <w:r>
              <w:rPr>
                <w:rFonts w:ascii="Arial" w:hAnsi="Arial" w:cs="Arial"/>
                <w:b/>
                <w:bCs/>
              </w:rPr>
              <w:t xml:space="preserve"> </w:t>
            </w:r>
            <w:proofErr w:type="spellStart"/>
            <w:r w:rsidR="00BF098F" w:rsidRPr="00BF098F">
              <w:rPr>
                <w:rFonts w:ascii="Arial" w:hAnsi="Arial" w:cs="Arial"/>
                <w:b/>
                <w:bCs/>
                <w:i/>
              </w:rPr>
              <w:t>df</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C93E8E" w14:textId="170B4F95" w:rsidR="00942B1B" w:rsidRDefault="00942B1B" w:rsidP="00AB66BE">
            <w:pPr>
              <w:rPr>
                <w:rFonts w:ascii="Arial" w:hAnsi="Arial" w:cs="Arial"/>
                <w:b/>
                <w:bCs/>
              </w:rPr>
            </w:pPr>
            <w:r>
              <w:rPr>
                <w:rFonts w:ascii="Arial" w:hAnsi="Arial" w:cs="Arial"/>
                <w:b/>
                <w:bCs/>
              </w:rPr>
              <w:t xml:space="preserve">Den </w:t>
            </w:r>
            <w:proofErr w:type="spellStart"/>
            <w:r w:rsidR="00BF098F" w:rsidRPr="00BF098F">
              <w:rPr>
                <w:rFonts w:ascii="Arial" w:hAnsi="Arial" w:cs="Arial"/>
                <w:b/>
                <w:bCs/>
                <w:i/>
              </w:rPr>
              <w:t>df</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71A70D" w14:textId="018582A4" w:rsidR="00942B1B" w:rsidRDefault="00942B1B" w:rsidP="00AB66BE">
            <w:pPr>
              <w:rPr>
                <w:rFonts w:ascii="Arial" w:hAnsi="Arial" w:cs="Arial"/>
                <w:b/>
                <w:bCs/>
              </w:rPr>
            </w:pPr>
            <w:r w:rsidRPr="00BF098F">
              <w:rPr>
                <w:rFonts w:ascii="Arial" w:hAnsi="Arial" w:cs="Arial"/>
                <w:b/>
                <w:bCs/>
                <w:i/>
              </w:rPr>
              <w:t>F</w:t>
            </w:r>
            <w:r w:rsidR="00BF098F">
              <w:rPr>
                <w:rFonts w:ascii="Arial" w:hAnsi="Arial" w:cs="Arial"/>
                <w:b/>
                <w:bCs/>
              </w:rPr>
              <w:t>-v</w:t>
            </w:r>
            <w:r>
              <w:rPr>
                <w:rFonts w:ascii="Arial" w:hAnsi="Arial" w:cs="Arial"/>
                <w:b/>
                <w:bCs/>
              </w:rPr>
              <w:t>alue</w:t>
            </w:r>
          </w:p>
        </w:tc>
        <w:tc>
          <w:tcPr>
            <w:tcW w:w="0" w:type="auto"/>
            <w:tcBorders>
              <w:top w:val="single" w:sz="4" w:space="0" w:color="auto"/>
              <w:left w:val="single" w:sz="4" w:space="0" w:color="auto"/>
              <w:bottom w:val="single" w:sz="4" w:space="0" w:color="auto"/>
              <w:right w:val="single" w:sz="4" w:space="0" w:color="auto"/>
            </w:tcBorders>
            <w:hideMark/>
          </w:tcPr>
          <w:p w14:paraId="4E2272EA" w14:textId="77777777" w:rsidR="00942B1B" w:rsidRDefault="00942B1B" w:rsidP="00AB66BE">
            <w:pPr>
              <w:rPr>
                <w:rFonts w:ascii="Arial" w:hAnsi="Arial" w:cs="Arial"/>
                <w:b/>
                <w:bCs/>
              </w:rPr>
            </w:pPr>
            <w:proofErr w:type="spellStart"/>
            <w:r>
              <w:rPr>
                <w:rFonts w:ascii="Arial" w:hAnsi="Arial" w:cs="Arial"/>
                <w:b/>
                <w:bCs/>
              </w:rPr>
              <w:t>Pr</w:t>
            </w:r>
            <w:proofErr w:type="spellEnd"/>
            <w:r>
              <w:rPr>
                <w:rFonts w:ascii="Arial" w:hAnsi="Arial" w:cs="Arial"/>
                <w:b/>
                <w:bCs/>
              </w:rPr>
              <w:t> &gt; </w:t>
            </w:r>
            <w:r w:rsidRPr="00BF098F">
              <w:rPr>
                <w:rFonts w:ascii="Arial" w:hAnsi="Arial" w:cs="Arial"/>
                <w:b/>
                <w:bCs/>
                <w:i/>
              </w:rPr>
              <w:t>F</w:t>
            </w:r>
          </w:p>
        </w:tc>
      </w:tr>
      <w:tr w:rsidR="00942B1B" w14:paraId="16762B65" w14:textId="77777777" w:rsidTr="00AB66BE">
        <w:trPr>
          <w:trHeight w:val="374"/>
          <w:jc w:val="center"/>
        </w:trPr>
        <w:tc>
          <w:tcPr>
            <w:tcW w:w="0" w:type="auto"/>
            <w:tcBorders>
              <w:top w:val="single" w:sz="4" w:space="0" w:color="auto"/>
              <w:left w:val="single" w:sz="4" w:space="0" w:color="auto"/>
              <w:bottom w:val="single" w:sz="4" w:space="0" w:color="auto"/>
              <w:right w:val="single" w:sz="4" w:space="0" w:color="auto"/>
            </w:tcBorders>
            <w:hideMark/>
          </w:tcPr>
          <w:p w14:paraId="708C17B6" w14:textId="77777777" w:rsidR="00942B1B" w:rsidRDefault="00942B1B" w:rsidP="00AB66BE">
            <w:pPr>
              <w:rPr>
                <w:rFonts w:ascii="Arial" w:hAnsi="Arial" w:cs="Arial"/>
                <w:b/>
                <w:bCs/>
              </w:rPr>
            </w:pPr>
            <w:r>
              <w:rPr>
                <w:rFonts w:ascii="Arial" w:hAnsi="Arial" w:cs="Arial"/>
                <w:b/>
                <w:bCs/>
              </w:rPr>
              <w:t>Month</w:t>
            </w:r>
          </w:p>
        </w:tc>
        <w:tc>
          <w:tcPr>
            <w:tcW w:w="0" w:type="auto"/>
            <w:tcBorders>
              <w:top w:val="single" w:sz="4" w:space="0" w:color="auto"/>
              <w:left w:val="single" w:sz="4" w:space="0" w:color="auto"/>
              <w:bottom w:val="single" w:sz="4" w:space="0" w:color="auto"/>
              <w:right w:val="single" w:sz="4" w:space="0" w:color="auto"/>
            </w:tcBorders>
            <w:hideMark/>
          </w:tcPr>
          <w:p w14:paraId="4976A4D7" w14:textId="77777777" w:rsidR="00942B1B" w:rsidRDefault="00942B1B" w:rsidP="00AB66BE">
            <w:pPr>
              <w:rPr>
                <w:rFonts w:ascii="Arial" w:hAnsi="Arial" w:cs="Arial"/>
              </w:rPr>
            </w:pPr>
            <w:r>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hideMark/>
          </w:tcPr>
          <w:p w14:paraId="679EB288" w14:textId="77777777" w:rsidR="00942B1B" w:rsidRDefault="00942B1B" w:rsidP="00AB66BE">
            <w:pPr>
              <w:rPr>
                <w:rFonts w:ascii="Arial" w:hAnsi="Arial" w:cs="Arial"/>
              </w:rPr>
            </w:pPr>
            <w:r>
              <w:rPr>
                <w:rFonts w:ascii="Arial" w:hAnsi="Arial" w:cs="Arial"/>
              </w:rPr>
              <w:t>139</w:t>
            </w:r>
          </w:p>
        </w:tc>
        <w:tc>
          <w:tcPr>
            <w:tcW w:w="0" w:type="auto"/>
            <w:tcBorders>
              <w:top w:val="single" w:sz="4" w:space="0" w:color="auto"/>
              <w:left w:val="single" w:sz="4" w:space="0" w:color="auto"/>
              <w:bottom w:val="single" w:sz="4" w:space="0" w:color="auto"/>
              <w:right w:val="single" w:sz="4" w:space="0" w:color="auto"/>
            </w:tcBorders>
            <w:hideMark/>
          </w:tcPr>
          <w:p w14:paraId="4E33F0DC" w14:textId="77777777" w:rsidR="00942B1B" w:rsidRDefault="00942B1B" w:rsidP="00AB66BE">
            <w:pPr>
              <w:rPr>
                <w:rFonts w:ascii="Arial" w:hAnsi="Arial" w:cs="Arial"/>
              </w:rPr>
            </w:pPr>
            <w:r>
              <w:rPr>
                <w:rFonts w:ascii="Arial" w:hAnsi="Arial" w:cs="Arial"/>
              </w:rPr>
              <w:t>64.45</w:t>
            </w:r>
          </w:p>
        </w:tc>
        <w:tc>
          <w:tcPr>
            <w:tcW w:w="0" w:type="auto"/>
            <w:tcBorders>
              <w:top w:val="single" w:sz="4" w:space="0" w:color="auto"/>
              <w:left w:val="single" w:sz="4" w:space="0" w:color="auto"/>
              <w:bottom w:val="single" w:sz="4" w:space="0" w:color="auto"/>
              <w:right w:val="single" w:sz="4" w:space="0" w:color="auto"/>
            </w:tcBorders>
            <w:hideMark/>
          </w:tcPr>
          <w:p w14:paraId="39ABFF84" w14:textId="77777777" w:rsidR="00942B1B" w:rsidRDefault="00942B1B" w:rsidP="00AB66BE">
            <w:pPr>
              <w:rPr>
                <w:rFonts w:ascii="Arial" w:hAnsi="Arial" w:cs="Arial"/>
              </w:rPr>
            </w:pPr>
            <w:r>
              <w:rPr>
                <w:rFonts w:ascii="Arial" w:hAnsi="Arial" w:cs="Arial"/>
              </w:rPr>
              <w:t>&lt;.001</w:t>
            </w:r>
          </w:p>
        </w:tc>
      </w:tr>
      <w:tr w:rsidR="00942B1B" w14:paraId="7A413BB5" w14:textId="77777777" w:rsidTr="00AB66BE">
        <w:trPr>
          <w:trHeight w:val="240"/>
          <w:jc w:val="center"/>
        </w:trPr>
        <w:tc>
          <w:tcPr>
            <w:tcW w:w="0" w:type="auto"/>
            <w:tcBorders>
              <w:top w:val="single" w:sz="4" w:space="0" w:color="auto"/>
              <w:left w:val="single" w:sz="4" w:space="0" w:color="auto"/>
              <w:bottom w:val="single" w:sz="4" w:space="0" w:color="auto"/>
              <w:right w:val="single" w:sz="4" w:space="0" w:color="auto"/>
            </w:tcBorders>
            <w:hideMark/>
          </w:tcPr>
          <w:p w14:paraId="4E6B7D42" w14:textId="77777777" w:rsidR="00942B1B" w:rsidRDefault="00942B1B" w:rsidP="00AB66BE">
            <w:pPr>
              <w:rPr>
                <w:rFonts w:ascii="Arial" w:hAnsi="Arial" w:cs="Arial"/>
                <w:b/>
                <w:bCs/>
              </w:rPr>
            </w:pPr>
            <w:r>
              <w:rPr>
                <w:rFonts w:ascii="Arial" w:hAnsi="Arial" w:cs="Arial"/>
                <w:b/>
                <w:bCs/>
              </w:rPr>
              <w:t>Pollination</w:t>
            </w:r>
          </w:p>
        </w:tc>
        <w:tc>
          <w:tcPr>
            <w:tcW w:w="0" w:type="auto"/>
            <w:tcBorders>
              <w:top w:val="single" w:sz="4" w:space="0" w:color="auto"/>
              <w:left w:val="single" w:sz="4" w:space="0" w:color="auto"/>
              <w:bottom w:val="single" w:sz="4" w:space="0" w:color="auto"/>
              <w:right w:val="single" w:sz="4" w:space="0" w:color="auto"/>
            </w:tcBorders>
            <w:hideMark/>
          </w:tcPr>
          <w:p w14:paraId="0CB13654" w14:textId="77777777" w:rsidR="00942B1B" w:rsidRDefault="00942B1B" w:rsidP="00AB66BE">
            <w:pPr>
              <w:rPr>
                <w:rFonts w:ascii="Arial" w:hAnsi="Arial" w:cs="Arial"/>
              </w:rPr>
            </w:pPr>
            <w:r>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hideMark/>
          </w:tcPr>
          <w:p w14:paraId="057DF6D5" w14:textId="77777777" w:rsidR="00942B1B" w:rsidRDefault="00942B1B" w:rsidP="00AB66BE">
            <w:pPr>
              <w:rPr>
                <w:rFonts w:ascii="Arial" w:hAnsi="Arial" w:cs="Arial"/>
              </w:rPr>
            </w:pPr>
            <w:r>
              <w:rPr>
                <w:rFonts w:ascii="Arial" w:hAnsi="Arial" w:cs="Arial"/>
              </w:rPr>
              <w:t>139</w:t>
            </w:r>
          </w:p>
        </w:tc>
        <w:tc>
          <w:tcPr>
            <w:tcW w:w="0" w:type="auto"/>
            <w:tcBorders>
              <w:top w:val="single" w:sz="4" w:space="0" w:color="auto"/>
              <w:left w:val="single" w:sz="4" w:space="0" w:color="auto"/>
              <w:bottom w:val="single" w:sz="4" w:space="0" w:color="auto"/>
              <w:right w:val="single" w:sz="4" w:space="0" w:color="auto"/>
            </w:tcBorders>
            <w:hideMark/>
          </w:tcPr>
          <w:p w14:paraId="4C72F357" w14:textId="77777777" w:rsidR="00942B1B" w:rsidRDefault="00942B1B" w:rsidP="00AB66BE">
            <w:pPr>
              <w:rPr>
                <w:rFonts w:ascii="Arial" w:hAnsi="Arial" w:cs="Arial"/>
              </w:rPr>
            </w:pPr>
            <w:r>
              <w:rPr>
                <w:rFonts w:ascii="Arial" w:hAnsi="Arial" w:cs="Arial"/>
              </w:rPr>
              <w:t>1.33</w:t>
            </w:r>
          </w:p>
        </w:tc>
        <w:tc>
          <w:tcPr>
            <w:tcW w:w="0" w:type="auto"/>
            <w:tcBorders>
              <w:top w:val="single" w:sz="4" w:space="0" w:color="auto"/>
              <w:left w:val="single" w:sz="4" w:space="0" w:color="auto"/>
              <w:bottom w:val="single" w:sz="4" w:space="0" w:color="auto"/>
              <w:right w:val="single" w:sz="4" w:space="0" w:color="auto"/>
            </w:tcBorders>
            <w:hideMark/>
          </w:tcPr>
          <w:p w14:paraId="70EE1FA7" w14:textId="77777777" w:rsidR="00942B1B" w:rsidRDefault="00942B1B" w:rsidP="00AB66BE">
            <w:pPr>
              <w:rPr>
                <w:rFonts w:ascii="Arial" w:hAnsi="Arial" w:cs="Arial"/>
              </w:rPr>
            </w:pPr>
            <w:r>
              <w:rPr>
                <w:rFonts w:ascii="Arial" w:hAnsi="Arial" w:cs="Arial"/>
              </w:rPr>
              <w:t>0.251</w:t>
            </w:r>
          </w:p>
        </w:tc>
      </w:tr>
      <w:tr w:rsidR="00942B1B" w14:paraId="7631CEE1" w14:textId="77777777" w:rsidTr="00AB66BE">
        <w:trPr>
          <w:trHeight w:val="247"/>
          <w:jc w:val="center"/>
        </w:trPr>
        <w:tc>
          <w:tcPr>
            <w:tcW w:w="0" w:type="auto"/>
            <w:tcBorders>
              <w:top w:val="single" w:sz="4" w:space="0" w:color="auto"/>
              <w:left w:val="single" w:sz="4" w:space="0" w:color="auto"/>
              <w:bottom w:val="single" w:sz="4" w:space="0" w:color="auto"/>
              <w:right w:val="single" w:sz="4" w:space="0" w:color="auto"/>
            </w:tcBorders>
            <w:hideMark/>
          </w:tcPr>
          <w:p w14:paraId="339C7A47" w14:textId="73939CAC" w:rsidR="00942B1B" w:rsidRDefault="00942B1B" w:rsidP="00AB66BE">
            <w:pPr>
              <w:rPr>
                <w:rFonts w:ascii="Arial" w:hAnsi="Arial" w:cs="Arial"/>
                <w:b/>
                <w:bCs/>
              </w:rPr>
            </w:pPr>
            <w:r>
              <w:rPr>
                <w:rFonts w:ascii="Arial" w:hAnsi="Arial" w:cs="Arial"/>
                <w:b/>
                <w:bCs/>
              </w:rPr>
              <w:t>Month</w:t>
            </w:r>
            <w:r w:rsidR="00BF098F">
              <w:rPr>
                <w:rFonts w:ascii="Arial" w:hAnsi="Arial" w:cs="Arial"/>
                <w:b/>
                <w:bCs/>
              </w:rPr>
              <w:t xml:space="preserve"> × </w:t>
            </w:r>
            <w:r>
              <w:rPr>
                <w:rFonts w:ascii="Arial" w:hAnsi="Arial" w:cs="Arial"/>
                <w:b/>
                <w:bCs/>
              </w:rPr>
              <w:t>Pollination</w:t>
            </w:r>
          </w:p>
        </w:tc>
        <w:tc>
          <w:tcPr>
            <w:tcW w:w="0" w:type="auto"/>
            <w:tcBorders>
              <w:top w:val="single" w:sz="4" w:space="0" w:color="auto"/>
              <w:left w:val="single" w:sz="4" w:space="0" w:color="auto"/>
              <w:bottom w:val="single" w:sz="4" w:space="0" w:color="auto"/>
              <w:right w:val="single" w:sz="4" w:space="0" w:color="auto"/>
            </w:tcBorders>
            <w:hideMark/>
          </w:tcPr>
          <w:p w14:paraId="150BC273" w14:textId="77777777" w:rsidR="00942B1B" w:rsidRDefault="00942B1B" w:rsidP="00AB66BE">
            <w:pPr>
              <w:rPr>
                <w:rFonts w:ascii="Arial" w:hAnsi="Arial" w:cs="Arial"/>
              </w:rPr>
            </w:pPr>
            <w:r>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hideMark/>
          </w:tcPr>
          <w:p w14:paraId="7F2F6248" w14:textId="77777777" w:rsidR="00942B1B" w:rsidRDefault="00942B1B" w:rsidP="00AB66BE">
            <w:pPr>
              <w:rPr>
                <w:rFonts w:ascii="Arial" w:hAnsi="Arial" w:cs="Arial"/>
              </w:rPr>
            </w:pPr>
            <w:r>
              <w:rPr>
                <w:rFonts w:ascii="Arial" w:hAnsi="Arial" w:cs="Arial"/>
              </w:rPr>
              <w:t>139</w:t>
            </w:r>
          </w:p>
        </w:tc>
        <w:tc>
          <w:tcPr>
            <w:tcW w:w="0" w:type="auto"/>
            <w:tcBorders>
              <w:top w:val="single" w:sz="4" w:space="0" w:color="auto"/>
              <w:left w:val="single" w:sz="4" w:space="0" w:color="auto"/>
              <w:bottom w:val="single" w:sz="4" w:space="0" w:color="auto"/>
              <w:right w:val="single" w:sz="4" w:space="0" w:color="auto"/>
            </w:tcBorders>
            <w:hideMark/>
          </w:tcPr>
          <w:p w14:paraId="57DA6050" w14:textId="77777777" w:rsidR="00942B1B" w:rsidRDefault="00942B1B" w:rsidP="00AB66BE">
            <w:pPr>
              <w:rPr>
                <w:rFonts w:ascii="Arial" w:hAnsi="Arial" w:cs="Arial"/>
              </w:rPr>
            </w:pPr>
            <w:r>
              <w:rPr>
                <w:rFonts w:ascii="Arial" w:hAnsi="Arial" w:cs="Arial"/>
              </w:rPr>
              <w:t>3.40</w:t>
            </w:r>
          </w:p>
        </w:tc>
        <w:tc>
          <w:tcPr>
            <w:tcW w:w="0" w:type="auto"/>
            <w:tcBorders>
              <w:top w:val="single" w:sz="4" w:space="0" w:color="auto"/>
              <w:left w:val="single" w:sz="4" w:space="0" w:color="auto"/>
              <w:bottom w:val="single" w:sz="4" w:space="0" w:color="auto"/>
              <w:right w:val="single" w:sz="4" w:space="0" w:color="auto"/>
            </w:tcBorders>
            <w:hideMark/>
          </w:tcPr>
          <w:p w14:paraId="6FADB626" w14:textId="77777777" w:rsidR="00942B1B" w:rsidRDefault="00942B1B" w:rsidP="00AB66BE">
            <w:pPr>
              <w:rPr>
                <w:rFonts w:ascii="Arial" w:hAnsi="Arial" w:cs="Arial"/>
              </w:rPr>
            </w:pPr>
            <w:r>
              <w:rPr>
                <w:rFonts w:ascii="Arial" w:hAnsi="Arial" w:cs="Arial"/>
              </w:rPr>
              <w:t>0.006</w:t>
            </w:r>
          </w:p>
        </w:tc>
      </w:tr>
    </w:tbl>
    <w:p w14:paraId="1E00DBF0" w14:textId="2EF3584F" w:rsidR="00942B1B" w:rsidRDefault="00942B1B"/>
    <w:p w14:paraId="488F962E" w14:textId="77777777" w:rsidR="00942B1B" w:rsidRDefault="00942B1B">
      <w:pPr>
        <w:spacing w:after="160" w:line="259" w:lineRule="auto"/>
      </w:pPr>
      <w:r>
        <w:br w:type="page"/>
      </w:r>
    </w:p>
    <w:p w14:paraId="67F4A1E2" w14:textId="7196AAC7" w:rsidR="00942B1B" w:rsidRDefault="00942B1B">
      <w:r>
        <w:lastRenderedPageBreak/>
        <w:t>Data Availability:</w:t>
      </w:r>
    </w:p>
    <w:p w14:paraId="3C227DA5" w14:textId="77777777" w:rsidR="00942B1B" w:rsidRDefault="00942B1B"/>
    <w:sectPr w:rsidR="00942B1B" w:rsidSect="003C5D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3E275" w14:textId="77777777" w:rsidR="007F5CA2" w:rsidRDefault="007F5CA2">
      <w:r>
        <w:separator/>
      </w:r>
    </w:p>
  </w:endnote>
  <w:endnote w:type="continuationSeparator" w:id="0">
    <w:p w14:paraId="62B72BD5" w14:textId="77777777" w:rsidR="007F5CA2" w:rsidRDefault="007F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762A" w14:textId="77777777" w:rsidR="00BF098F" w:rsidRDefault="00BF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3C0B" w14:textId="77777777" w:rsidR="00BF098F" w:rsidRDefault="00BF0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8587" w14:textId="77777777" w:rsidR="00BF098F" w:rsidRDefault="00BF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273F" w14:textId="77777777" w:rsidR="007F5CA2" w:rsidRDefault="007F5CA2">
      <w:r>
        <w:separator/>
      </w:r>
    </w:p>
  </w:footnote>
  <w:footnote w:type="continuationSeparator" w:id="0">
    <w:p w14:paraId="23C03D06" w14:textId="77777777" w:rsidR="007F5CA2" w:rsidRDefault="007F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4622598"/>
      <w:docPartObj>
        <w:docPartGallery w:val="Page Numbers (Top of Page)"/>
        <w:docPartUnique/>
      </w:docPartObj>
    </w:sdtPr>
    <w:sdtEndPr>
      <w:rPr>
        <w:rStyle w:val="PageNumber"/>
      </w:rPr>
    </w:sdtEndPr>
    <w:sdtContent>
      <w:p w14:paraId="67D8088B" w14:textId="77777777" w:rsidR="009D441D" w:rsidRDefault="00942B1B" w:rsidP="008F2C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C998E" w14:textId="77777777" w:rsidR="009D441D" w:rsidRDefault="007F5CA2" w:rsidP="001852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5EF8" w14:textId="77777777" w:rsidR="00BF098F" w:rsidRPr="00E06514" w:rsidRDefault="00BF098F" w:rsidP="00BF098F">
    <w:pPr>
      <w:rPr>
        <w:rFonts w:eastAsia="Arial"/>
      </w:rPr>
    </w:pPr>
    <w:r w:rsidRPr="00E06514">
      <w:rPr>
        <w:rFonts w:eastAsia="Arial"/>
      </w:rPr>
      <w:t xml:space="preserve">J. Shaw, G.C. Cutler, P. Manning, R.S. McCallum, and T. </w:t>
    </w:r>
    <w:proofErr w:type="spellStart"/>
    <w:r w:rsidRPr="00E06514">
      <w:rPr>
        <w:rFonts w:eastAsia="Arial"/>
      </w:rPr>
      <w:t>Astatkie</w:t>
    </w:r>
    <w:proofErr w:type="spellEnd"/>
    <w:r>
      <w:rPr>
        <w:rFonts w:eastAsia="Arial"/>
      </w:rPr>
      <w:t xml:space="preserve">. </w:t>
    </w:r>
    <w:r w:rsidRPr="00E06514">
      <w:t xml:space="preserve">Does sending honey bee, </w:t>
    </w:r>
    <w:bookmarkStart w:id="0" w:name="_GoBack"/>
    <w:bookmarkEnd w:id="0"/>
    <w:proofErr w:type="spellStart"/>
    <w:r w:rsidRPr="00E06514">
      <w:rPr>
        <w:i/>
        <w:iCs/>
      </w:rPr>
      <w:t>Apis</w:t>
    </w:r>
    <w:proofErr w:type="spellEnd"/>
    <w:r w:rsidRPr="00E06514">
      <w:rPr>
        <w:i/>
        <w:iCs/>
      </w:rPr>
      <w:t xml:space="preserve"> mellifera</w:t>
    </w:r>
    <w:r w:rsidRPr="00E06514">
      <w:t xml:space="preserve"> (Hymenoptera: </w:t>
    </w:r>
    <w:proofErr w:type="spellStart"/>
    <w:r w:rsidRPr="00E06514">
      <w:t>Apidae</w:t>
    </w:r>
    <w:proofErr w:type="spellEnd"/>
    <w:r w:rsidRPr="00E06514">
      <w:t xml:space="preserve">), colonies to lowbush blueberry, </w:t>
    </w:r>
    <w:r w:rsidRPr="00E06514">
      <w:rPr>
        <w:i/>
      </w:rPr>
      <w:t xml:space="preserve">Vaccinium </w:t>
    </w:r>
    <w:proofErr w:type="spellStart"/>
    <w:r w:rsidRPr="00E06514">
      <w:rPr>
        <w:i/>
      </w:rPr>
      <w:t>angustifolium</w:t>
    </w:r>
    <w:proofErr w:type="spellEnd"/>
    <w:r w:rsidRPr="00E06514">
      <w:t xml:space="preserve"> </w:t>
    </w:r>
    <w:r w:rsidRPr="00E06514">
      <w:rPr>
        <w:iCs/>
      </w:rPr>
      <w:t>(</w:t>
    </w:r>
    <w:proofErr w:type="spellStart"/>
    <w:r w:rsidRPr="00E06514">
      <w:rPr>
        <w:iCs/>
      </w:rPr>
      <w:t>Ericaceae</w:t>
    </w:r>
    <w:proofErr w:type="spellEnd"/>
    <w:r w:rsidRPr="00E06514">
      <w:t xml:space="preserve">), for pollination increase </w:t>
    </w:r>
    <w:r w:rsidRPr="00E06514">
      <w:rPr>
        <w:i/>
      </w:rPr>
      <w:t xml:space="preserve">Nosema </w:t>
    </w:r>
    <w:r w:rsidRPr="00E06514">
      <w:rPr>
        <w:iCs/>
      </w:rPr>
      <w:t>spp</w:t>
    </w:r>
    <w:r w:rsidRPr="00E06514">
      <w:rPr>
        <w:i/>
      </w:rPr>
      <w:t xml:space="preserve">. </w:t>
    </w:r>
    <w:r w:rsidRPr="00E06514">
      <w:t>(</w:t>
    </w:r>
    <w:proofErr w:type="spellStart"/>
    <w:r w:rsidRPr="00E06514">
      <w:t>Nosematidae</w:t>
    </w:r>
    <w:proofErr w:type="spellEnd"/>
    <w:r w:rsidRPr="00E06514">
      <w:t xml:space="preserve">) </w:t>
    </w:r>
    <w:r w:rsidRPr="00E06514">
      <w:rPr>
        <w:iCs/>
      </w:rPr>
      <w:t>spore loads</w:t>
    </w:r>
    <w:r w:rsidRPr="00E06514">
      <w:t>?</w:t>
    </w:r>
    <w:r w:rsidRPr="00E06514">
      <w:rPr>
        <w:rStyle w:val="CommentReference"/>
        <w:rFonts w:ascii="Calibri" w:eastAsia="Calibri" w:hAnsi="Calibri"/>
        <w:b/>
      </w:rPr>
      <w:t/>
    </w:r>
  </w:p>
  <w:p w14:paraId="43222494" w14:textId="59D5F0D3" w:rsidR="00BF098F" w:rsidRPr="00E06514" w:rsidRDefault="00BF098F" w:rsidP="00BF098F">
    <w:pPr>
      <w:rPr>
        <w:rFonts w:eastAsia="Arial"/>
      </w:rPr>
    </w:pPr>
  </w:p>
  <w:p w14:paraId="2752D400" w14:textId="77777777" w:rsidR="009D441D" w:rsidRDefault="007F5CA2" w:rsidP="008F2C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2B7A1" w14:textId="77777777" w:rsidR="00BF098F" w:rsidRDefault="00BF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13AC1"/>
    <w:multiLevelType w:val="multilevel"/>
    <w:tmpl w:val="937EF4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1B"/>
    <w:rsid w:val="0009598A"/>
    <w:rsid w:val="00114410"/>
    <w:rsid w:val="007F5CA2"/>
    <w:rsid w:val="00942B1B"/>
    <w:rsid w:val="00BF0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BF79"/>
  <w15:chartTrackingRefBased/>
  <w15:docId w15:val="{CFEA6FDC-0A8E-44F0-BB93-CFEECBB4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B1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B1B"/>
    <w:rPr>
      <w:color w:val="0563C1" w:themeColor="hyperlink"/>
      <w:u w:val="single"/>
    </w:rPr>
  </w:style>
  <w:style w:type="paragraph" w:styleId="Header">
    <w:name w:val="header"/>
    <w:basedOn w:val="Normal"/>
    <w:link w:val="HeaderChar"/>
    <w:uiPriority w:val="99"/>
    <w:unhideWhenUsed/>
    <w:rsid w:val="00942B1B"/>
    <w:pPr>
      <w:tabs>
        <w:tab w:val="center" w:pos="4680"/>
        <w:tab w:val="right" w:pos="9360"/>
      </w:tabs>
    </w:pPr>
  </w:style>
  <w:style w:type="character" w:customStyle="1" w:styleId="HeaderChar">
    <w:name w:val="Header Char"/>
    <w:basedOn w:val="DefaultParagraphFont"/>
    <w:link w:val="Header"/>
    <w:uiPriority w:val="99"/>
    <w:rsid w:val="00942B1B"/>
    <w:rPr>
      <w:rFonts w:ascii="Times New Roman" w:eastAsia="Times New Roman" w:hAnsi="Times New Roman" w:cs="Times New Roman"/>
    </w:rPr>
  </w:style>
  <w:style w:type="character" w:styleId="PageNumber">
    <w:name w:val="page number"/>
    <w:basedOn w:val="DefaultParagraphFont"/>
    <w:uiPriority w:val="99"/>
    <w:semiHidden/>
    <w:unhideWhenUsed/>
    <w:rsid w:val="00942B1B"/>
  </w:style>
  <w:style w:type="character" w:styleId="LineNumber">
    <w:name w:val="line number"/>
    <w:basedOn w:val="DefaultParagraphFont"/>
    <w:uiPriority w:val="99"/>
    <w:semiHidden/>
    <w:unhideWhenUsed/>
    <w:rsid w:val="00942B1B"/>
  </w:style>
  <w:style w:type="paragraph" w:styleId="Footer">
    <w:name w:val="footer"/>
    <w:basedOn w:val="Normal"/>
    <w:link w:val="FooterChar"/>
    <w:uiPriority w:val="99"/>
    <w:unhideWhenUsed/>
    <w:rsid w:val="00BF098F"/>
    <w:pPr>
      <w:tabs>
        <w:tab w:val="center" w:pos="4680"/>
        <w:tab w:val="right" w:pos="9360"/>
      </w:tabs>
    </w:pPr>
  </w:style>
  <w:style w:type="character" w:customStyle="1" w:styleId="FooterChar">
    <w:name w:val="Footer Char"/>
    <w:basedOn w:val="DefaultParagraphFont"/>
    <w:link w:val="Footer"/>
    <w:uiPriority w:val="99"/>
    <w:rsid w:val="00BF098F"/>
    <w:rPr>
      <w:rFonts w:ascii="Times New Roman" w:eastAsia="Times New Roman" w:hAnsi="Times New Roman" w:cs="Times New Roman"/>
    </w:rPr>
  </w:style>
  <w:style w:type="paragraph" w:styleId="Title">
    <w:name w:val="Title"/>
    <w:basedOn w:val="Normal"/>
    <w:next w:val="Normal"/>
    <w:link w:val="TitleChar"/>
    <w:uiPriority w:val="10"/>
    <w:qFormat/>
    <w:rsid w:val="00BF098F"/>
    <w:pPr>
      <w:keepNext/>
      <w:keepLines/>
      <w:spacing w:line="360" w:lineRule="auto"/>
    </w:pPr>
    <w:rPr>
      <w:rFonts w:eastAsia="Calibri" w:cs="Calibri"/>
      <w:b/>
      <w:sz w:val="32"/>
      <w:szCs w:val="72"/>
    </w:rPr>
  </w:style>
  <w:style w:type="character" w:customStyle="1" w:styleId="TitleChar">
    <w:name w:val="Title Char"/>
    <w:basedOn w:val="DefaultParagraphFont"/>
    <w:link w:val="Title"/>
    <w:uiPriority w:val="10"/>
    <w:rsid w:val="00BF098F"/>
    <w:rPr>
      <w:rFonts w:ascii="Times New Roman" w:eastAsia="Calibri" w:hAnsi="Times New Roman" w:cs="Calibri"/>
      <w:b/>
      <w:sz w:val="32"/>
      <w:szCs w:val="72"/>
    </w:rPr>
  </w:style>
  <w:style w:type="character" w:styleId="CommentReference">
    <w:name w:val="annotation reference"/>
    <w:basedOn w:val="DefaultParagraphFont"/>
    <w:uiPriority w:val="99"/>
    <w:semiHidden/>
    <w:unhideWhenUsed/>
    <w:rsid w:val="00BF09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limate.weather.g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Manning</dc:creator>
  <cp:keywords/>
  <dc:description/>
  <cp:lastModifiedBy>MK</cp:lastModifiedBy>
  <cp:revision>2</cp:revision>
  <dcterms:created xsi:type="dcterms:W3CDTF">2022-06-06T23:25:00Z</dcterms:created>
  <dcterms:modified xsi:type="dcterms:W3CDTF">2022-07-12T01:25:00Z</dcterms:modified>
</cp:coreProperties>
</file>