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4AC2" w14:textId="77777777" w:rsidR="0000297C" w:rsidRPr="009A68E0" w:rsidRDefault="0000297C" w:rsidP="0000297C">
      <w:pPr>
        <w:spacing w:line="480" w:lineRule="auto"/>
        <w:rPr>
          <w:rFonts w:ascii="Times New Roman" w:hAnsi="Times New Roman" w:cs="Times New Roman"/>
          <w:b/>
          <w:lang w:val="en-CA"/>
        </w:rPr>
      </w:pPr>
      <w:bookmarkStart w:id="0" w:name="_GoBack"/>
      <w:bookmarkEnd w:id="0"/>
      <w:r w:rsidRPr="009A68E0">
        <w:rPr>
          <w:rFonts w:ascii="Times New Roman" w:hAnsi="Times New Roman" w:cs="Times New Roman"/>
          <w:b/>
          <w:lang w:val="en-CA"/>
        </w:rPr>
        <w:t>Online Supplementary Material</w:t>
      </w:r>
    </w:p>
    <w:p w14:paraId="69A1D103" w14:textId="77777777" w:rsidR="009A68E0" w:rsidRPr="009A68E0" w:rsidRDefault="009A68E0" w:rsidP="0000297C">
      <w:pPr>
        <w:spacing w:line="480" w:lineRule="auto"/>
        <w:rPr>
          <w:rFonts w:ascii="Times New Roman" w:hAnsi="Times New Roman" w:cs="Times New Roman"/>
          <w:b/>
          <w:lang w:val="en-CA"/>
        </w:rPr>
      </w:pPr>
    </w:p>
    <w:p w14:paraId="7FDC4670" w14:textId="77777777" w:rsidR="009A68E0" w:rsidRPr="009A68E0" w:rsidRDefault="009A68E0" w:rsidP="0000297C">
      <w:pPr>
        <w:spacing w:line="480" w:lineRule="auto"/>
        <w:rPr>
          <w:rFonts w:ascii="Times New Roman" w:hAnsi="Times New Roman" w:cs="Times New Roman"/>
          <w:b/>
          <w:lang w:val="en-CA"/>
        </w:rPr>
      </w:pPr>
      <w:r w:rsidRPr="009A68E0">
        <w:rPr>
          <w:rFonts w:ascii="Times New Roman" w:hAnsi="Times New Roman" w:cs="Times New Roman"/>
          <w:b/>
          <w:lang w:val="en-CA"/>
        </w:rPr>
        <w:t>Adequacy Measure</w:t>
      </w:r>
    </w:p>
    <w:p w14:paraId="40873B89" w14:textId="77777777" w:rsidR="009A68E0" w:rsidRDefault="00B65301" w:rsidP="009A68E0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CA"/>
        </w:rPr>
      </w:pPr>
      <w:r>
        <w:rPr>
          <w:lang w:val="en-CA"/>
        </w:rPr>
        <w:t>The a</w:t>
      </w:r>
      <w:r w:rsidR="004E2814">
        <w:rPr>
          <w:lang w:val="en-CA"/>
        </w:rPr>
        <w:t>dequacy of a province’s welfare incomes</w:t>
      </w:r>
      <w:r>
        <w:rPr>
          <w:lang w:val="en-CA"/>
        </w:rPr>
        <w:t xml:space="preserve"> is measured</w:t>
      </w:r>
      <w:r w:rsidR="004E2814">
        <w:rPr>
          <w:lang w:val="en-CA"/>
        </w:rPr>
        <w:t xml:space="preserve"> by their value as a percentage of the provincial median inco</w:t>
      </w:r>
      <w:r w:rsidR="00272F8E">
        <w:rPr>
          <w:lang w:val="en-CA"/>
        </w:rPr>
        <w:t>me, adjusted for household size</w:t>
      </w:r>
      <w:r w:rsidR="009A68E0" w:rsidRPr="009A68E0">
        <w:rPr>
          <w:lang w:val="en-CA"/>
        </w:rPr>
        <w:t>. This option creates an adequacy measure identical to that used in international comparative work, and it is thus easily readable for non-Canadians. It also allows Canadians to situate provincial welfare incomes in a broader international context. Concretely, this measure of adequacy is based on the provincial after-tax median income for persons not in an economic family (singles</w:t>
      </w:r>
      <w:r w:rsidR="009A68E0">
        <w:rPr>
          <w:lang w:val="en-CA"/>
        </w:rPr>
        <w:t xml:space="preserve">; </w:t>
      </w:r>
      <w:r w:rsidR="009A68E0" w:rsidRPr="00831FEF">
        <w:rPr>
          <w:lang w:val="en-US"/>
        </w:rPr>
        <w:t>Statistics Canada</w:t>
      </w:r>
      <w:r w:rsidR="009A68E0">
        <w:rPr>
          <w:lang w:val="en-US"/>
        </w:rPr>
        <w:t>,</w:t>
      </w:r>
      <w:r>
        <w:rPr>
          <w:lang w:val="en-US"/>
        </w:rPr>
        <w:t xml:space="preserve"> Table 11-10-0190-01 — </w:t>
      </w:r>
      <w:r w:rsidR="009A68E0" w:rsidRPr="00831FEF">
        <w:rPr>
          <w:lang w:val="en-US"/>
        </w:rPr>
        <w:t>formerly CANSIM 206-0011)</w:t>
      </w:r>
      <w:r w:rsidR="009A68E0">
        <w:rPr>
          <w:lang w:val="en-CA"/>
        </w:rPr>
        <w:t>.</w:t>
      </w:r>
      <w:r w:rsidR="009A68E0" w:rsidRPr="009A68E0">
        <w:rPr>
          <w:lang w:val="en-CA"/>
        </w:rPr>
        <w:t xml:space="preserve"> For households with more than one person, this</w:t>
      </w:r>
      <w:r>
        <w:rPr>
          <w:lang w:val="en-CA"/>
        </w:rPr>
        <w:t xml:space="preserve"> median</w:t>
      </w:r>
      <w:r w:rsidR="009A68E0" w:rsidRPr="009A68E0">
        <w:rPr>
          <w:lang w:val="en-CA"/>
        </w:rPr>
        <w:t xml:space="preserve"> income is adjusted by multiplying it by the square root of the number of persons in the household</w:t>
      </w:r>
      <w:r>
        <w:rPr>
          <w:lang w:val="en-CA"/>
        </w:rPr>
        <w:t xml:space="preserve"> (</w:t>
      </w:r>
      <w:hyperlink r:id="rId6" w:history="1">
        <w:r w:rsidRPr="00831FEF">
          <w:rPr>
            <w:rStyle w:val="Hyperlink"/>
            <w:lang w:val="en-US"/>
          </w:rPr>
          <w:t>https://www12.statcan.gc.ca/census-recensement/2016/ref/dict/tab/t4_2-eng.cfm</w:t>
        </w:r>
      </w:hyperlink>
      <w:r>
        <w:rPr>
          <w:rStyle w:val="Hyperlink"/>
          <w:lang w:val="en-US"/>
        </w:rPr>
        <w:t>).</w:t>
      </w:r>
      <w:r w:rsidRPr="009A68E0">
        <w:rPr>
          <w:lang w:val="en-CA"/>
        </w:rPr>
        <w:t xml:space="preserve"> </w:t>
      </w:r>
      <w:r w:rsidR="009A68E0" w:rsidRPr="009A68E0">
        <w:rPr>
          <w:lang w:val="en-CA"/>
        </w:rPr>
        <w:t>Welfare income adequacy for a given household is then estimated as a percentage of provincial median income for this household.</w:t>
      </w:r>
    </w:p>
    <w:p w14:paraId="1F03D28F" w14:textId="77777777" w:rsidR="007007E9" w:rsidRDefault="004E2814" w:rsidP="009A68E0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CA"/>
        </w:rPr>
        <w:sectPr w:rsidR="007007E9" w:rsidSect="007007E9">
          <w:headerReference w:type="even" r:id="rId7"/>
          <w:head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lang w:val="en-CA"/>
        </w:rPr>
        <w:t>In</w:t>
      </w:r>
      <w:r w:rsidR="00CB3C0F">
        <w:rPr>
          <w:lang w:val="en-CA"/>
        </w:rPr>
        <w:t xml:space="preserve"> 2017, for instance Alberta welfare incomes amounted to </w:t>
      </w:r>
      <w:r w:rsidR="00272F8E">
        <w:rPr>
          <w:lang w:val="en-CA"/>
        </w:rPr>
        <w:t>8027$ for a single person, and to 28989$ for a family of four. The Alberta median income for a single person stood at 36500$. Adequacy for a single-person household was thus 8027/36500</w:t>
      </w:r>
      <w:r w:rsidR="00B65301">
        <w:rPr>
          <w:lang w:val="en-CA"/>
        </w:rPr>
        <w:t xml:space="preserve">, or 0.220. Adequacy for </w:t>
      </w:r>
      <w:r w:rsidR="00A15701">
        <w:rPr>
          <w:lang w:val="en-CA"/>
        </w:rPr>
        <w:t>a</w:t>
      </w:r>
      <w:r w:rsidR="00B65301">
        <w:rPr>
          <w:lang w:val="en-CA"/>
        </w:rPr>
        <w:t xml:space="preserve"> family of four was based on the same median income multiplied by the square root of 4, that is 73000, which </w:t>
      </w:r>
      <w:r w:rsidR="007007E9">
        <w:rPr>
          <w:lang w:val="en-CA"/>
        </w:rPr>
        <w:t>gives</w:t>
      </w:r>
      <w:r w:rsidR="00B65301">
        <w:rPr>
          <w:lang w:val="en-CA"/>
        </w:rPr>
        <w:t xml:space="preserve"> 28989/</w:t>
      </w:r>
      <w:r w:rsidR="007007E9">
        <w:rPr>
          <w:lang w:val="en-CA"/>
        </w:rPr>
        <w:t>73</w:t>
      </w:r>
      <w:r w:rsidR="00B65301">
        <w:rPr>
          <w:lang w:val="en-CA"/>
        </w:rPr>
        <w:t>000, or 0.397.</w:t>
      </w:r>
    </w:p>
    <w:p w14:paraId="70B17EFB" w14:textId="77777777" w:rsidR="004E2814" w:rsidRPr="009A68E0" w:rsidRDefault="004E2814" w:rsidP="009A68E0">
      <w:pPr>
        <w:pStyle w:val="NormalWeb"/>
        <w:spacing w:before="0" w:beforeAutospacing="0" w:after="0" w:afterAutospacing="0" w:line="480" w:lineRule="auto"/>
        <w:ind w:firstLine="708"/>
        <w:jc w:val="both"/>
        <w:rPr>
          <w:lang w:val="en-CA"/>
        </w:rPr>
      </w:pPr>
    </w:p>
    <w:p w14:paraId="64614483" w14:textId="77777777" w:rsidR="009A68E0" w:rsidRPr="009A68E0" w:rsidRDefault="009A68E0" w:rsidP="0000297C">
      <w:pPr>
        <w:spacing w:line="480" w:lineRule="auto"/>
        <w:rPr>
          <w:rFonts w:cstheme="minorHAnsi"/>
          <w:lang w:val="en-CA"/>
        </w:rPr>
      </w:pPr>
    </w:p>
    <w:p w14:paraId="028E53FF" w14:textId="77777777" w:rsidR="0000297C" w:rsidRDefault="0000297C" w:rsidP="0000297C">
      <w:pPr>
        <w:spacing w:line="360" w:lineRule="auto"/>
        <w:ind w:left="1560" w:hanging="993"/>
        <w:jc w:val="both"/>
        <w:rPr>
          <w:rFonts w:cstheme="minorHAnsi"/>
          <w:b/>
          <w:lang w:val="en-CA"/>
        </w:rPr>
      </w:pPr>
    </w:p>
    <w:p w14:paraId="29392186" w14:textId="77777777" w:rsidR="0000297C" w:rsidRDefault="0000297C" w:rsidP="0000297C">
      <w:pPr>
        <w:spacing w:line="360" w:lineRule="auto"/>
        <w:ind w:left="1560" w:hanging="993"/>
        <w:jc w:val="both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Table SM1</w:t>
      </w:r>
      <w:r w:rsidRPr="001F323B">
        <w:rPr>
          <w:rFonts w:cstheme="minorHAnsi"/>
          <w:b/>
          <w:lang w:val="en-CA"/>
        </w:rPr>
        <w:t xml:space="preserve">: </w:t>
      </w:r>
      <w:r>
        <w:rPr>
          <w:rFonts w:cstheme="minorHAnsi"/>
          <w:b/>
          <w:lang w:val="en-CA"/>
        </w:rPr>
        <w:t>Descriptive statistics</w:t>
      </w:r>
      <w:r w:rsidRPr="001F323B">
        <w:rPr>
          <w:rFonts w:cstheme="minorHAnsi"/>
          <w:b/>
          <w:lang w:val="en-CA"/>
        </w:rPr>
        <w:t xml:space="preserve">, </w:t>
      </w:r>
      <w:r>
        <w:rPr>
          <w:rFonts w:cstheme="minorHAnsi"/>
          <w:b/>
          <w:lang w:val="en-CA"/>
        </w:rPr>
        <w:t>Canadian Provinces</w:t>
      </w:r>
      <w:r w:rsidRPr="001F323B">
        <w:rPr>
          <w:rFonts w:cstheme="minorHAnsi"/>
          <w:b/>
          <w:lang w:val="en-CA"/>
        </w:rPr>
        <w:t>, 1990-201</w:t>
      </w:r>
      <w:r>
        <w:rPr>
          <w:rFonts w:cstheme="minorHAnsi"/>
          <w:b/>
          <w:lang w:val="en-CA"/>
        </w:rPr>
        <w:t>7</w:t>
      </w:r>
    </w:p>
    <w:p w14:paraId="0FC7DAE4" w14:textId="77777777" w:rsidR="0000297C" w:rsidRPr="00E470DA" w:rsidRDefault="0000297C" w:rsidP="0000297C">
      <w:pPr>
        <w:spacing w:line="360" w:lineRule="auto"/>
        <w:ind w:left="1560" w:hanging="993"/>
        <w:jc w:val="both"/>
        <w:rPr>
          <w:rFonts w:ascii="Times New Roman" w:hAnsi="Times New Roman" w:cs="Times New Roman"/>
          <w:i/>
          <w:lang w:val="en-CA"/>
        </w:rPr>
      </w:pPr>
    </w:p>
    <w:tbl>
      <w:tblPr>
        <w:tblStyle w:val="GridTable7ColourfulAccent3"/>
        <w:tblW w:w="1148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97"/>
        <w:gridCol w:w="1706"/>
        <w:gridCol w:w="1134"/>
        <w:gridCol w:w="1134"/>
        <w:gridCol w:w="1418"/>
        <w:gridCol w:w="1276"/>
        <w:gridCol w:w="1417"/>
      </w:tblGrid>
      <w:tr w:rsidR="00DA5606" w:rsidRPr="00E470DA" w14:paraId="7ADE6A79" w14:textId="77777777" w:rsidTr="00DA5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</w:tcPr>
          <w:p w14:paraId="012512B5" w14:textId="77777777" w:rsidR="0000297C" w:rsidRPr="00E470DA" w:rsidRDefault="0000297C" w:rsidP="00FF0C77">
            <w:pPr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Variable</w:t>
            </w:r>
          </w:p>
        </w:tc>
        <w:tc>
          <w:tcPr>
            <w:tcW w:w="1706" w:type="dxa"/>
          </w:tcPr>
          <w:p w14:paraId="064B4DE0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Name</w:t>
            </w:r>
          </w:p>
        </w:tc>
        <w:tc>
          <w:tcPr>
            <w:tcW w:w="1134" w:type="dxa"/>
          </w:tcPr>
          <w:p w14:paraId="11F72C9F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Obser-vations</w:t>
            </w:r>
            <w:proofErr w:type="spellEnd"/>
          </w:p>
        </w:tc>
        <w:tc>
          <w:tcPr>
            <w:tcW w:w="1134" w:type="dxa"/>
          </w:tcPr>
          <w:p w14:paraId="52778F1C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Mean</w:t>
            </w:r>
          </w:p>
        </w:tc>
        <w:tc>
          <w:tcPr>
            <w:tcW w:w="1418" w:type="dxa"/>
          </w:tcPr>
          <w:p w14:paraId="4FB9FA59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Standard</w:t>
            </w:r>
          </w:p>
          <w:p w14:paraId="2CC5F7D5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Deviation</w:t>
            </w:r>
          </w:p>
        </w:tc>
        <w:tc>
          <w:tcPr>
            <w:tcW w:w="1276" w:type="dxa"/>
          </w:tcPr>
          <w:p w14:paraId="41C17581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Minimum</w:t>
            </w:r>
          </w:p>
        </w:tc>
        <w:tc>
          <w:tcPr>
            <w:tcW w:w="1417" w:type="dxa"/>
          </w:tcPr>
          <w:p w14:paraId="35C5A883" w14:textId="77777777" w:rsidR="0000297C" w:rsidRPr="00E470DA" w:rsidRDefault="0000297C" w:rsidP="00FF0C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Maximum</w:t>
            </w:r>
          </w:p>
        </w:tc>
      </w:tr>
      <w:tr w:rsidR="00DA5606" w:rsidRPr="00E470DA" w14:paraId="405C1215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1A7AFB3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Cs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 xml:space="preserve">Adequacy, employable </w:t>
            </w:r>
          </w:p>
        </w:tc>
        <w:tc>
          <w:tcPr>
            <w:tcW w:w="1706" w:type="dxa"/>
          </w:tcPr>
          <w:p w14:paraId="590C36B9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adeq1p</w:t>
            </w:r>
          </w:p>
        </w:tc>
        <w:tc>
          <w:tcPr>
            <w:tcW w:w="1134" w:type="dxa"/>
          </w:tcPr>
          <w:p w14:paraId="449C4919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3AAD2185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0.26</w:t>
            </w:r>
          </w:p>
        </w:tc>
        <w:tc>
          <w:tcPr>
            <w:tcW w:w="1418" w:type="dxa"/>
          </w:tcPr>
          <w:p w14:paraId="1EEBB233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0.07</w:t>
            </w:r>
          </w:p>
        </w:tc>
        <w:tc>
          <w:tcPr>
            <w:tcW w:w="1276" w:type="dxa"/>
          </w:tcPr>
          <w:p w14:paraId="532021EC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0.07</w:t>
            </w:r>
          </w:p>
        </w:tc>
        <w:tc>
          <w:tcPr>
            <w:tcW w:w="1417" w:type="dxa"/>
          </w:tcPr>
          <w:p w14:paraId="12C23AF2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0.48</w:t>
            </w:r>
          </w:p>
        </w:tc>
      </w:tr>
      <w:tr w:rsidR="0000297C" w:rsidRPr="00E470DA" w14:paraId="6B47E6F4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72E8400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Adequacy, disability</w:t>
            </w:r>
          </w:p>
        </w:tc>
        <w:tc>
          <w:tcPr>
            <w:tcW w:w="1706" w:type="dxa"/>
          </w:tcPr>
          <w:p w14:paraId="3E8ABBB5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adeq1ph</w:t>
            </w:r>
          </w:p>
        </w:tc>
        <w:tc>
          <w:tcPr>
            <w:tcW w:w="1134" w:type="dxa"/>
          </w:tcPr>
          <w:p w14:paraId="6B4FE212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72A0CC24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0.39</w:t>
            </w:r>
          </w:p>
        </w:tc>
        <w:tc>
          <w:tcPr>
            <w:tcW w:w="1418" w:type="dxa"/>
          </w:tcPr>
          <w:p w14:paraId="1DC467CF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0.06</w:t>
            </w:r>
          </w:p>
        </w:tc>
        <w:tc>
          <w:tcPr>
            <w:tcW w:w="1276" w:type="dxa"/>
          </w:tcPr>
          <w:p w14:paraId="12CF24E0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o.23</w:t>
            </w:r>
          </w:p>
        </w:tc>
        <w:tc>
          <w:tcPr>
            <w:tcW w:w="1417" w:type="dxa"/>
          </w:tcPr>
          <w:p w14:paraId="2FC67374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0.55</w:t>
            </w:r>
          </w:p>
        </w:tc>
      </w:tr>
      <w:tr w:rsidR="00DA5606" w:rsidRPr="00E470DA" w14:paraId="7F63B3E3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0741939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Adequacy, one parent</w:t>
            </w:r>
          </w:p>
        </w:tc>
        <w:tc>
          <w:tcPr>
            <w:tcW w:w="1706" w:type="dxa"/>
          </w:tcPr>
          <w:p w14:paraId="40F87FD7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adeqmonop</w:t>
            </w:r>
            <w:proofErr w:type="spellEnd"/>
          </w:p>
        </w:tc>
        <w:tc>
          <w:tcPr>
            <w:tcW w:w="1134" w:type="dxa"/>
          </w:tcPr>
          <w:p w14:paraId="184D36AC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6537169C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0.43</w:t>
            </w:r>
          </w:p>
        </w:tc>
        <w:tc>
          <w:tcPr>
            <w:tcW w:w="1418" w:type="dxa"/>
          </w:tcPr>
          <w:p w14:paraId="0D6B4C5F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0.08</w:t>
            </w:r>
          </w:p>
        </w:tc>
        <w:tc>
          <w:tcPr>
            <w:tcW w:w="1276" w:type="dxa"/>
          </w:tcPr>
          <w:p w14:paraId="685D88FD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0.26</w:t>
            </w:r>
          </w:p>
        </w:tc>
        <w:tc>
          <w:tcPr>
            <w:tcW w:w="1417" w:type="dxa"/>
          </w:tcPr>
          <w:p w14:paraId="675D3FC1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0.69</w:t>
            </w:r>
          </w:p>
        </w:tc>
      </w:tr>
      <w:tr w:rsidR="0000297C" w:rsidRPr="00E470DA" w14:paraId="5014F482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EF9176F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Adequacy, four persons</w:t>
            </w:r>
          </w:p>
        </w:tc>
        <w:tc>
          <w:tcPr>
            <w:tcW w:w="1706" w:type="dxa"/>
          </w:tcPr>
          <w:p w14:paraId="2504BC7E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adeq4p</w:t>
            </w:r>
          </w:p>
        </w:tc>
        <w:tc>
          <w:tcPr>
            <w:tcW w:w="1134" w:type="dxa"/>
          </w:tcPr>
          <w:p w14:paraId="41BFE5F8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79E63DC5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0.41</w:t>
            </w:r>
          </w:p>
        </w:tc>
        <w:tc>
          <w:tcPr>
            <w:tcW w:w="1418" w:type="dxa"/>
          </w:tcPr>
          <w:p w14:paraId="10DCB73D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0.06</w:t>
            </w:r>
          </w:p>
        </w:tc>
        <w:tc>
          <w:tcPr>
            <w:tcW w:w="1276" w:type="dxa"/>
          </w:tcPr>
          <w:p w14:paraId="7E6E5E9F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0.27</w:t>
            </w:r>
          </w:p>
        </w:tc>
        <w:tc>
          <w:tcPr>
            <w:tcW w:w="1417" w:type="dxa"/>
          </w:tcPr>
          <w:p w14:paraId="6B30F431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0.63</w:t>
            </w:r>
          </w:p>
        </w:tc>
      </w:tr>
      <w:tr w:rsidR="00DA5606" w:rsidRPr="00E470DA" w14:paraId="70436C3B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F5110B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Cs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Left</w:t>
            </w:r>
            <w:r w:rsidRPr="00E470DA">
              <w:rPr>
                <w:rFonts w:ascii="Times New Roman" w:hAnsi="Times New Roman" w:cs="Times New Roman"/>
                <w:iCs w:val="0"/>
                <w:color w:val="000000" w:themeColor="text1"/>
                <w:lang w:val="en-CA"/>
              </w:rPr>
              <w:t xml:space="preserve"> </w:t>
            </w: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power</w:t>
            </w:r>
          </w:p>
        </w:tc>
        <w:tc>
          <w:tcPr>
            <w:tcW w:w="1706" w:type="dxa"/>
          </w:tcPr>
          <w:p w14:paraId="2A9BA977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leftcum</w:t>
            </w:r>
            <w:proofErr w:type="spellEnd"/>
          </w:p>
        </w:tc>
        <w:tc>
          <w:tcPr>
            <w:tcW w:w="1134" w:type="dxa"/>
          </w:tcPr>
          <w:p w14:paraId="30C1053C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77F2A1D0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5.32</w:t>
            </w:r>
          </w:p>
        </w:tc>
        <w:tc>
          <w:tcPr>
            <w:tcW w:w="1418" w:type="dxa"/>
          </w:tcPr>
          <w:p w14:paraId="3236B2A8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6.62</w:t>
            </w:r>
          </w:p>
        </w:tc>
        <w:tc>
          <w:tcPr>
            <w:tcW w:w="1276" w:type="dxa"/>
          </w:tcPr>
          <w:p w14:paraId="7770A7E0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</w:t>
            </w:r>
          </w:p>
        </w:tc>
        <w:tc>
          <w:tcPr>
            <w:tcW w:w="1417" w:type="dxa"/>
          </w:tcPr>
          <w:p w14:paraId="37E53C34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26</w:t>
            </w:r>
          </w:p>
        </w:tc>
      </w:tr>
      <w:tr w:rsidR="0000297C" w:rsidRPr="00E470DA" w14:paraId="05FBF658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59C0F5D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Centrist power</w:t>
            </w:r>
          </w:p>
        </w:tc>
        <w:tc>
          <w:tcPr>
            <w:tcW w:w="1706" w:type="dxa"/>
          </w:tcPr>
          <w:p w14:paraId="2F064D69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centrecum</w:t>
            </w:r>
            <w:proofErr w:type="spellEnd"/>
          </w:p>
        </w:tc>
        <w:tc>
          <w:tcPr>
            <w:tcW w:w="1134" w:type="dxa"/>
          </w:tcPr>
          <w:p w14:paraId="1FD47AD5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3578EE02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5.93</w:t>
            </w:r>
          </w:p>
        </w:tc>
        <w:tc>
          <w:tcPr>
            <w:tcW w:w="1418" w:type="dxa"/>
          </w:tcPr>
          <w:p w14:paraId="7B4F9824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6.12</w:t>
            </w:r>
          </w:p>
        </w:tc>
        <w:tc>
          <w:tcPr>
            <w:tcW w:w="1276" w:type="dxa"/>
          </w:tcPr>
          <w:p w14:paraId="378C9FFB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</w:t>
            </w:r>
          </w:p>
        </w:tc>
        <w:tc>
          <w:tcPr>
            <w:tcW w:w="1417" w:type="dxa"/>
          </w:tcPr>
          <w:p w14:paraId="28E22040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20</w:t>
            </w:r>
          </w:p>
        </w:tc>
      </w:tr>
      <w:tr w:rsidR="00DA5606" w:rsidRPr="00E470DA" w14:paraId="27082D7A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E263F33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Cs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Right</w:t>
            </w:r>
            <w:r w:rsidRPr="00E470DA">
              <w:rPr>
                <w:rFonts w:ascii="Times New Roman" w:hAnsi="Times New Roman" w:cs="Times New Roman"/>
                <w:iCs w:val="0"/>
                <w:color w:val="000000" w:themeColor="text1"/>
                <w:lang w:val="en-CA"/>
              </w:rPr>
              <w:t xml:space="preserve"> </w:t>
            </w: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power</w:t>
            </w:r>
          </w:p>
        </w:tc>
        <w:tc>
          <w:tcPr>
            <w:tcW w:w="1706" w:type="dxa"/>
          </w:tcPr>
          <w:p w14:paraId="0C5347F8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rightcum</w:t>
            </w:r>
            <w:proofErr w:type="spellEnd"/>
          </w:p>
        </w:tc>
        <w:tc>
          <w:tcPr>
            <w:tcW w:w="1134" w:type="dxa"/>
          </w:tcPr>
          <w:p w14:paraId="71FCB0A9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06122CBF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13.14</w:t>
            </w:r>
          </w:p>
        </w:tc>
        <w:tc>
          <w:tcPr>
            <w:tcW w:w="1418" w:type="dxa"/>
          </w:tcPr>
          <w:p w14:paraId="024B5DDA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7.61</w:t>
            </w:r>
          </w:p>
        </w:tc>
        <w:tc>
          <w:tcPr>
            <w:tcW w:w="1276" w:type="dxa"/>
          </w:tcPr>
          <w:p w14:paraId="205C2C18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</w:t>
            </w:r>
          </w:p>
        </w:tc>
        <w:tc>
          <w:tcPr>
            <w:tcW w:w="1417" w:type="dxa"/>
          </w:tcPr>
          <w:p w14:paraId="0B145B88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36</w:t>
            </w:r>
          </w:p>
        </w:tc>
      </w:tr>
      <w:tr w:rsidR="0000297C" w:rsidRPr="00E470DA" w14:paraId="26DB2E96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FC55637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Union density</w:t>
            </w:r>
          </w:p>
        </w:tc>
        <w:tc>
          <w:tcPr>
            <w:tcW w:w="1706" w:type="dxa"/>
          </w:tcPr>
          <w:p w14:paraId="50898553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uniond</w:t>
            </w:r>
            <w:proofErr w:type="spellEnd"/>
          </w:p>
        </w:tc>
        <w:tc>
          <w:tcPr>
            <w:tcW w:w="1134" w:type="dxa"/>
          </w:tcPr>
          <w:p w14:paraId="46CC990B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3218174F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33.0</w:t>
            </w:r>
          </w:p>
        </w:tc>
        <w:tc>
          <w:tcPr>
            <w:tcW w:w="1418" w:type="dxa"/>
          </w:tcPr>
          <w:p w14:paraId="61430325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5.10</w:t>
            </w:r>
          </w:p>
        </w:tc>
        <w:tc>
          <w:tcPr>
            <w:tcW w:w="1276" w:type="dxa"/>
          </w:tcPr>
          <w:p w14:paraId="62DC8D4A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22.1</w:t>
            </w:r>
          </w:p>
        </w:tc>
        <w:tc>
          <w:tcPr>
            <w:tcW w:w="1417" w:type="dxa"/>
          </w:tcPr>
          <w:p w14:paraId="42252A79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45.3</w:t>
            </w:r>
          </w:p>
        </w:tc>
      </w:tr>
      <w:tr w:rsidR="00DA5606" w:rsidRPr="00E470DA" w14:paraId="385288C3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1970709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Poverty reduction strategy</w:t>
            </w:r>
          </w:p>
        </w:tc>
        <w:tc>
          <w:tcPr>
            <w:tcW w:w="1706" w:type="dxa"/>
          </w:tcPr>
          <w:p w14:paraId="59F5B63D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povredplan</w:t>
            </w:r>
            <w:proofErr w:type="spellEnd"/>
          </w:p>
        </w:tc>
        <w:tc>
          <w:tcPr>
            <w:tcW w:w="1134" w:type="dxa"/>
          </w:tcPr>
          <w:p w14:paraId="425D376C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0D240E58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0.25</w:t>
            </w:r>
          </w:p>
        </w:tc>
        <w:tc>
          <w:tcPr>
            <w:tcW w:w="1418" w:type="dxa"/>
          </w:tcPr>
          <w:p w14:paraId="3B46ECDB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0.44</w:t>
            </w:r>
          </w:p>
        </w:tc>
        <w:tc>
          <w:tcPr>
            <w:tcW w:w="1276" w:type="dxa"/>
          </w:tcPr>
          <w:p w14:paraId="2AF971D0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</w:t>
            </w:r>
          </w:p>
        </w:tc>
        <w:tc>
          <w:tcPr>
            <w:tcW w:w="1417" w:type="dxa"/>
          </w:tcPr>
          <w:p w14:paraId="3E9013C0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1</w:t>
            </w:r>
          </w:p>
        </w:tc>
      </w:tr>
      <w:tr w:rsidR="0000297C" w:rsidRPr="00E470DA" w14:paraId="5185D99A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1557CC7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Social expenditures</w:t>
            </w:r>
          </w:p>
        </w:tc>
        <w:tc>
          <w:tcPr>
            <w:tcW w:w="1706" w:type="dxa"/>
          </w:tcPr>
          <w:p w14:paraId="57A0B343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socexgdp</w:t>
            </w:r>
            <w:proofErr w:type="spellEnd"/>
          </w:p>
        </w:tc>
        <w:tc>
          <w:tcPr>
            <w:tcW w:w="1134" w:type="dxa"/>
          </w:tcPr>
          <w:p w14:paraId="4B09EA6E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567356AD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0.09</w:t>
            </w:r>
          </w:p>
        </w:tc>
        <w:tc>
          <w:tcPr>
            <w:tcW w:w="1418" w:type="dxa"/>
          </w:tcPr>
          <w:p w14:paraId="21D10716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0.02</w:t>
            </w:r>
          </w:p>
        </w:tc>
        <w:tc>
          <w:tcPr>
            <w:tcW w:w="1276" w:type="dxa"/>
          </w:tcPr>
          <w:p w14:paraId="6B09A178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0.05</w:t>
            </w:r>
          </w:p>
        </w:tc>
        <w:tc>
          <w:tcPr>
            <w:tcW w:w="1417" w:type="dxa"/>
          </w:tcPr>
          <w:p w14:paraId="6B84678F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0.13</w:t>
            </w:r>
          </w:p>
        </w:tc>
      </w:tr>
      <w:tr w:rsidR="00DA5606" w:rsidRPr="00E470DA" w14:paraId="373D4DBD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F9BE24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Redistribution</w:t>
            </w:r>
          </w:p>
        </w:tc>
        <w:tc>
          <w:tcPr>
            <w:tcW w:w="1706" w:type="dxa"/>
          </w:tcPr>
          <w:p w14:paraId="060032B7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redistribution</w:t>
            </w:r>
          </w:p>
        </w:tc>
        <w:tc>
          <w:tcPr>
            <w:tcW w:w="1134" w:type="dxa"/>
          </w:tcPr>
          <w:p w14:paraId="50A63C78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146AA4F5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31.51</w:t>
            </w:r>
          </w:p>
        </w:tc>
        <w:tc>
          <w:tcPr>
            <w:tcW w:w="1418" w:type="dxa"/>
          </w:tcPr>
          <w:p w14:paraId="5A470AEB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5.19</w:t>
            </w:r>
          </w:p>
        </w:tc>
        <w:tc>
          <w:tcPr>
            <w:tcW w:w="1276" w:type="dxa"/>
          </w:tcPr>
          <w:p w14:paraId="727AB0E2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19.04</w:t>
            </w:r>
          </w:p>
        </w:tc>
        <w:tc>
          <w:tcPr>
            <w:tcW w:w="1417" w:type="dxa"/>
          </w:tcPr>
          <w:p w14:paraId="67E0D44C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45.03</w:t>
            </w:r>
          </w:p>
        </w:tc>
      </w:tr>
      <w:tr w:rsidR="0000297C" w:rsidRPr="00E470DA" w14:paraId="24482C98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DC153D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Social assistance</w:t>
            </w:r>
            <w:r w:rsidR="00DA46CE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 xml:space="preserve"> recipiency</w:t>
            </w: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 xml:space="preserve"> rate</w:t>
            </w:r>
          </w:p>
        </w:tc>
        <w:tc>
          <w:tcPr>
            <w:tcW w:w="1706" w:type="dxa"/>
          </w:tcPr>
          <w:p w14:paraId="2727AD3D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socassrate</w:t>
            </w:r>
            <w:proofErr w:type="spellEnd"/>
          </w:p>
        </w:tc>
        <w:tc>
          <w:tcPr>
            <w:tcW w:w="1134" w:type="dxa"/>
          </w:tcPr>
          <w:p w14:paraId="382DBC1A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4D95FB19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7.54</w:t>
            </w:r>
          </w:p>
        </w:tc>
        <w:tc>
          <w:tcPr>
            <w:tcW w:w="1418" w:type="dxa"/>
          </w:tcPr>
          <w:p w14:paraId="0DCEDD21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2.71</w:t>
            </w:r>
          </w:p>
        </w:tc>
        <w:tc>
          <w:tcPr>
            <w:tcW w:w="1276" w:type="dxa"/>
          </w:tcPr>
          <w:p w14:paraId="5405F5CE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2.7</w:t>
            </w:r>
          </w:p>
        </w:tc>
        <w:tc>
          <w:tcPr>
            <w:tcW w:w="1417" w:type="dxa"/>
          </w:tcPr>
          <w:p w14:paraId="03B3D03B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14.7</w:t>
            </w:r>
          </w:p>
        </w:tc>
      </w:tr>
      <w:tr w:rsidR="00DA5606" w:rsidRPr="00E470DA" w14:paraId="6623643A" w14:textId="77777777" w:rsidTr="00DA5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FE38FCB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Public debt service</w:t>
            </w:r>
          </w:p>
        </w:tc>
        <w:tc>
          <w:tcPr>
            <w:tcW w:w="1706" w:type="dxa"/>
          </w:tcPr>
          <w:p w14:paraId="58105103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debtservgdp</w:t>
            </w:r>
            <w:proofErr w:type="spellEnd"/>
          </w:p>
        </w:tc>
        <w:tc>
          <w:tcPr>
            <w:tcW w:w="1134" w:type="dxa"/>
          </w:tcPr>
          <w:p w14:paraId="0500BA15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280</w:t>
            </w:r>
          </w:p>
        </w:tc>
        <w:tc>
          <w:tcPr>
            <w:tcW w:w="1134" w:type="dxa"/>
          </w:tcPr>
          <w:p w14:paraId="07EF70E1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</w:t>
            </w:r>
            <w:r w:rsidR="00072F3A">
              <w:rPr>
                <w:rFonts w:ascii="Times New Roman" w:hAnsi="Times New Roman" w:cs="Times New Roman"/>
                <w:color w:val="000000" w:themeColor="text1"/>
                <w:lang w:val="en-CA"/>
              </w:rPr>
              <w:t>022</w:t>
            </w:r>
          </w:p>
        </w:tc>
        <w:tc>
          <w:tcPr>
            <w:tcW w:w="1418" w:type="dxa"/>
          </w:tcPr>
          <w:p w14:paraId="07CA1287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</w:t>
            </w:r>
            <w:r w:rsidR="00072F3A">
              <w:rPr>
                <w:rFonts w:ascii="Times New Roman" w:hAnsi="Times New Roman" w:cs="Times New Roman"/>
                <w:color w:val="000000" w:themeColor="text1"/>
                <w:lang w:val="en-CA"/>
              </w:rPr>
              <w:t>1</w:t>
            </w:r>
          </w:p>
        </w:tc>
        <w:tc>
          <w:tcPr>
            <w:tcW w:w="1276" w:type="dxa"/>
          </w:tcPr>
          <w:p w14:paraId="6E356DA7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0.0</w:t>
            </w:r>
            <w:r w:rsidR="00072F3A">
              <w:rPr>
                <w:rFonts w:ascii="Times New Roman" w:hAnsi="Times New Roman" w:cs="Times New Roman"/>
                <w:color w:val="000000" w:themeColor="text1"/>
                <w:lang w:val="en-CA"/>
              </w:rPr>
              <w:t>007</w:t>
            </w:r>
          </w:p>
        </w:tc>
        <w:tc>
          <w:tcPr>
            <w:tcW w:w="1417" w:type="dxa"/>
          </w:tcPr>
          <w:p w14:paraId="12BC8ABE" w14:textId="77777777" w:rsidR="0000297C" w:rsidRPr="00E470DA" w:rsidRDefault="0000297C" w:rsidP="00FF0C7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0.</w:t>
            </w:r>
            <w:r w:rsidR="00072F3A">
              <w:rPr>
                <w:rFonts w:ascii="Times New Roman" w:hAnsi="Times New Roman" w:cs="Times New Roman"/>
                <w:color w:val="000000" w:themeColor="text1"/>
                <w:lang w:val="en-CA"/>
              </w:rPr>
              <w:t>08</w:t>
            </w:r>
          </w:p>
        </w:tc>
      </w:tr>
      <w:tr w:rsidR="0000297C" w:rsidRPr="00E470DA" w14:paraId="209DB734" w14:textId="77777777" w:rsidTr="00DA5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C8F0AA" w14:textId="77777777" w:rsidR="0000297C" w:rsidRPr="00E470DA" w:rsidRDefault="0000297C" w:rsidP="00FF0C7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i w:val="0"/>
                <w:color w:val="000000" w:themeColor="text1"/>
                <w:lang w:val="en-CA"/>
              </w:rPr>
              <w:t>Provincial identity</w:t>
            </w:r>
          </w:p>
        </w:tc>
        <w:tc>
          <w:tcPr>
            <w:tcW w:w="1706" w:type="dxa"/>
          </w:tcPr>
          <w:p w14:paraId="15C5A3AB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</w:pPr>
            <w:proofErr w:type="spellStart"/>
            <w:r w:rsidRPr="00E470DA">
              <w:rPr>
                <w:rFonts w:ascii="Times New Roman" w:hAnsi="Times New Roman" w:cs="Times New Roman"/>
                <w:i/>
                <w:color w:val="000000" w:themeColor="text1"/>
                <w:lang w:val="en-CA"/>
              </w:rPr>
              <w:t>provid</w:t>
            </w:r>
            <w:proofErr w:type="spellEnd"/>
          </w:p>
        </w:tc>
        <w:tc>
          <w:tcPr>
            <w:tcW w:w="1134" w:type="dxa"/>
          </w:tcPr>
          <w:p w14:paraId="5A249EFA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 xml:space="preserve">  10</w:t>
            </w:r>
          </w:p>
        </w:tc>
        <w:tc>
          <w:tcPr>
            <w:tcW w:w="1134" w:type="dxa"/>
          </w:tcPr>
          <w:p w14:paraId="49F3BE14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79</w:t>
            </w:r>
          </w:p>
        </w:tc>
        <w:tc>
          <w:tcPr>
            <w:tcW w:w="1418" w:type="dxa"/>
          </w:tcPr>
          <w:p w14:paraId="26CFD644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5.33</w:t>
            </w:r>
          </w:p>
        </w:tc>
        <w:tc>
          <w:tcPr>
            <w:tcW w:w="1276" w:type="dxa"/>
          </w:tcPr>
          <w:p w14:paraId="0E5BAFBF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71</w:t>
            </w:r>
          </w:p>
        </w:tc>
        <w:tc>
          <w:tcPr>
            <w:tcW w:w="1417" w:type="dxa"/>
          </w:tcPr>
          <w:p w14:paraId="6E71D8F9" w14:textId="77777777" w:rsidR="0000297C" w:rsidRPr="00E470DA" w:rsidRDefault="0000297C" w:rsidP="00FF0C7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CA"/>
              </w:rPr>
            </w:pPr>
            <w:r w:rsidRPr="00E470DA">
              <w:rPr>
                <w:rFonts w:ascii="Times New Roman" w:hAnsi="Times New Roman" w:cs="Times New Roman"/>
                <w:color w:val="000000" w:themeColor="text1"/>
                <w:lang w:val="en-CA"/>
              </w:rPr>
              <w:t>89</w:t>
            </w:r>
          </w:p>
        </w:tc>
      </w:tr>
    </w:tbl>
    <w:p w14:paraId="5D8A0B59" w14:textId="77777777" w:rsidR="0000297C" w:rsidRPr="006418BA" w:rsidRDefault="0000297C" w:rsidP="0000297C">
      <w:pPr>
        <w:spacing w:line="360" w:lineRule="auto"/>
        <w:ind w:left="1560" w:hanging="993"/>
        <w:jc w:val="both"/>
        <w:rPr>
          <w:rFonts w:cstheme="minorHAnsi"/>
          <w:i/>
          <w:lang w:val="en-CA"/>
        </w:rPr>
      </w:pPr>
    </w:p>
    <w:p w14:paraId="13E23DC9" w14:textId="77777777" w:rsidR="0000297C" w:rsidRDefault="0000297C" w:rsidP="0000297C">
      <w:pPr>
        <w:rPr>
          <w:rFonts w:cstheme="minorHAnsi"/>
          <w:b/>
          <w:lang w:val="en-CA"/>
        </w:rPr>
        <w:sectPr w:rsidR="0000297C" w:rsidSect="00DA3020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6969036F" w14:textId="77777777" w:rsidR="003B1B79" w:rsidRDefault="003B1B79" w:rsidP="003B1B79">
      <w:pPr>
        <w:pStyle w:val="NormalWeb"/>
        <w:spacing w:before="0" w:beforeAutospacing="0" w:after="0" w:afterAutospacing="0" w:line="276" w:lineRule="auto"/>
        <w:ind w:left="1134" w:hanging="1134"/>
        <w:jc w:val="both"/>
        <w:rPr>
          <w:b/>
          <w:lang w:val="en-CA"/>
        </w:rPr>
      </w:pPr>
      <w:bookmarkStart w:id="1" w:name="OLE_LINK2"/>
      <w:r>
        <w:rPr>
          <w:b/>
          <w:lang w:val="en-CA"/>
        </w:rPr>
        <w:lastRenderedPageBreak/>
        <w:t>Figure SM1: Minimum income protection adequacy, single parent, OECD countries and Canadian provinces, 2010</w:t>
      </w:r>
      <w:bookmarkEnd w:id="1"/>
    </w:p>
    <w:p w14:paraId="7CB5BB19" w14:textId="77777777" w:rsidR="003B1B79" w:rsidRDefault="003B1B79" w:rsidP="003B1B79">
      <w:pPr>
        <w:pStyle w:val="NormalWeb"/>
        <w:spacing w:before="0" w:beforeAutospacing="0" w:after="0" w:afterAutospacing="0" w:line="276" w:lineRule="auto"/>
        <w:ind w:left="1134" w:hanging="1134"/>
        <w:jc w:val="both"/>
        <w:rPr>
          <w:b/>
          <w:lang w:val="en-CA"/>
        </w:rPr>
      </w:pPr>
    </w:p>
    <w:p w14:paraId="62D79EFF" w14:textId="77777777" w:rsidR="003B1B79" w:rsidRDefault="003B1B79" w:rsidP="003B1B79">
      <w:pPr>
        <w:pStyle w:val="NormalWeb"/>
        <w:spacing w:before="0" w:beforeAutospacing="0" w:after="0" w:afterAutospacing="0" w:line="276" w:lineRule="auto"/>
        <w:ind w:left="1134" w:hanging="1134"/>
        <w:jc w:val="both"/>
        <w:rPr>
          <w:b/>
          <w:lang w:val="en-CA"/>
        </w:rPr>
      </w:pPr>
      <w:r>
        <w:rPr>
          <w:noProof/>
        </w:rPr>
        <w:drawing>
          <wp:inline distT="0" distB="0" distL="0" distR="0" wp14:anchorId="61CAB66E" wp14:editId="38C577FF">
            <wp:extent cx="4689446" cy="5200772"/>
            <wp:effectExtent l="0" t="0" r="10160" b="635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DE4CBB61-7CCC-4745-ABF5-7DB3AE2789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FB92A7" w14:textId="77777777" w:rsidR="003B1B79" w:rsidRDefault="003B1B79">
      <w:pPr>
        <w:rPr>
          <w:rFonts w:ascii="Times New Roman" w:eastAsia="Times New Roman" w:hAnsi="Times New Roman" w:cs="Times New Roman"/>
          <w:b/>
          <w:lang w:val="en-CA" w:eastAsia="fr-FR"/>
        </w:rPr>
      </w:pPr>
      <w:r>
        <w:rPr>
          <w:b/>
          <w:lang w:val="en-CA"/>
        </w:rPr>
        <w:br w:type="page"/>
      </w:r>
    </w:p>
    <w:p w14:paraId="4235C75E" w14:textId="77777777" w:rsidR="003B1B79" w:rsidRDefault="003B1B79" w:rsidP="003B1B79">
      <w:pPr>
        <w:pStyle w:val="NormalWeb"/>
        <w:spacing w:before="0" w:beforeAutospacing="0" w:after="0" w:afterAutospacing="0" w:line="276" w:lineRule="auto"/>
        <w:ind w:left="1134" w:hanging="1134"/>
        <w:jc w:val="both"/>
        <w:rPr>
          <w:b/>
          <w:lang w:val="en-CA"/>
        </w:rPr>
      </w:pPr>
      <w:r>
        <w:rPr>
          <w:b/>
          <w:lang w:val="en-CA"/>
        </w:rPr>
        <w:lastRenderedPageBreak/>
        <w:t>Figure SM2: Minimum income protection adequacy, four-person family, OECD countries and Canadian provinces, 2010</w:t>
      </w:r>
    </w:p>
    <w:p w14:paraId="242E2B8E" w14:textId="77777777" w:rsidR="003B1B79" w:rsidRDefault="003B1B79" w:rsidP="003B1B79">
      <w:pPr>
        <w:pStyle w:val="NormalWeb"/>
        <w:spacing w:before="0" w:beforeAutospacing="0" w:after="0" w:afterAutospacing="0" w:line="276" w:lineRule="auto"/>
        <w:ind w:left="1134" w:hanging="1134"/>
        <w:jc w:val="center"/>
        <w:rPr>
          <w:b/>
          <w:lang w:val="en-CA"/>
        </w:rPr>
      </w:pPr>
      <w:r>
        <w:rPr>
          <w:noProof/>
        </w:rPr>
        <w:drawing>
          <wp:inline distT="0" distB="0" distL="0" distR="0" wp14:anchorId="0A9949E8" wp14:editId="35B4FBB5">
            <wp:extent cx="3749879" cy="5125673"/>
            <wp:effectExtent l="0" t="0" r="0" b="571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DB706BA0-47E1-564D-BDD3-969947CE77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49A83A" w14:textId="77777777" w:rsidR="003B1B79" w:rsidRDefault="003B1B79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br w:type="page"/>
      </w:r>
    </w:p>
    <w:p w14:paraId="16C7710B" w14:textId="77777777" w:rsidR="003254DF" w:rsidRDefault="003254DF" w:rsidP="003254DF">
      <w:pPr>
        <w:pStyle w:val="NormalWeb"/>
        <w:spacing w:before="120" w:beforeAutospacing="0" w:after="0" w:afterAutospacing="0" w:line="276" w:lineRule="auto"/>
        <w:ind w:left="851" w:hanging="851"/>
        <w:jc w:val="both"/>
        <w:rPr>
          <w:b/>
          <w:lang w:val="en-CA"/>
        </w:rPr>
      </w:pPr>
      <w:r>
        <w:rPr>
          <w:b/>
          <w:lang w:val="en-CA"/>
        </w:rPr>
        <w:lastRenderedPageBreak/>
        <w:t>Table SM2: Fixed-effect regression model for the determinants of minimum income protection adequacy, four household types, Canadian provinces, 1990-2017</w:t>
      </w:r>
    </w:p>
    <w:p w14:paraId="7C4880C5" w14:textId="77777777" w:rsidR="003254DF" w:rsidRDefault="003254DF" w:rsidP="003254DF">
      <w:pPr>
        <w:pStyle w:val="NormalWeb"/>
        <w:spacing w:before="120" w:beforeAutospacing="0" w:after="0" w:afterAutospacing="0"/>
        <w:ind w:left="1134" w:hanging="992"/>
        <w:jc w:val="both"/>
        <w:rPr>
          <w:b/>
          <w:lang w:val="en-CA"/>
        </w:rPr>
      </w:pPr>
    </w:p>
    <w:p w14:paraId="0480F43D" w14:textId="77777777" w:rsidR="003254DF" w:rsidRPr="005D7E0F" w:rsidRDefault="003254DF" w:rsidP="003254DF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>Variables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  <w:t>Single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proofErr w:type="spellStart"/>
      <w:r w:rsidRPr="005D7E0F">
        <w:rPr>
          <w:rFonts w:ascii="Times New Roman" w:hAnsi="Times New Roman" w:cs="Times New Roman"/>
          <w:lang w:val="en-US"/>
        </w:rPr>
        <w:t>Single</w:t>
      </w:r>
      <w:proofErr w:type="spellEnd"/>
      <w:r w:rsidRPr="005D7E0F">
        <w:rPr>
          <w:rFonts w:ascii="Times New Roman" w:hAnsi="Times New Roman" w:cs="Times New Roman"/>
          <w:lang w:val="en-US"/>
        </w:rPr>
        <w:t xml:space="preserve"> with</w:t>
      </w:r>
      <w:r w:rsidRPr="005D7E0F">
        <w:rPr>
          <w:rFonts w:ascii="Times New Roman" w:hAnsi="Times New Roman" w:cs="Times New Roman"/>
          <w:lang w:val="en-US"/>
        </w:rPr>
        <w:tab/>
        <w:t>Single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Four-person</w:t>
      </w:r>
    </w:p>
    <w:p w14:paraId="62268693" w14:textId="77777777" w:rsidR="003254DF" w:rsidRPr="005D7E0F" w:rsidRDefault="003254DF" w:rsidP="003254DF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  <w:t>employable</w:t>
      </w:r>
      <w:r w:rsidRPr="005D7E0F">
        <w:rPr>
          <w:rFonts w:ascii="Times New Roman" w:hAnsi="Times New Roman" w:cs="Times New Roman"/>
          <w:lang w:val="en-US"/>
        </w:rPr>
        <w:tab/>
        <w:t>disability</w:t>
      </w:r>
      <w:r w:rsidRPr="005D7E0F">
        <w:rPr>
          <w:rFonts w:ascii="Times New Roman" w:hAnsi="Times New Roman" w:cs="Times New Roman"/>
          <w:lang w:val="en-US"/>
        </w:rPr>
        <w:tab/>
        <w:t>parent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  <w:t>family</w:t>
      </w:r>
    </w:p>
    <w:p w14:paraId="7B059B00" w14:textId="77777777" w:rsidR="003254DF" w:rsidRDefault="003254DF">
      <w:pPr>
        <w:rPr>
          <w:rFonts w:ascii="Times New Roman" w:eastAsia="Times New Roman" w:hAnsi="Times New Roman" w:cs="Times New Roman"/>
          <w:b/>
          <w:lang w:val="en-CA" w:eastAsia="fr-FR"/>
        </w:rPr>
      </w:pPr>
    </w:p>
    <w:p w14:paraId="21185AE5" w14:textId="77777777" w:rsidR="0062273E" w:rsidRPr="00624C70" w:rsidRDefault="0062273E" w:rsidP="006227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Centrist</w:t>
      </w:r>
      <w:proofErr w:type="spellEnd"/>
      <w:r>
        <w:rPr>
          <w:rFonts w:ascii="Times New Roman" w:hAnsi="Times New Roman" w:cs="Times New Roman"/>
        </w:rPr>
        <w:t xml:space="preserve"> power</w:t>
      </w:r>
      <w:r w:rsidRPr="00624C70">
        <w:rPr>
          <w:rFonts w:ascii="Times New Roman" w:hAnsi="Times New Roman" w:cs="Times New Roman"/>
        </w:rPr>
        <w:tab/>
        <w:t>0.000113</w:t>
      </w:r>
      <w:r w:rsidRPr="00624C70">
        <w:rPr>
          <w:rFonts w:ascii="Times New Roman" w:hAnsi="Times New Roman" w:cs="Times New Roman"/>
        </w:rPr>
        <w:tab/>
        <w:t>0.00300**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0.00821***</w:t>
      </w:r>
      <w:r w:rsidRPr="00624C70">
        <w:rPr>
          <w:rFonts w:ascii="Times New Roman" w:hAnsi="Times New Roman" w:cs="Times New Roman"/>
        </w:rPr>
        <w:tab/>
        <w:t>0.0102***</w:t>
      </w:r>
    </w:p>
    <w:p w14:paraId="3E63BB77" w14:textId="77777777" w:rsidR="0062273E" w:rsidRPr="00624C70" w:rsidRDefault="0062273E" w:rsidP="0062273E">
      <w:pPr>
        <w:rPr>
          <w:rFonts w:ascii="Times New Roman" w:hAnsi="Times New Roman" w:cs="Times New Roman"/>
        </w:rPr>
      </w:pP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(0.00268)</w:t>
      </w:r>
      <w:r w:rsidRPr="00624C70">
        <w:rPr>
          <w:rFonts w:ascii="Times New Roman" w:hAnsi="Times New Roman" w:cs="Times New Roman"/>
        </w:rPr>
        <w:tab/>
        <w:t>(0.00117)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(0.00137)</w:t>
      </w:r>
      <w:r w:rsidRPr="00624C70">
        <w:rPr>
          <w:rFonts w:ascii="Times New Roman" w:hAnsi="Times New Roman" w:cs="Times New Roman"/>
        </w:rPr>
        <w:tab/>
        <w:t>(0.00131)</w:t>
      </w:r>
    </w:p>
    <w:p w14:paraId="131B8785" w14:textId="77777777" w:rsidR="0062273E" w:rsidRPr="00624C70" w:rsidRDefault="0062273E" w:rsidP="0062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Union </w:t>
      </w:r>
      <w:proofErr w:type="spellStart"/>
      <w:r>
        <w:rPr>
          <w:rFonts w:ascii="Times New Roman" w:hAnsi="Times New Roman" w:cs="Times New Roman"/>
        </w:rPr>
        <w:t>density</w:t>
      </w:r>
      <w:proofErr w:type="spellEnd"/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-0.00474</w:t>
      </w:r>
      <w:r w:rsidRPr="00624C70">
        <w:rPr>
          <w:rFonts w:ascii="Times New Roman" w:hAnsi="Times New Roman" w:cs="Times New Roman"/>
        </w:rPr>
        <w:tab/>
        <w:t>-0.00878***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-0.00464</w:t>
      </w:r>
      <w:r w:rsidRPr="00624C70">
        <w:rPr>
          <w:rFonts w:ascii="Times New Roman" w:hAnsi="Times New Roman" w:cs="Times New Roman"/>
        </w:rPr>
        <w:tab/>
        <w:t>-0.00270</w:t>
      </w:r>
    </w:p>
    <w:p w14:paraId="222AB124" w14:textId="77777777" w:rsidR="0062273E" w:rsidRPr="00624C70" w:rsidRDefault="0062273E" w:rsidP="0062273E">
      <w:pPr>
        <w:rPr>
          <w:rFonts w:ascii="Times New Roman" w:hAnsi="Times New Roman" w:cs="Times New Roman"/>
        </w:rPr>
      </w:pP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(0.00435)</w:t>
      </w:r>
      <w:r w:rsidRPr="00624C70">
        <w:rPr>
          <w:rFonts w:ascii="Times New Roman" w:hAnsi="Times New Roman" w:cs="Times New Roman"/>
        </w:rPr>
        <w:tab/>
        <w:t>(0.00136)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(0.00311)</w:t>
      </w:r>
      <w:r w:rsidRPr="00624C70">
        <w:rPr>
          <w:rFonts w:ascii="Times New Roman" w:hAnsi="Times New Roman" w:cs="Times New Roman"/>
        </w:rPr>
        <w:tab/>
        <w:t>(0.00260)</w:t>
      </w:r>
    </w:p>
    <w:p w14:paraId="5ADA71EA" w14:textId="77777777" w:rsidR="0062273E" w:rsidRPr="00624C70" w:rsidRDefault="0062273E" w:rsidP="006227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Poverty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strategy</w:t>
      </w:r>
      <w:proofErr w:type="spellEnd"/>
      <w:r w:rsidRPr="00624C70">
        <w:rPr>
          <w:rFonts w:ascii="Times New Roman" w:hAnsi="Times New Roman" w:cs="Times New Roman"/>
        </w:rPr>
        <w:tab/>
        <w:t>0.0533*</w:t>
      </w:r>
      <w:r w:rsidRPr="00624C70">
        <w:rPr>
          <w:rFonts w:ascii="Times New Roman" w:hAnsi="Times New Roman" w:cs="Times New Roman"/>
        </w:rPr>
        <w:tab/>
        <w:t>0.000584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0.0242**</w:t>
      </w:r>
      <w:r w:rsidRPr="00624C70">
        <w:rPr>
          <w:rFonts w:ascii="Times New Roman" w:hAnsi="Times New Roman" w:cs="Times New Roman"/>
        </w:rPr>
        <w:tab/>
        <w:t>0.0142</w:t>
      </w:r>
    </w:p>
    <w:p w14:paraId="095114EC" w14:textId="77777777" w:rsidR="0062273E" w:rsidRPr="00624C70" w:rsidRDefault="0062273E" w:rsidP="0062273E">
      <w:pPr>
        <w:rPr>
          <w:rFonts w:ascii="Times New Roman" w:hAnsi="Times New Roman" w:cs="Times New Roman"/>
        </w:rPr>
      </w:pP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(0.0260)</w:t>
      </w:r>
      <w:r w:rsidRPr="00624C70">
        <w:rPr>
          <w:rFonts w:ascii="Times New Roman" w:hAnsi="Times New Roman" w:cs="Times New Roman"/>
        </w:rPr>
        <w:tab/>
        <w:t>(0.00710)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(0.00788)</w:t>
      </w:r>
      <w:r w:rsidRPr="00624C70">
        <w:rPr>
          <w:rFonts w:ascii="Times New Roman" w:hAnsi="Times New Roman" w:cs="Times New Roman"/>
        </w:rPr>
        <w:tab/>
        <w:t>(0.00973)</w:t>
      </w:r>
    </w:p>
    <w:p w14:paraId="069C5F54" w14:textId="77777777" w:rsidR="0062273E" w:rsidRPr="00624C70" w:rsidRDefault="0062273E" w:rsidP="0062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24C70">
        <w:rPr>
          <w:rFonts w:ascii="Times New Roman" w:hAnsi="Times New Roman" w:cs="Times New Roman"/>
        </w:rPr>
        <w:t>edistribution</w:t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ab/>
        <w:t>-0.00218</w:t>
      </w:r>
      <w:r w:rsidRPr="00624C70">
        <w:rPr>
          <w:rFonts w:ascii="Times New Roman" w:hAnsi="Times New Roman" w:cs="Times New Roman"/>
        </w:rPr>
        <w:tab/>
        <w:t>0.00427**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-0.000461</w:t>
      </w:r>
      <w:r w:rsidRPr="00624C70">
        <w:rPr>
          <w:rFonts w:ascii="Times New Roman" w:hAnsi="Times New Roman" w:cs="Times New Roman"/>
        </w:rPr>
        <w:tab/>
        <w:t>0.00369</w:t>
      </w:r>
    </w:p>
    <w:p w14:paraId="3801D8D5" w14:textId="77777777" w:rsidR="0062273E" w:rsidRPr="00624C70" w:rsidRDefault="0062273E" w:rsidP="0062273E">
      <w:pPr>
        <w:rPr>
          <w:rFonts w:ascii="Times New Roman" w:hAnsi="Times New Roman" w:cs="Times New Roman"/>
        </w:rPr>
      </w:pP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(0.00584)</w:t>
      </w:r>
      <w:r w:rsidRPr="00624C70">
        <w:rPr>
          <w:rFonts w:ascii="Times New Roman" w:hAnsi="Times New Roman" w:cs="Times New Roman"/>
        </w:rPr>
        <w:tab/>
        <w:t>(0.00134)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(0.00269)</w:t>
      </w:r>
      <w:r w:rsidRPr="00624C70">
        <w:rPr>
          <w:rFonts w:ascii="Times New Roman" w:hAnsi="Times New Roman" w:cs="Times New Roman"/>
        </w:rPr>
        <w:tab/>
        <w:t>(0.00290)</w:t>
      </w:r>
    </w:p>
    <w:p w14:paraId="39E82983" w14:textId="77777777" w:rsidR="0062273E" w:rsidRPr="00624C70" w:rsidRDefault="00DA46CE" w:rsidP="0062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Recipiency </w:t>
      </w:r>
      <w:r w:rsidR="0062273E" w:rsidRPr="00624C70">
        <w:rPr>
          <w:rFonts w:ascii="Times New Roman" w:hAnsi="Times New Roman" w:cs="Times New Roman"/>
        </w:rPr>
        <w:t>rate</w:t>
      </w:r>
      <w:r w:rsidR="0062273E" w:rsidRPr="00624C70">
        <w:rPr>
          <w:rFonts w:ascii="Times New Roman" w:hAnsi="Times New Roman" w:cs="Times New Roman"/>
        </w:rPr>
        <w:tab/>
        <w:t>0.00733**</w:t>
      </w:r>
      <w:r w:rsidR="0062273E" w:rsidRPr="00624C70">
        <w:rPr>
          <w:rFonts w:ascii="Times New Roman" w:hAnsi="Times New Roman" w:cs="Times New Roman"/>
        </w:rPr>
        <w:tab/>
        <w:t>0.00764***</w:t>
      </w:r>
      <w:r w:rsidR="0062273E" w:rsidRPr="00624C70">
        <w:rPr>
          <w:rFonts w:ascii="Times New Roman" w:hAnsi="Times New Roman" w:cs="Times New Roman"/>
        </w:rPr>
        <w:tab/>
      </w:r>
      <w:r w:rsidR="0062273E">
        <w:rPr>
          <w:rFonts w:ascii="Times New Roman" w:hAnsi="Times New Roman" w:cs="Times New Roman"/>
        </w:rPr>
        <w:tab/>
      </w:r>
      <w:r w:rsidR="0062273E" w:rsidRPr="00624C70">
        <w:rPr>
          <w:rFonts w:ascii="Times New Roman" w:hAnsi="Times New Roman" w:cs="Times New Roman"/>
        </w:rPr>
        <w:t>0.00609*</w:t>
      </w:r>
      <w:r w:rsidR="0062273E" w:rsidRPr="00624C70">
        <w:rPr>
          <w:rFonts w:ascii="Times New Roman" w:hAnsi="Times New Roman" w:cs="Times New Roman"/>
        </w:rPr>
        <w:tab/>
        <w:t>0.00195</w:t>
      </w:r>
    </w:p>
    <w:p w14:paraId="1A8D6108" w14:textId="77777777" w:rsidR="0062273E" w:rsidRPr="00624C70" w:rsidRDefault="0062273E" w:rsidP="0062273E">
      <w:pPr>
        <w:rPr>
          <w:rFonts w:ascii="Times New Roman" w:hAnsi="Times New Roman" w:cs="Times New Roman"/>
        </w:rPr>
      </w:pP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(0.00280)</w:t>
      </w:r>
      <w:r w:rsidRPr="00624C70">
        <w:rPr>
          <w:rFonts w:ascii="Times New Roman" w:hAnsi="Times New Roman" w:cs="Times New Roman"/>
        </w:rPr>
        <w:tab/>
        <w:t>(0.00181)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(0.00327)</w:t>
      </w:r>
      <w:r w:rsidRPr="00624C70">
        <w:rPr>
          <w:rFonts w:ascii="Times New Roman" w:hAnsi="Times New Roman" w:cs="Times New Roman"/>
        </w:rPr>
        <w:tab/>
        <w:t>(0.00341)</w:t>
      </w:r>
    </w:p>
    <w:p w14:paraId="3CD02C99" w14:textId="77777777" w:rsidR="0062273E" w:rsidRDefault="0062273E" w:rsidP="0062273E">
      <w:pPr>
        <w:rPr>
          <w:rFonts w:ascii="Times New Roman" w:hAnsi="Times New Roman" w:cs="Times New Roman"/>
        </w:rPr>
      </w:pPr>
    </w:p>
    <w:p w14:paraId="194BC85E" w14:textId="77777777" w:rsidR="0062273E" w:rsidRPr="00624C70" w:rsidRDefault="0062273E" w:rsidP="0062273E">
      <w:pPr>
        <w:rPr>
          <w:rFonts w:ascii="Times New Roman" w:hAnsi="Times New Roman" w:cs="Times New Roman"/>
        </w:rPr>
      </w:pPr>
      <w:r w:rsidRPr="00624C70">
        <w:rPr>
          <w:rFonts w:ascii="Times New Roman" w:hAnsi="Times New Roman" w:cs="Times New Roman"/>
        </w:rPr>
        <w:t>Constant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0.420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0.470***</w:t>
      </w: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</w:rPr>
        <w:t>0.493***</w:t>
      </w:r>
      <w:r w:rsidRPr="00624C70">
        <w:rPr>
          <w:rFonts w:ascii="Times New Roman" w:hAnsi="Times New Roman" w:cs="Times New Roman"/>
        </w:rPr>
        <w:tab/>
        <w:t>0.302**</w:t>
      </w:r>
    </w:p>
    <w:p w14:paraId="0B528F60" w14:textId="77777777" w:rsidR="0062273E" w:rsidRPr="00624C70" w:rsidRDefault="0062273E" w:rsidP="0062273E">
      <w:pPr>
        <w:rPr>
          <w:rFonts w:ascii="Times New Roman" w:hAnsi="Times New Roman" w:cs="Times New Roman"/>
          <w:lang w:val="en-US"/>
        </w:rPr>
      </w:pPr>
      <w:r w:rsidRPr="00624C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4C70">
        <w:rPr>
          <w:rFonts w:ascii="Times New Roman" w:hAnsi="Times New Roman" w:cs="Times New Roman"/>
          <w:lang w:val="en-US"/>
        </w:rPr>
        <w:t>(0.230)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(0.0447)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(0.116)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(0.118)</w:t>
      </w:r>
    </w:p>
    <w:p w14:paraId="79530574" w14:textId="77777777" w:rsidR="0062273E" w:rsidRPr="00624C70" w:rsidRDefault="0062273E" w:rsidP="0062273E">
      <w:pPr>
        <w:rPr>
          <w:rFonts w:ascii="Times New Roman" w:hAnsi="Times New Roman" w:cs="Times New Roman"/>
          <w:lang w:val="en-US"/>
        </w:rPr>
      </w:pPr>
      <w:r w:rsidRPr="00624C70"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ab/>
      </w:r>
    </w:p>
    <w:p w14:paraId="01051A19" w14:textId="77777777" w:rsidR="0062273E" w:rsidRPr="00624C70" w:rsidRDefault="0062273E" w:rsidP="0062273E">
      <w:pPr>
        <w:rPr>
          <w:rFonts w:ascii="Times New Roman" w:hAnsi="Times New Roman" w:cs="Times New Roman"/>
          <w:lang w:val="en-US"/>
        </w:rPr>
      </w:pPr>
      <w:r w:rsidRPr="00624C70">
        <w:rPr>
          <w:rFonts w:ascii="Times New Roman" w:hAnsi="Times New Roman" w:cs="Times New Roman"/>
          <w:lang w:val="en-US"/>
        </w:rPr>
        <w:t>Observations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280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280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280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280</w:t>
      </w:r>
    </w:p>
    <w:p w14:paraId="3BC6D460" w14:textId="77777777" w:rsidR="0062273E" w:rsidRPr="00624C70" w:rsidRDefault="0062273E" w:rsidP="0062273E">
      <w:pPr>
        <w:rPr>
          <w:rFonts w:ascii="Times New Roman" w:hAnsi="Times New Roman" w:cs="Times New Roman"/>
          <w:lang w:val="en-US"/>
        </w:rPr>
      </w:pPr>
      <w:r w:rsidRPr="00624C70">
        <w:rPr>
          <w:rFonts w:ascii="Times New Roman" w:hAnsi="Times New Roman" w:cs="Times New Roman"/>
          <w:lang w:val="en-US"/>
        </w:rPr>
        <w:t>R-squared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0.143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0.443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0.489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0.536</w:t>
      </w:r>
    </w:p>
    <w:p w14:paraId="55CE2F8E" w14:textId="77777777" w:rsidR="0062273E" w:rsidRPr="00624C70" w:rsidRDefault="0062273E" w:rsidP="0062273E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Nb</w:t>
      </w:r>
      <w:proofErr w:type="spellEnd"/>
      <w:r w:rsidRPr="00624C70">
        <w:rPr>
          <w:rFonts w:ascii="Times New Roman" w:hAnsi="Times New Roman" w:cs="Times New Roman"/>
          <w:lang w:val="en-US"/>
        </w:rPr>
        <w:t xml:space="preserve"> of prov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10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10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10</w:t>
      </w:r>
      <w:r w:rsidRPr="00624C70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24C70">
        <w:rPr>
          <w:rFonts w:ascii="Times New Roman" w:hAnsi="Times New Roman" w:cs="Times New Roman"/>
          <w:lang w:val="en-US"/>
        </w:rPr>
        <w:t>10</w:t>
      </w:r>
    </w:p>
    <w:p w14:paraId="6203473B" w14:textId="77777777" w:rsidR="0062273E" w:rsidRDefault="0062273E">
      <w:pPr>
        <w:rPr>
          <w:b/>
          <w:lang w:val="en-CA"/>
        </w:rPr>
      </w:pPr>
    </w:p>
    <w:p w14:paraId="32D08ACF" w14:textId="77777777" w:rsidR="0062273E" w:rsidRPr="005D7E0F" w:rsidRDefault="00D8036E" w:rsidP="0062273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62273E" w:rsidRPr="005D7E0F">
        <w:rPr>
          <w:rFonts w:ascii="Times New Roman" w:hAnsi="Times New Roman" w:cs="Times New Roman"/>
          <w:lang w:val="en-US"/>
        </w:rPr>
        <w:t>tanda</w:t>
      </w:r>
      <w:r w:rsidR="0062273E">
        <w:rPr>
          <w:rFonts w:ascii="Times New Roman" w:hAnsi="Times New Roman" w:cs="Times New Roman"/>
          <w:lang w:val="en-US"/>
        </w:rPr>
        <w:t>rd errors in parentheses</w:t>
      </w:r>
      <w:r w:rsidR="0062273E">
        <w:rPr>
          <w:rFonts w:ascii="Times New Roman" w:hAnsi="Times New Roman" w:cs="Times New Roman"/>
          <w:lang w:val="en-US"/>
        </w:rPr>
        <w:tab/>
      </w:r>
      <w:r w:rsidR="0062273E">
        <w:rPr>
          <w:rFonts w:ascii="Times New Roman" w:hAnsi="Times New Roman" w:cs="Times New Roman"/>
          <w:lang w:val="en-US"/>
        </w:rPr>
        <w:tab/>
      </w:r>
      <w:r w:rsidR="0062273E">
        <w:rPr>
          <w:rFonts w:ascii="Times New Roman" w:hAnsi="Times New Roman" w:cs="Times New Roman"/>
          <w:lang w:val="en-US"/>
        </w:rPr>
        <w:tab/>
      </w:r>
      <w:r w:rsidR="0062273E">
        <w:rPr>
          <w:rFonts w:ascii="Times New Roman" w:hAnsi="Times New Roman" w:cs="Times New Roman"/>
          <w:lang w:val="en-US"/>
        </w:rPr>
        <w:tab/>
      </w:r>
      <w:r w:rsidR="0062273E">
        <w:rPr>
          <w:rFonts w:ascii="Times New Roman" w:hAnsi="Times New Roman" w:cs="Times New Roman"/>
          <w:lang w:val="en-US"/>
        </w:rPr>
        <w:tab/>
      </w:r>
      <w:r w:rsidR="0062273E">
        <w:rPr>
          <w:rFonts w:ascii="Times New Roman" w:hAnsi="Times New Roman" w:cs="Times New Roman"/>
          <w:lang w:val="en-US"/>
        </w:rPr>
        <w:tab/>
      </w:r>
      <w:r w:rsidR="0062273E">
        <w:rPr>
          <w:rFonts w:ascii="Times New Roman" w:hAnsi="Times New Roman" w:cs="Times New Roman"/>
          <w:lang w:val="en-US"/>
        </w:rPr>
        <w:tab/>
      </w:r>
    </w:p>
    <w:p w14:paraId="056A0204" w14:textId="77777777" w:rsidR="003254DF" w:rsidRDefault="0062273E" w:rsidP="0062273E">
      <w:pPr>
        <w:rPr>
          <w:rFonts w:ascii="Times New Roman" w:eastAsia="Times New Roman" w:hAnsi="Times New Roman" w:cs="Times New Roman"/>
          <w:b/>
          <w:lang w:val="en-CA" w:eastAsia="fr-FR"/>
        </w:rPr>
      </w:pPr>
      <w:r w:rsidRPr="005D7E0F">
        <w:rPr>
          <w:rFonts w:ascii="Times New Roman" w:hAnsi="Times New Roman" w:cs="Times New Roman"/>
          <w:lang w:val="en-US"/>
        </w:rPr>
        <w:t>*** p&lt;0.01, ** p&lt;0.05, * p&lt;0.1</w:t>
      </w:r>
      <w:r w:rsidR="003254DF">
        <w:rPr>
          <w:b/>
          <w:lang w:val="en-CA"/>
        </w:rPr>
        <w:br w:type="page"/>
      </w:r>
    </w:p>
    <w:p w14:paraId="4EDC0C9F" w14:textId="77777777" w:rsidR="006F2373" w:rsidRDefault="006F2373" w:rsidP="006F2373">
      <w:pPr>
        <w:pStyle w:val="NormalWeb"/>
        <w:spacing w:before="120" w:beforeAutospacing="0" w:after="0" w:afterAutospacing="0" w:line="276" w:lineRule="auto"/>
        <w:ind w:left="1134" w:hanging="992"/>
        <w:jc w:val="both"/>
        <w:rPr>
          <w:b/>
          <w:lang w:val="en-CA"/>
        </w:rPr>
      </w:pPr>
      <w:r>
        <w:rPr>
          <w:b/>
          <w:lang w:val="en-CA"/>
        </w:rPr>
        <w:lastRenderedPageBreak/>
        <w:t>Table SM</w:t>
      </w:r>
      <w:r w:rsidR="003254DF">
        <w:rPr>
          <w:b/>
          <w:lang w:val="en-CA"/>
        </w:rPr>
        <w:t>3</w:t>
      </w:r>
      <w:r>
        <w:rPr>
          <w:b/>
          <w:lang w:val="en-CA"/>
        </w:rPr>
        <w:t xml:space="preserve">: Random-effect model separating between- and within-province effects for the determinants of minimum income protection adequacy, four household types, Canadian provinces, 1990-2017 (PCSE procedure with </w:t>
      </w:r>
      <w:r w:rsidRPr="006F2373">
        <w:rPr>
          <w:b/>
          <w:lang w:val="en-CA"/>
        </w:rPr>
        <w:t>first order autocorrelation (ar1))</w:t>
      </w:r>
    </w:p>
    <w:p w14:paraId="6ADD204D" w14:textId="77777777" w:rsidR="006F2373" w:rsidRDefault="006F2373" w:rsidP="006F2373">
      <w:pPr>
        <w:pStyle w:val="NormalWeb"/>
        <w:spacing w:before="120" w:beforeAutospacing="0" w:after="0" w:afterAutospacing="0"/>
        <w:ind w:left="1134" w:hanging="992"/>
        <w:jc w:val="both"/>
        <w:rPr>
          <w:b/>
          <w:lang w:val="en-CA"/>
        </w:rPr>
      </w:pPr>
    </w:p>
    <w:p w14:paraId="402D236F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>Variables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  <w:t>Single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proofErr w:type="spellStart"/>
      <w:r w:rsidRPr="005D7E0F">
        <w:rPr>
          <w:rFonts w:ascii="Times New Roman" w:hAnsi="Times New Roman" w:cs="Times New Roman"/>
          <w:lang w:val="en-US"/>
        </w:rPr>
        <w:t>Single</w:t>
      </w:r>
      <w:proofErr w:type="spellEnd"/>
      <w:r w:rsidRPr="005D7E0F">
        <w:rPr>
          <w:rFonts w:ascii="Times New Roman" w:hAnsi="Times New Roman" w:cs="Times New Roman"/>
          <w:lang w:val="en-US"/>
        </w:rPr>
        <w:t xml:space="preserve"> with</w:t>
      </w:r>
      <w:r w:rsidRPr="005D7E0F">
        <w:rPr>
          <w:rFonts w:ascii="Times New Roman" w:hAnsi="Times New Roman" w:cs="Times New Roman"/>
          <w:lang w:val="en-US"/>
        </w:rPr>
        <w:tab/>
        <w:t>Single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="003254DF">
        <w:rPr>
          <w:rFonts w:ascii="Times New Roman" w:hAnsi="Times New Roman" w:cs="Times New Roman"/>
          <w:lang w:val="en-US"/>
        </w:rPr>
        <w:t>Four-person</w:t>
      </w:r>
    </w:p>
    <w:p w14:paraId="1EB51DBC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  <w:t>employable</w:t>
      </w:r>
      <w:r w:rsidRPr="005D7E0F">
        <w:rPr>
          <w:rFonts w:ascii="Times New Roman" w:hAnsi="Times New Roman" w:cs="Times New Roman"/>
          <w:lang w:val="en-US"/>
        </w:rPr>
        <w:tab/>
        <w:t>disability</w:t>
      </w:r>
      <w:r w:rsidRPr="005D7E0F">
        <w:rPr>
          <w:rFonts w:ascii="Times New Roman" w:hAnsi="Times New Roman" w:cs="Times New Roman"/>
          <w:lang w:val="en-US"/>
        </w:rPr>
        <w:tab/>
        <w:t>parent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  <w:t>family</w:t>
      </w:r>
    </w:p>
    <w:p w14:paraId="254288EB" w14:textId="77777777" w:rsidR="006F2373" w:rsidRPr="00CD1831" w:rsidRDefault="006F2373" w:rsidP="006F2373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048B6E20" w14:textId="77777777" w:rsidR="006F2373" w:rsidRPr="00192511" w:rsidRDefault="006F2373" w:rsidP="006F2373">
      <w:pPr>
        <w:rPr>
          <w:rFonts w:ascii="Times New Roman" w:hAnsi="Times New Roman" w:cs="Times New Roman"/>
          <w:i/>
        </w:rPr>
      </w:pPr>
      <w:proofErr w:type="spellStart"/>
      <w:r w:rsidRPr="00192511">
        <w:rPr>
          <w:rFonts w:ascii="Times New Roman" w:hAnsi="Times New Roman" w:cs="Times New Roman"/>
          <w:i/>
        </w:rPr>
        <w:t>Between</w:t>
      </w:r>
      <w:proofErr w:type="spellEnd"/>
      <w:r w:rsidRPr="00192511">
        <w:rPr>
          <w:rFonts w:ascii="Times New Roman" w:hAnsi="Times New Roman" w:cs="Times New Roman"/>
          <w:i/>
        </w:rPr>
        <w:t xml:space="preserve"> </w:t>
      </w:r>
      <w:proofErr w:type="spellStart"/>
      <w:r w:rsidRPr="00192511">
        <w:rPr>
          <w:rFonts w:ascii="Times New Roman" w:hAnsi="Times New Roman" w:cs="Times New Roman"/>
          <w:i/>
        </w:rPr>
        <w:t>effects</w:t>
      </w:r>
      <w:proofErr w:type="spellEnd"/>
    </w:p>
    <w:p w14:paraId="740C716D" w14:textId="77777777" w:rsidR="006F2373" w:rsidRPr="00E10621" w:rsidRDefault="006F2373" w:rsidP="006F2373">
      <w:pPr>
        <w:rPr>
          <w:rFonts w:ascii="Times New Roman" w:hAnsi="Times New Roman" w:cs="Times New Roman"/>
        </w:rPr>
      </w:pP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  <w:r w:rsidRPr="00E10621">
        <w:rPr>
          <w:rFonts w:ascii="Times New Roman" w:hAnsi="Times New Roman" w:cs="Times New Roman"/>
        </w:rPr>
        <w:tab/>
      </w:r>
    </w:p>
    <w:p w14:paraId="1C685E75" w14:textId="77777777" w:rsidR="006F2373" w:rsidRPr="006C7744" w:rsidRDefault="006F2373" w:rsidP="006F237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Centrist</w:t>
      </w:r>
      <w:proofErr w:type="spellEnd"/>
      <w:r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ab/>
      </w:r>
      <w:r w:rsidRPr="006C7744">
        <w:rPr>
          <w:rFonts w:ascii="Times New Roman" w:hAnsi="Times New Roman" w:cs="Times New Roman"/>
        </w:rPr>
        <w:t>-0.000143</w:t>
      </w:r>
      <w:r w:rsidRPr="006C7744">
        <w:rPr>
          <w:rFonts w:ascii="Times New Roman" w:hAnsi="Times New Roman" w:cs="Times New Roman"/>
        </w:rPr>
        <w:tab/>
        <w:t>0.00132</w:t>
      </w:r>
      <w:r w:rsidRPr="006C7744">
        <w:rPr>
          <w:rFonts w:ascii="Times New Roman" w:hAnsi="Times New Roman" w:cs="Times New Roman"/>
        </w:rPr>
        <w:tab/>
        <w:t>0.000968</w:t>
      </w:r>
      <w:r w:rsidRPr="006C7744">
        <w:rPr>
          <w:rFonts w:ascii="Times New Roman" w:hAnsi="Times New Roman" w:cs="Times New Roman"/>
        </w:rPr>
        <w:tab/>
        <w:t>-0.00133</w:t>
      </w:r>
    </w:p>
    <w:p w14:paraId="6AFC6BB8" w14:textId="77777777" w:rsidR="006F2373" w:rsidRPr="00E10621" w:rsidRDefault="006F2373" w:rsidP="006F2373">
      <w:pPr>
        <w:rPr>
          <w:rFonts w:ascii="Times New Roman" w:hAnsi="Times New Roman" w:cs="Times New Roman"/>
        </w:rPr>
      </w:pPr>
      <w:r w:rsidRPr="006C77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7744">
        <w:rPr>
          <w:rFonts w:ascii="Times New Roman" w:hAnsi="Times New Roman" w:cs="Times New Roman"/>
        </w:rPr>
        <w:t>(0.00224)</w:t>
      </w:r>
      <w:r w:rsidRPr="006C7744">
        <w:rPr>
          <w:rFonts w:ascii="Times New Roman" w:hAnsi="Times New Roman" w:cs="Times New Roman"/>
        </w:rPr>
        <w:tab/>
        <w:t>(0.00110)</w:t>
      </w:r>
      <w:r w:rsidRPr="006C77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(0.00138)</w:t>
      </w:r>
      <w:r>
        <w:rPr>
          <w:rFonts w:ascii="Times New Roman" w:hAnsi="Times New Roman" w:cs="Times New Roman"/>
        </w:rPr>
        <w:tab/>
        <w:t>(0.00147)</w:t>
      </w:r>
      <w:r>
        <w:rPr>
          <w:rFonts w:ascii="Times New Roman" w:hAnsi="Times New Roman" w:cs="Times New Roman"/>
        </w:rPr>
        <w:tab/>
      </w:r>
    </w:p>
    <w:p w14:paraId="70BD5B0A" w14:textId="77777777" w:rsidR="006F2373" w:rsidRPr="006C7744" w:rsidRDefault="006F2373" w:rsidP="006F2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Union density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</w:rPr>
        <w:t>0.00412***</w:t>
      </w:r>
      <w:r w:rsidRPr="006C7744">
        <w:rPr>
          <w:rFonts w:ascii="Times New Roman" w:hAnsi="Times New Roman" w:cs="Times New Roman"/>
        </w:rPr>
        <w:tab/>
        <w:t>0.00164***</w:t>
      </w:r>
      <w:r w:rsidRPr="006C7744">
        <w:rPr>
          <w:rFonts w:ascii="Times New Roman" w:hAnsi="Times New Roman" w:cs="Times New Roman"/>
        </w:rPr>
        <w:tab/>
        <w:t>0.00227***</w:t>
      </w:r>
      <w:r w:rsidRPr="006C7744">
        <w:rPr>
          <w:rFonts w:ascii="Times New Roman" w:hAnsi="Times New Roman" w:cs="Times New Roman"/>
        </w:rPr>
        <w:tab/>
        <w:t>0.000729</w:t>
      </w:r>
    </w:p>
    <w:p w14:paraId="2B5A8FBC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7744">
        <w:rPr>
          <w:rFonts w:ascii="Times New Roman" w:hAnsi="Times New Roman" w:cs="Times New Roman"/>
          <w:lang w:val="en-US"/>
        </w:rPr>
        <w:t>(0.00100)</w:t>
      </w:r>
      <w:r w:rsidRPr="006C7744">
        <w:rPr>
          <w:rFonts w:ascii="Times New Roman" w:hAnsi="Times New Roman" w:cs="Times New Roman"/>
          <w:lang w:val="en-US"/>
        </w:rPr>
        <w:tab/>
        <w:t>(0.000571)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(0.000788)</w:t>
      </w:r>
      <w:r>
        <w:rPr>
          <w:rFonts w:ascii="Times New Roman" w:hAnsi="Times New Roman" w:cs="Times New Roman"/>
          <w:lang w:val="en-US"/>
        </w:rPr>
        <w:tab/>
        <w:t>(0.000724)</w:t>
      </w:r>
    </w:p>
    <w:p w14:paraId="4C48F7F0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Poverty strategy</w:t>
      </w:r>
      <w:r w:rsidRPr="005D7E0F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-0.0778</w:t>
      </w:r>
      <w:r w:rsidRPr="006C7744">
        <w:rPr>
          <w:rFonts w:ascii="Times New Roman" w:hAnsi="Times New Roman" w:cs="Times New Roman"/>
          <w:lang w:val="en-US"/>
        </w:rPr>
        <w:tab/>
        <w:t>-0.164***</w:t>
      </w:r>
      <w:r w:rsidRPr="006C7744">
        <w:rPr>
          <w:rFonts w:ascii="Times New Roman" w:hAnsi="Times New Roman" w:cs="Times New Roman"/>
          <w:lang w:val="en-US"/>
        </w:rPr>
        <w:tab/>
        <w:t>-0.228***</w:t>
      </w:r>
      <w:r w:rsidRPr="006C7744">
        <w:rPr>
          <w:rFonts w:ascii="Times New Roman" w:hAnsi="Times New Roman" w:cs="Times New Roman"/>
          <w:lang w:val="en-US"/>
        </w:rPr>
        <w:tab/>
        <w:t>-0.0655</w:t>
      </w:r>
    </w:p>
    <w:p w14:paraId="265C8775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(0.0657)</w:t>
      </w:r>
      <w:r w:rsidRPr="006C7744">
        <w:rPr>
          <w:rFonts w:ascii="Times New Roman" w:hAnsi="Times New Roman" w:cs="Times New Roman"/>
          <w:lang w:val="en-US"/>
        </w:rPr>
        <w:tab/>
        <w:t>(0.0339)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(0.0547)</w:t>
      </w:r>
      <w:r>
        <w:rPr>
          <w:rFonts w:ascii="Times New Roman" w:hAnsi="Times New Roman" w:cs="Times New Roman"/>
          <w:lang w:val="en-US"/>
        </w:rPr>
        <w:tab/>
        <w:t>(0.0530)</w:t>
      </w:r>
    </w:p>
    <w:p w14:paraId="46C5621B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Redistribution</w:t>
      </w:r>
      <w:r w:rsidRPr="005D7E0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0.00103</w:t>
      </w:r>
      <w:r w:rsidRPr="006C7744">
        <w:rPr>
          <w:rFonts w:ascii="Times New Roman" w:hAnsi="Times New Roman" w:cs="Times New Roman"/>
          <w:lang w:val="en-US"/>
        </w:rPr>
        <w:tab/>
        <w:t>-0.00241***</w:t>
      </w:r>
      <w:r w:rsidRPr="006C7744">
        <w:rPr>
          <w:rFonts w:ascii="Times New Roman" w:hAnsi="Times New Roman" w:cs="Times New Roman"/>
          <w:lang w:val="en-US"/>
        </w:rPr>
        <w:tab/>
        <w:t>0.00626***</w:t>
      </w:r>
      <w:r w:rsidRPr="006C7744">
        <w:rPr>
          <w:rFonts w:ascii="Times New Roman" w:hAnsi="Times New Roman" w:cs="Times New Roman"/>
          <w:lang w:val="en-US"/>
        </w:rPr>
        <w:tab/>
        <w:t>0.00899***</w:t>
      </w:r>
    </w:p>
    <w:p w14:paraId="1D516E0B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(0.00216)</w:t>
      </w:r>
      <w:r w:rsidRPr="006C7744">
        <w:rPr>
          <w:rFonts w:ascii="Times New Roman" w:hAnsi="Times New Roman" w:cs="Times New Roman"/>
          <w:lang w:val="en-US"/>
        </w:rPr>
        <w:tab/>
        <w:t>(0.000875)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(0.00124)</w:t>
      </w:r>
      <w:r>
        <w:rPr>
          <w:rFonts w:ascii="Times New Roman" w:hAnsi="Times New Roman" w:cs="Times New Roman"/>
          <w:lang w:val="en-US"/>
        </w:rPr>
        <w:tab/>
        <w:t>(0.00125)</w:t>
      </w:r>
    </w:p>
    <w:p w14:paraId="57F7535E" w14:textId="77777777" w:rsidR="006F2373" w:rsidRPr="006C7744" w:rsidRDefault="00DA46CE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Recipiency </w:t>
      </w:r>
      <w:r w:rsidR="006F2373">
        <w:rPr>
          <w:rFonts w:ascii="Times New Roman" w:hAnsi="Times New Roman" w:cs="Times New Roman"/>
          <w:lang w:val="en-US"/>
        </w:rPr>
        <w:t>rate</w:t>
      </w:r>
      <w:r w:rsidR="006F2373" w:rsidRPr="005D7E0F">
        <w:rPr>
          <w:rFonts w:ascii="Times New Roman" w:hAnsi="Times New Roman" w:cs="Times New Roman"/>
          <w:lang w:val="en-US"/>
        </w:rPr>
        <w:tab/>
      </w:r>
      <w:r w:rsidR="006F2373" w:rsidRPr="006C7744">
        <w:rPr>
          <w:rFonts w:ascii="Times New Roman" w:hAnsi="Times New Roman" w:cs="Times New Roman"/>
          <w:lang w:val="en-US"/>
        </w:rPr>
        <w:t>0.0117</w:t>
      </w:r>
      <w:r w:rsidR="006F2373" w:rsidRPr="006C7744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  <w:r w:rsidR="006F2373" w:rsidRPr="006C7744">
        <w:rPr>
          <w:rFonts w:ascii="Times New Roman" w:hAnsi="Times New Roman" w:cs="Times New Roman"/>
          <w:lang w:val="en-US"/>
        </w:rPr>
        <w:t>0.0408***</w:t>
      </w:r>
      <w:r w:rsidR="006F2373" w:rsidRPr="006C7744">
        <w:rPr>
          <w:rFonts w:ascii="Times New Roman" w:hAnsi="Times New Roman" w:cs="Times New Roman"/>
          <w:lang w:val="en-US"/>
        </w:rPr>
        <w:tab/>
        <w:t>0.0315***</w:t>
      </w:r>
      <w:r w:rsidR="006F2373" w:rsidRPr="006C7744">
        <w:rPr>
          <w:rFonts w:ascii="Times New Roman" w:hAnsi="Times New Roman" w:cs="Times New Roman"/>
          <w:lang w:val="en-US"/>
        </w:rPr>
        <w:tab/>
        <w:t>0.00271</w:t>
      </w:r>
    </w:p>
    <w:p w14:paraId="46461FE7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(0.00931)</w:t>
      </w:r>
      <w:r w:rsidRPr="006C7744">
        <w:rPr>
          <w:rFonts w:ascii="Times New Roman" w:hAnsi="Times New Roman" w:cs="Times New Roman"/>
          <w:lang w:val="en-US"/>
        </w:rPr>
        <w:tab/>
        <w:t>(0.00284)</w:t>
      </w:r>
      <w:r w:rsidRPr="006C7744">
        <w:rPr>
          <w:rFonts w:ascii="Times New Roman" w:hAnsi="Times New Roman" w:cs="Times New Roman"/>
          <w:lang w:val="en-US"/>
        </w:rPr>
        <w:tab/>
        <w:t>(0.00476)</w:t>
      </w:r>
      <w:r w:rsidRPr="006C7744">
        <w:rPr>
          <w:rFonts w:ascii="Times New Roman" w:hAnsi="Times New Roman" w:cs="Times New Roman"/>
          <w:lang w:val="en-US"/>
        </w:rPr>
        <w:tab/>
        <w:t>(0.00462)</w:t>
      </w:r>
    </w:p>
    <w:p w14:paraId="0B42CA32" w14:textId="77777777" w:rsidR="006F2373" w:rsidRDefault="006F2373" w:rsidP="006F2373">
      <w:pPr>
        <w:rPr>
          <w:rFonts w:ascii="Times New Roman" w:hAnsi="Times New Roman" w:cs="Times New Roman"/>
          <w:i/>
          <w:lang w:val="en-US"/>
        </w:rPr>
      </w:pPr>
    </w:p>
    <w:p w14:paraId="1C539B83" w14:textId="77777777" w:rsidR="006F2373" w:rsidRPr="00192511" w:rsidRDefault="006F2373" w:rsidP="006F2373">
      <w:pPr>
        <w:rPr>
          <w:rFonts w:ascii="Times New Roman" w:hAnsi="Times New Roman" w:cs="Times New Roman"/>
          <w:i/>
          <w:lang w:val="en-US"/>
        </w:rPr>
      </w:pPr>
      <w:r w:rsidRPr="00192511">
        <w:rPr>
          <w:rFonts w:ascii="Times New Roman" w:hAnsi="Times New Roman" w:cs="Times New Roman"/>
          <w:i/>
          <w:lang w:val="en-US"/>
        </w:rPr>
        <w:t>Within effects</w:t>
      </w:r>
    </w:p>
    <w:p w14:paraId="4E819EAC" w14:textId="77777777" w:rsidR="006F2373" w:rsidRDefault="006F2373" w:rsidP="006F2373">
      <w:pPr>
        <w:rPr>
          <w:rFonts w:ascii="Times New Roman" w:hAnsi="Times New Roman" w:cs="Times New Roman"/>
          <w:lang w:val="en-US"/>
        </w:rPr>
      </w:pPr>
    </w:p>
    <w:p w14:paraId="5DB0FB28" w14:textId="77777777" w:rsidR="006F2373" w:rsidRPr="006C7744" w:rsidRDefault="006F2373" w:rsidP="006F237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Centrist</w:t>
      </w:r>
      <w:proofErr w:type="spellEnd"/>
      <w:r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ab/>
      </w:r>
      <w:r w:rsidRPr="006C7744">
        <w:rPr>
          <w:rFonts w:ascii="Times New Roman" w:hAnsi="Times New Roman" w:cs="Times New Roman"/>
        </w:rPr>
        <w:t>0.00326</w:t>
      </w:r>
      <w:r w:rsidRPr="006C7744">
        <w:rPr>
          <w:rFonts w:ascii="Times New Roman" w:hAnsi="Times New Roman" w:cs="Times New Roman"/>
        </w:rPr>
        <w:tab/>
        <w:t>0.00309***</w:t>
      </w:r>
      <w:r w:rsidRPr="006C7744">
        <w:rPr>
          <w:rFonts w:ascii="Times New Roman" w:hAnsi="Times New Roman" w:cs="Times New Roman"/>
        </w:rPr>
        <w:tab/>
        <w:t>0.00958***</w:t>
      </w:r>
      <w:r w:rsidRPr="006C7744">
        <w:rPr>
          <w:rFonts w:ascii="Times New Roman" w:hAnsi="Times New Roman" w:cs="Times New Roman"/>
        </w:rPr>
        <w:tab/>
        <w:t>0.0115***</w:t>
      </w:r>
    </w:p>
    <w:p w14:paraId="69A02317" w14:textId="77777777" w:rsidR="006F2373" w:rsidRPr="006C7744" w:rsidRDefault="006F2373" w:rsidP="006F2373">
      <w:pPr>
        <w:rPr>
          <w:rFonts w:ascii="Times New Roman" w:hAnsi="Times New Roman" w:cs="Times New Roman"/>
        </w:rPr>
      </w:pPr>
      <w:r w:rsidRPr="006C77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7744">
        <w:rPr>
          <w:rFonts w:ascii="Times New Roman" w:hAnsi="Times New Roman" w:cs="Times New Roman"/>
        </w:rPr>
        <w:t>(0.00220)</w:t>
      </w:r>
      <w:r w:rsidRPr="006C7744">
        <w:rPr>
          <w:rFonts w:ascii="Times New Roman" w:hAnsi="Times New Roman" w:cs="Times New Roman"/>
        </w:rPr>
        <w:tab/>
        <w:t>(0.00109)</w:t>
      </w:r>
      <w:r w:rsidRPr="006C7744">
        <w:rPr>
          <w:rFonts w:ascii="Times New Roman" w:hAnsi="Times New Roman" w:cs="Times New Roman"/>
        </w:rPr>
        <w:tab/>
        <w:t>(0.00150)</w:t>
      </w:r>
      <w:r w:rsidRPr="006C7744">
        <w:rPr>
          <w:rFonts w:ascii="Times New Roman" w:hAnsi="Times New Roman" w:cs="Times New Roman"/>
        </w:rPr>
        <w:tab/>
        <w:t>(0.00158)</w:t>
      </w:r>
    </w:p>
    <w:p w14:paraId="3F6F2955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Union density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-0.00150</w:t>
      </w:r>
      <w:r w:rsidRPr="006C7744">
        <w:rPr>
          <w:rFonts w:ascii="Times New Roman" w:hAnsi="Times New Roman" w:cs="Times New Roman"/>
          <w:lang w:val="en-US"/>
        </w:rPr>
        <w:tab/>
        <w:t>-0.00633***</w:t>
      </w:r>
      <w:r w:rsidRPr="006C7744">
        <w:rPr>
          <w:rFonts w:ascii="Times New Roman" w:hAnsi="Times New Roman" w:cs="Times New Roman"/>
          <w:lang w:val="en-US"/>
        </w:rPr>
        <w:tab/>
        <w:t>-0.00304*</w:t>
      </w:r>
      <w:r w:rsidRPr="006C7744">
        <w:rPr>
          <w:rFonts w:ascii="Times New Roman" w:hAnsi="Times New Roman" w:cs="Times New Roman"/>
          <w:lang w:val="en-US"/>
        </w:rPr>
        <w:tab/>
        <w:t>-0.00118</w:t>
      </w:r>
    </w:p>
    <w:p w14:paraId="26918503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(0.00216)</w:t>
      </w:r>
      <w:r w:rsidRPr="006C7744">
        <w:rPr>
          <w:rFonts w:ascii="Times New Roman" w:hAnsi="Times New Roman" w:cs="Times New Roman"/>
          <w:lang w:val="en-US"/>
        </w:rPr>
        <w:tab/>
        <w:t>(0.00158)</w:t>
      </w:r>
      <w:r w:rsidRPr="006C7744">
        <w:rPr>
          <w:rFonts w:ascii="Times New Roman" w:hAnsi="Times New Roman" w:cs="Times New Roman"/>
          <w:lang w:val="en-US"/>
        </w:rPr>
        <w:tab/>
        <w:t>(0.00184)</w:t>
      </w:r>
      <w:r w:rsidRPr="006C7744">
        <w:rPr>
          <w:rFonts w:ascii="Times New Roman" w:hAnsi="Times New Roman" w:cs="Times New Roman"/>
          <w:lang w:val="en-US"/>
        </w:rPr>
        <w:tab/>
        <w:t>(0.00188)</w:t>
      </w:r>
    </w:p>
    <w:p w14:paraId="37A8837B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Poverty strategy</w:t>
      </w:r>
      <w:r w:rsidRPr="005D7E0F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0.0207*</w:t>
      </w:r>
      <w:r w:rsidRPr="006C7744">
        <w:rPr>
          <w:rFonts w:ascii="Times New Roman" w:hAnsi="Times New Roman" w:cs="Times New Roman"/>
          <w:lang w:val="en-US"/>
        </w:rPr>
        <w:tab/>
        <w:t>0.00318</w:t>
      </w:r>
      <w:r w:rsidRPr="006C7744">
        <w:rPr>
          <w:rFonts w:ascii="Times New Roman" w:hAnsi="Times New Roman" w:cs="Times New Roman"/>
          <w:lang w:val="en-US"/>
        </w:rPr>
        <w:tab/>
        <w:t>0.0204**</w:t>
      </w:r>
      <w:r w:rsidRPr="006C7744">
        <w:rPr>
          <w:rFonts w:ascii="Times New Roman" w:hAnsi="Times New Roman" w:cs="Times New Roman"/>
          <w:lang w:val="en-US"/>
        </w:rPr>
        <w:tab/>
        <w:t>0.0141</w:t>
      </w:r>
    </w:p>
    <w:p w14:paraId="56C8D2C9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(0.0118)</w:t>
      </w:r>
      <w:r w:rsidRPr="006C7744">
        <w:rPr>
          <w:rFonts w:ascii="Times New Roman" w:hAnsi="Times New Roman" w:cs="Times New Roman"/>
          <w:lang w:val="en-US"/>
        </w:rPr>
        <w:tab/>
        <w:t>(0.00770)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(0.0102)</w:t>
      </w:r>
      <w:r>
        <w:rPr>
          <w:rFonts w:ascii="Times New Roman" w:hAnsi="Times New Roman" w:cs="Times New Roman"/>
          <w:lang w:val="en-US"/>
        </w:rPr>
        <w:tab/>
        <w:t>(0.0101)</w:t>
      </w:r>
    </w:p>
    <w:p w14:paraId="714B3F56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Redistribution</w:t>
      </w:r>
      <w:r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0.000366</w:t>
      </w:r>
      <w:r w:rsidRPr="006C7744">
        <w:rPr>
          <w:rFonts w:ascii="Times New Roman" w:hAnsi="Times New Roman" w:cs="Times New Roman"/>
          <w:lang w:val="en-US"/>
        </w:rPr>
        <w:tab/>
        <w:t>0.00295*</w:t>
      </w:r>
      <w:r w:rsidRPr="006C7744">
        <w:rPr>
          <w:rFonts w:ascii="Times New Roman" w:hAnsi="Times New Roman" w:cs="Times New Roman"/>
          <w:lang w:val="en-US"/>
        </w:rPr>
        <w:tab/>
        <w:t>0.00133</w:t>
      </w:r>
      <w:r w:rsidRPr="006C7744">
        <w:rPr>
          <w:rFonts w:ascii="Times New Roman" w:hAnsi="Times New Roman" w:cs="Times New Roman"/>
          <w:lang w:val="en-US"/>
        </w:rPr>
        <w:tab/>
        <w:t>0.00307</w:t>
      </w:r>
    </w:p>
    <w:p w14:paraId="6EC9A9AB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(0.00221)</w:t>
      </w:r>
      <w:r w:rsidRPr="006C7744">
        <w:rPr>
          <w:rFonts w:ascii="Times New Roman" w:hAnsi="Times New Roman" w:cs="Times New Roman"/>
          <w:lang w:val="en-US"/>
        </w:rPr>
        <w:tab/>
        <w:t>(0.00153)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(0.00198)</w:t>
      </w:r>
      <w:r>
        <w:rPr>
          <w:rFonts w:ascii="Times New Roman" w:hAnsi="Times New Roman" w:cs="Times New Roman"/>
          <w:lang w:val="en-US"/>
        </w:rPr>
        <w:tab/>
        <w:t>(0.00198)</w:t>
      </w:r>
      <w:r>
        <w:rPr>
          <w:rFonts w:ascii="Times New Roman" w:hAnsi="Times New Roman" w:cs="Times New Roman"/>
          <w:lang w:val="en-US"/>
        </w:rPr>
        <w:tab/>
      </w:r>
    </w:p>
    <w:p w14:paraId="497F06D2" w14:textId="77777777" w:rsidR="006F2373" w:rsidRPr="006C7744" w:rsidRDefault="00DA46CE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Recipiency </w:t>
      </w:r>
      <w:r w:rsidR="006F2373">
        <w:rPr>
          <w:rFonts w:ascii="Times New Roman" w:hAnsi="Times New Roman" w:cs="Times New Roman"/>
          <w:lang w:val="en-US"/>
        </w:rPr>
        <w:t>rate</w:t>
      </w:r>
      <w:r w:rsidR="006F2373" w:rsidRPr="005D7E0F">
        <w:rPr>
          <w:rFonts w:ascii="Times New Roman" w:hAnsi="Times New Roman" w:cs="Times New Roman"/>
          <w:lang w:val="en-US"/>
        </w:rPr>
        <w:tab/>
      </w:r>
      <w:r w:rsidR="006F2373" w:rsidRPr="006C7744">
        <w:rPr>
          <w:rFonts w:ascii="Times New Roman" w:hAnsi="Times New Roman" w:cs="Times New Roman"/>
          <w:lang w:val="en-US"/>
        </w:rPr>
        <w:t>0.00508</w:t>
      </w:r>
      <w:r w:rsidR="006F2373" w:rsidRPr="006C7744">
        <w:rPr>
          <w:rFonts w:ascii="Times New Roman" w:hAnsi="Times New Roman" w:cs="Times New Roman"/>
          <w:lang w:val="en-US"/>
        </w:rPr>
        <w:tab/>
        <w:t>0.00831***</w:t>
      </w:r>
      <w:r w:rsidR="006F2373" w:rsidRPr="006C7744">
        <w:rPr>
          <w:rFonts w:ascii="Times New Roman" w:hAnsi="Times New Roman" w:cs="Times New Roman"/>
          <w:lang w:val="en-US"/>
        </w:rPr>
        <w:tab/>
        <w:t>0.00537*</w:t>
      </w:r>
      <w:r w:rsidR="006F2373" w:rsidRPr="006C7744">
        <w:rPr>
          <w:rFonts w:ascii="Times New Roman" w:hAnsi="Times New Roman" w:cs="Times New Roman"/>
          <w:lang w:val="en-US"/>
        </w:rPr>
        <w:tab/>
        <w:t>0.00312</w:t>
      </w:r>
    </w:p>
    <w:p w14:paraId="29359050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(0.00341)</w:t>
      </w:r>
      <w:r w:rsidRPr="006C7744">
        <w:rPr>
          <w:rFonts w:ascii="Times New Roman" w:hAnsi="Times New Roman" w:cs="Times New Roman"/>
          <w:lang w:val="en-US"/>
        </w:rPr>
        <w:tab/>
        <w:t>(0.00212)</w:t>
      </w:r>
      <w:r w:rsidRPr="006C7744">
        <w:rPr>
          <w:rFonts w:ascii="Times New Roman" w:hAnsi="Times New Roman" w:cs="Times New Roman"/>
          <w:lang w:val="en-US"/>
        </w:rPr>
        <w:tab/>
        <w:t>(0.00286)</w:t>
      </w:r>
      <w:r w:rsidRPr="006C7744">
        <w:rPr>
          <w:rFonts w:ascii="Times New Roman" w:hAnsi="Times New Roman" w:cs="Times New Roman"/>
          <w:lang w:val="en-US"/>
        </w:rPr>
        <w:tab/>
        <w:t>(0.00301)</w:t>
      </w:r>
    </w:p>
    <w:p w14:paraId="06EE27BB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</w:p>
    <w:p w14:paraId="7976DC2A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>Constant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0.0300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0.138***</w:t>
      </w:r>
      <w:r w:rsidRPr="006C7744">
        <w:rPr>
          <w:rFonts w:ascii="Times New Roman" w:hAnsi="Times New Roman" w:cs="Times New Roman"/>
          <w:lang w:val="en-US"/>
        </w:rPr>
        <w:tab/>
        <w:t>-0.0308</w:t>
      </w:r>
      <w:r w:rsidRPr="006C7744">
        <w:rPr>
          <w:rFonts w:ascii="Times New Roman" w:hAnsi="Times New Roman" w:cs="Times New Roman"/>
          <w:lang w:val="en-US"/>
        </w:rPr>
        <w:tab/>
        <w:t>0.106**</w:t>
      </w:r>
    </w:p>
    <w:p w14:paraId="5FE9300A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(0.0891)</w:t>
      </w:r>
      <w:r w:rsidRPr="006C7744">
        <w:rPr>
          <w:rFonts w:ascii="Times New Roman" w:hAnsi="Times New Roman" w:cs="Times New Roman"/>
          <w:lang w:val="en-US"/>
        </w:rPr>
        <w:tab/>
        <w:t>(0.0237)</w:t>
      </w:r>
      <w:r w:rsidRPr="006C7744">
        <w:rPr>
          <w:rFonts w:ascii="Times New Roman" w:hAnsi="Times New Roman" w:cs="Times New Roman"/>
          <w:lang w:val="en-US"/>
        </w:rPr>
        <w:tab/>
        <w:t>(0.0426)</w:t>
      </w:r>
      <w:r w:rsidRPr="006C7744">
        <w:rPr>
          <w:rFonts w:ascii="Times New Roman" w:hAnsi="Times New Roman" w:cs="Times New Roman"/>
          <w:lang w:val="en-US"/>
        </w:rPr>
        <w:tab/>
        <w:t>(0.0442)</w:t>
      </w:r>
    </w:p>
    <w:p w14:paraId="0FE4E858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ab/>
      </w:r>
    </w:p>
    <w:p w14:paraId="5BB24358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>Observations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280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280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280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280</w:t>
      </w:r>
    </w:p>
    <w:p w14:paraId="60CE7CD4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>R-squared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0.317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0.661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0.600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0.510</w:t>
      </w:r>
    </w:p>
    <w:p w14:paraId="6C97C680" w14:textId="77777777" w:rsidR="006F2373" w:rsidRPr="006C7744" w:rsidRDefault="006F2373" w:rsidP="006F2373">
      <w:pPr>
        <w:rPr>
          <w:rFonts w:ascii="Times New Roman" w:hAnsi="Times New Roman" w:cs="Times New Roman"/>
          <w:lang w:val="en-US"/>
        </w:rPr>
      </w:pPr>
      <w:r w:rsidRPr="006C7744">
        <w:rPr>
          <w:rFonts w:ascii="Times New Roman" w:hAnsi="Times New Roman" w:cs="Times New Roman"/>
          <w:lang w:val="en-US"/>
        </w:rPr>
        <w:t>Number of prov</w:t>
      </w:r>
      <w:r w:rsidRPr="006C7744">
        <w:rPr>
          <w:rFonts w:ascii="Times New Roman" w:hAnsi="Times New Roman" w:cs="Times New Roman"/>
          <w:lang w:val="en-US"/>
        </w:rPr>
        <w:tab/>
        <w:t>10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10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10</w:t>
      </w:r>
      <w:r w:rsidRPr="006C774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C7744">
        <w:rPr>
          <w:rFonts w:ascii="Times New Roman" w:hAnsi="Times New Roman" w:cs="Times New Roman"/>
          <w:lang w:val="en-US"/>
        </w:rPr>
        <w:t>10</w:t>
      </w:r>
    </w:p>
    <w:p w14:paraId="15A71583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</w:p>
    <w:p w14:paraId="45F1038D" w14:textId="77777777" w:rsidR="006F2373" w:rsidRPr="005D7E0F" w:rsidRDefault="00D8036E" w:rsidP="006F237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6F2373" w:rsidRPr="005D7E0F">
        <w:rPr>
          <w:rFonts w:ascii="Times New Roman" w:hAnsi="Times New Roman" w:cs="Times New Roman"/>
          <w:lang w:val="en-US"/>
        </w:rPr>
        <w:t>tanda</w:t>
      </w:r>
      <w:r w:rsidR="006F2373">
        <w:rPr>
          <w:rFonts w:ascii="Times New Roman" w:hAnsi="Times New Roman" w:cs="Times New Roman"/>
          <w:lang w:val="en-US"/>
        </w:rPr>
        <w:t>rd errors in parentheses</w:t>
      </w:r>
      <w:r w:rsidR="006F2373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  <w:r w:rsidR="006F2373">
        <w:rPr>
          <w:rFonts w:ascii="Times New Roman" w:hAnsi="Times New Roman" w:cs="Times New Roman"/>
          <w:lang w:val="en-US"/>
        </w:rPr>
        <w:tab/>
      </w:r>
    </w:p>
    <w:p w14:paraId="4A222492" w14:textId="77777777" w:rsidR="006F2373" w:rsidRPr="005D7E0F" w:rsidRDefault="006F2373" w:rsidP="006F2373">
      <w:pPr>
        <w:rPr>
          <w:rFonts w:ascii="Times New Roman" w:hAnsi="Times New Roman" w:cs="Times New Roman"/>
          <w:lang w:val="en-US"/>
        </w:rPr>
      </w:pPr>
      <w:r w:rsidRPr="005D7E0F">
        <w:rPr>
          <w:rFonts w:ascii="Times New Roman" w:hAnsi="Times New Roman" w:cs="Times New Roman"/>
          <w:lang w:val="en-US"/>
        </w:rPr>
        <w:t>*** p&lt;0.01, ** p&lt;0.05, * p&lt;0.1</w:t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  <w:r w:rsidRPr="005D7E0F">
        <w:rPr>
          <w:rFonts w:ascii="Times New Roman" w:hAnsi="Times New Roman" w:cs="Times New Roman"/>
          <w:lang w:val="en-US"/>
        </w:rPr>
        <w:tab/>
      </w:r>
    </w:p>
    <w:p w14:paraId="1AE1C18B" w14:textId="77777777" w:rsidR="000E4E53" w:rsidRPr="00C14679" w:rsidRDefault="00C91FE3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sectPr w:rsidR="000E4E53" w:rsidRPr="00C14679" w:rsidSect="007A0F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F61D" w14:textId="77777777" w:rsidR="00EF0017" w:rsidRDefault="00EF0017">
      <w:r>
        <w:separator/>
      </w:r>
    </w:p>
  </w:endnote>
  <w:endnote w:type="continuationSeparator" w:id="0">
    <w:p w14:paraId="243E16B6" w14:textId="77777777" w:rsidR="00EF0017" w:rsidRDefault="00EF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096D4" w14:textId="77777777" w:rsidR="00EF0017" w:rsidRDefault="00EF0017">
      <w:r>
        <w:separator/>
      </w:r>
    </w:p>
  </w:footnote>
  <w:footnote w:type="continuationSeparator" w:id="0">
    <w:p w14:paraId="35EBC0D7" w14:textId="77777777" w:rsidR="00EF0017" w:rsidRDefault="00EF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875183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ADCC3E2" w14:textId="77777777" w:rsidR="00673F52" w:rsidRDefault="00C91FE3" w:rsidP="00831F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38B46" w14:textId="77777777" w:rsidR="00673F52" w:rsidRDefault="00EF0017" w:rsidP="003F523E">
    <w:pPr>
      <w:pStyle w:val="Header"/>
      <w:ind w:right="360"/>
    </w:pPr>
  </w:p>
  <w:p w14:paraId="2A12AB90" w14:textId="77777777" w:rsidR="00673F52" w:rsidRDefault="00EF00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9422602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82F45E" w14:textId="77777777" w:rsidR="00673F52" w:rsidRPr="00E87847" w:rsidRDefault="00C91FE3" w:rsidP="00831FEF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E87847">
          <w:rPr>
            <w:rStyle w:val="PageNumber"/>
            <w:rFonts w:ascii="Times New Roman" w:hAnsi="Times New Roman" w:cs="Times New Roman"/>
          </w:rPr>
          <w:fldChar w:fldCharType="begin"/>
        </w:r>
        <w:r w:rsidRPr="00E8784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87847">
          <w:rPr>
            <w:rStyle w:val="PageNumber"/>
            <w:rFonts w:ascii="Times New Roman" w:hAnsi="Times New Roman" w:cs="Times New Roman"/>
          </w:rPr>
          <w:fldChar w:fldCharType="separate"/>
        </w:r>
        <w:r w:rsidRPr="00E87847">
          <w:rPr>
            <w:rStyle w:val="PageNumber"/>
            <w:rFonts w:ascii="Times New Roman" w:hAnsi="Times New Roman" w:cs="Times New Roman"/>
            <w:noProof/>
          </w:rPr>
          <w:t>2</w:t>
        </w:r>
        <w:r w:rsidRPr="00E8784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EE5BF5F" w14:textId="77777777" w:rsidR="00673F52" w:rsidRPr="00E87847" w:rsidRDefault="00EF0017" w:rsidP="003F523E">
    <w:pPr>
      <w:pStyle w:val="Header"/>
      <w:ind w:right="360"/>
      <w:rPr>
        <w:rFonts w:ascii="Times New Roman" w:hAnsi="Times New Roman" w:cs="Times New Roman"/>
      </w:rPr>
    </w:pPr>
  </w:p>
  <w:p w14:paraId="2EEB77DB" w14:textId="77777777" w:rsidR="00673F52" w:rsidRDefault="00EF0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7C"/>
    <w:rsid w:val="0000297C"/>
    <w:rsid w:val="00072F3A"/>
    <w:rsid w:val="00076BD7"/>
    <w:rsid w:val="000D44DD"/>
    <w:rsid w:val="00254997"/>
    <w:rsid w:val="0026147B"/>
    <w:rsid w:val="00272F8E"/>
    <w:rsid w:val="002B6A7F"/>
    <w:rsid w:val="00300D19"/>
    <w:rsid w:val="00321E3C"/>
    <w:rsid w:val="003254DF"/>
    <w:rsid w:val="00361594"/>
    <w:rsid w:val="003B1B79"/>
    <w:rsid w:val="003B5DED"/>
    <w:rsid w:val="0040796E"/>
    <w:rsid w:val="00497499"/>
    <w:rsid w:val="004D66E4"/>
    <w:rsid w:val="004E2814"/>
    <w:rsid w:val="00504345"/>
    <w:rsid w:val="005B4A27"/>
    <w:rsid w:val="0062273E"/>
    <w:rsid w:val="006D298B"/>
    <w:rsid w:val="006F2373"/>
    <w:rsid w:val="007007E9"/>
    <w:rsid w:val="007247E3"/>
    <w:rsid w:val="00763627"/>
    <w:rsid w:val="007A0FF2"/>
    <w:rsid w:val="008C4DA6"/>
    <w:rsid w:val="009A68E0"/>
    <w:rsid w:val="00A0649A"/>
    <w:rsid w:val="00A15701"/>
    <w:rsid w:val="00A808C3"/>
    <w:rsid w:val="00AA5B3B"/>
    <w:rsid w:val="00AD668B"/>
    <w:rsid w:val="00B65301"/>
    <w:rsid w:val="00BA5237"/>
    <w:rsid w:val="00C06292"/>
    <w:rsid w:val="00C14679"/>
    <w:rsid w:val="00C4795D"/>
    <w:rsid w:val="00C51AC8"/>
    <w:rsid w:val="00C56EAB"/>
    <w:rsid w:val="00C91FE3"/>
    <w:rsid w:val="00CB3C0F"/>
    <w:rsid w:val="00CC7C35"/>
    <w:rsid w:val="00CD034D"/>
    <w:rsid w:val="00D169A5"/>
    <w:rsid w:val="00D8036E"/>
    <w:rsid w:val="00DA46CE"/>
    <w:rsid w:val="00DA5606"/>
    <w:rsid w:val="00EF0017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4C3CB"/>
  <w15:chartTrackingRefBased/>
  <w15:docId w15:val="{346F105C-4123-FF45-8C07-5CC16F43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9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029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7C"/>
  </w:style>
  <w:style w:type="character" w:styleId="PageNumber">
    <w:name w:val="page number"/>
    <w:basedOn w:val="DefaultParagraphFont"/>
    <w:uiPriority w:val="99"/>
    <w:semiHidden/>
    <w:unhideWhenUsed/>
    <w:rsid w:val="0000297C"/>
  </w:style>
  <w:style w:type="table" w:styleId="GridTable7ColourfulAccent3">
    <w:name w:val="Grid Table 7 Colorful Accent 3"/>
    <w:basedOn w:val="TableNormal"/>
    <w:uiPriority w:val="52"/>
    <w:rsid w:val="0000297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68E0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9A68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tatcan.gc.ca/census-recensement/2016/ref/dict/tab/t4_2-eng.cf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lain/Dropbox/MIP%20Provinces%202019/MIPprovinc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lain/Dropbox/MIP%20Provinces%202019/MIPprovinc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'Adeq2010MonopProv+OECD'!$A$2:$A$28</c:f>
              <c:strCache>
                <c:ptCount val="27"/>
                <c:pt idx="0">
                  <c:v>United States</c:v>
                </c:pt>
                <c:pt idx="1">
                  <c:v>Spain</c:v>
                </c:pt>
                <c:pt idx="2">
                  <c:v>Alberta</c:v>
                </c:pt>
                <c:pt idx="3">
                  <c:v>France</c:v>
                </c:pt>
                <c:pt idx="4">
                  <c:v>Norway</c:v>
                </c:pt>
                <c:pt idx="5">
                  <c:v>Manitoba</c:v>
                </c:pt>
                <c:pt idx="6">
                  <c:v>Austria (2009)</c:v>
                </c:pt>
                <c:pt idx="7">
                  <c:v>Ontario</c:v>
                </c:pt>
                <c:pt idx="8">
                  <c:v>Australia</c:v>
                </c:pt>
                <c:pt idx="9">
                  <c:v>Saskatchewan</c:v>
                </c:pt>
                <c:pt idx="10">
                  <c:v>Nova Scotia</c:v>
                </c:pt>
                <c:pt idx="11">
                  <c:v>Sweden</c:v>
                </c:pt>
                <c:pt idx="12">
                  <c:v>British Columbia</c:v>
                </c:pt>
                <c:pt idx="13">
                  <c:v>Belgium</c:v>
                </c:pt>
                <c:pt idx="14">
                  <c:v>New Brunswick</c:v>
                </c:pt>
                <c:pt idx="15">
                  <c:v>Quebec</c:v>
                </c:pt>
                <c:pt idx="16">
                  <c:v>United Kingdom</c:v>
                </c:pt>
                <c:pt idx="17">
                  <c:v>Prince Edward Island</c:v>
                </c:pt>
                <c:pt idx="18">
                  <c:v>New Zealand (2011)</c:v>
                </c:pt>
                <c:pt idx="19">
                  <c:v>Switzerland (2009)</c:v>
                </c:pt>
                <c:pt idx="20">
                  <c:v>Finland</c:v>
                </c:pt>
                <c:pt idx="21">
                  <c:v>Netherlands</c:v>
                </c:pt>
                <c:pt idx="22">
                  <c:v>Denmark</c:v>
                </c:pt>
                <c:pt idx="23">
                  <c:v>Newfoundland and Labrador</c:v>
                </c:pt>
                <c:pt idx="24">
                  <c:v>Germany (2009)</c:v>
                </c:pt>
                <c:pt idx="25">
                  <c:v>Italy (2009)</c:v>
                </c:pt>
                <c:pt idx="26">
                  <c:v>Ireland</c:v>
                </c:pt>
              </c:strCache>
            </c:strRef>
          </c:cat>
          <c:val>
            <c:numRef>
              <c:f>'Adeq2010MonopProv+OECD'!$D$2:$D$28</c:f>
              <c:numCache>
                <c:formatCode>General</c:formatCode>
                <c:ptCount val="27"/>
                <c:pt idx="0">
                  <c:v>0.247</c:v>
                </c:pt>
                <c:pt idx="1">
                  <c:v>0.27900000000000003</c:v>
                </c:pt>
                <c:pt idx="2">
                  <c:v>0.307</c:v>
                </c:pt>
                <c:pt idx="3">
                  <c:v>0.31900000000000001</c:v>
                </c:pt>
                <c:pt idx="4">
                  <c:v>0.36</c:v>
                </c:pt>
                <c:pt idx="5">
                  <c:v>0.377</c:v>
                </c:pt>
                <c:pt idx="6">
                  <c:v>0.39500000000000002</c:v>
                </c:pt>
                <c:pt idx="7">
                  <c:v>0.41899999999999998</c:v>
                </c:pt>
                <c:pt idx="8">
                  <c:v>0.42099999999999999</c:v>
                </c:pt>
                <c:pt idx="9">
                  <c:v>0.437</c:v>
                </c:pt>
                <c:pt idx="10">
                  <c:v>0.442</c:v>
                </c:pt>
                <c:pt idx="11">
                  <c:v>0.44400000000000001</c:v>
                </c:pt>
                <c:pt idx="12">
                  <c:v>0.44800000000000001</c:v>
                </c:pt>
                <c:pt idx="13">
                  <c:v>0.45200000000000001</c:v>
                </c:pt>
                <c:pt idx="14">
                  <c:v>0.46500000000000002</c:v>
                </c:pt>
                <c:pt idx="15">
                  <c:v>0.46700000000000003</c:v>
                </c:pt>
                <c:pt idx="16">
                  <c:v>0.47799999999999998</c:v>
                </c:pt>
                <c:pt idx="17">
                  <c:v>0.48399999999999999</c:v>
                </c:pt>
                <c:pt idx="18">
                  <c:v>0.48499999999999999</c:v>
                </c:pt>
                <c:pt idx="19">
                  <c:v>0.48499999999999999</c:v>
                </c:pt>
                <c:pt idx="20">
                  <c:v>0.48699999999999999</c:v>
                </c:pt>
                <c:pt idx="21">
                  <c:v>0.499</c:v>
                </c:pt>
                <c:pt idx="22">
                  <c:v>0.51200000000000001</c:v>
                </c:pt>
                <c:pt idx="23">
                  <c:v>0.52900000000000003</c:v>
                </c:pt>
                <c:pt idx="24">
                  <c:v>0.54300000000000004</c:v>
                </c:pt>
                <c:pt idx="25">
                  <c:v>0.55600000000000005</c:v>
                </c:pt>
                <c:pt idx="26">
                  <c:v>0.63200000000000001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E9-F249-A48E-CC1C02CF19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60557663"/>
        <c:axId val="1003956671"/>
      </c:barChart>
      <c:catAx>
        <c:axId val="8605576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956671"/>
        <c:crosses val="autoZero"/>
        <c:auto val="1"/>
        <c:lblAlgn val="ctr"/>
        <c:lblOffset val="100"/>
        <c:noMultiLvlLbl val="0"/>
      </c:catAx>
      <c:valAx>
        <c:axId val="10039566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0557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026576175885962"/>
          <c:y val="7.4994586072780492E-2"/>
          <c:w val="0.61925301178356884"/>
          <c:h val="0.8673816515509819"/>
        </c:manualLayout>
      </c:layout>
      <c:barChart>
        <c:barDir val="bar"/>
        <c:grouping val="clustered"/>
        <c:varyColors val="0"/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Adeq4p!$A$2:$A$28</c:f>
              <c:strCache>
                <c:ptCount val="27"/>
                <c:pt idx="0">
                  <c:v>United States</c:v>
                </c:pt>
                <c:pt idx="1">
                  <c:v>Spain</c:v>
                </c:pt>
                <c:pt idx="2">
                  <c:v>Alberta</c:v>
                </c:pt>
                <c:pt idx="3">
                  <c:v>France</c:v>
                </c:pt>
                <c:pt idx="4">
                  <c:v>Belgium</c:v>
                </c:pt>
                <c:pt idx="5">
                  <c:v>Manitoba</c:v>
                </c:pt>
                <c:pt idx="6">
                  <c:v>Ontario</c:v>
                </c:pt>
                <c:pt idx="7">
                  <c:v>British Columbia</c:v>
                </c:pt>
                <c:pt idx="8">
                  <c:v>Austria (2009)</c:v>
                </c:pt>
                <c:pt idx="9">
                  <c:v>Norway</c:v>
                </c:pt>
                <c:pt idx="10">
                  <c:v>New Brunswick</c:v>
                </c:pt>
                <c:pt idx="11">
                  <c:v>Saskatchewan</c:v>
                </c:pt>
                <c:pt idx="12">
                  <c:v>New Zealand (2011)</c:v>
                </c:pt>
                <c:pt idx="13">
                  <c:v>Quebec</c:v>
                </c:pt>
                <c:pt idx="14">
                  <c:v>Nova Scotia</c:v>
                </c:pt>
                <c:pt idx="15">
                  <c:v>Newfoundland and Labrador</c:v>
                </c:pt>
                <c:pt idx="16">
                  <c:v>Australia</c:v>
                </c:pt>
                <c:pt idx="17">
                  <c:v>Netherlands</c:v>
                </c:pt>
                <c:pt idx="18">
                  <c:v>Sweden</c:v>
                </c:pt>
                <c:pt idx="19">
                  <c:v>United Kingdom</c:v>
                </c:pt>
                <c:pt idx="20">
                  <c:v>Switzerland (2009)</c:v>
                </c:pt>
                <c:pt idx="21">
                  <c:v>Finland</c:v>
                </c:pt>
                <c:pt idx="22">
                  <c:v>Prince Edward Island</c:v>
                </c:pt>
                <c:pt idx="23">
                  <c:v>Germany (2009)</c:v>
                </c:pt>
                <c:pt idx="24">
                  <c:v>Italy (2009)</c:v>
                </c:pt>
                <c:pt idx="25">
                  <c:v>Denmark</c:v>
                </c:pt>
                <c:pt idx="26">
                  <c:v>Ireland</c:v>
                </c:pt>
              </c:strCache>
            </c:strRef>
          </c:cat>
          <c:val>
            <c:numRef>
              <c:f>Adeq4p!$E$2:$E$28</c:f>
              <c:numCache>
                <c:formatCode>General</c:formatCode>
                <c:ptCount val="27"/>
                <c:pt idx="0">
                  <c:v>0.26100000000000001</c:v>
                </c:pt>
                <c:pt idx="1">
                  <c:v>0.26600000000000001</c:v>
                </c:pt>
                <c:pt idx="2">
                  <c:v>0.30499999999999999</c:v>
                </c:pt>
                <c:pt idx="3">
                  <c:v>0.311</c:v>
                </c:pt>
                <c:pt idx="4">
                  <c:v>0.36599999999999999</c:v>
                </c:pt>
                <c:pt idx="5">
                  <c:v>0.38700000000000001</c:v>
                </c:pt>
                <c:pt idx="6">
                  <c:v>0.38900000000000001</c:v>
                </c:pt>
                <c:pt idx="7">
                  <c:v>0.4</c:v>
                </c:pt>
                <c:pt idx="8">
                  <c:v>0.4</c:v>
                </c:pt>
                <c:pt idx="9">
                  <c:v>0.40100000000000002</c:v>
                </c:pt>
                <c:pt idx="10">
                  <c:v>0.40300000000000002</c:v>
                </c:pt>
                <c:pt idx="11">
                  <c:v>0.41599999999999998</c:v>
                </c:pt>
                <c:pt idx="12">
                  <c:v>0.41699999999999998</c:v>
                </c:pt>
                <c:pt idx="13">
                  <c:v>0.42499999999999999</c:v>
                </c:pt>
                <c:pt idx="14">
                  <c:v>0.438</c:v>
                </c:pt>
                <c:pt idx="15">
                  <c:v>0.45300000000000001</c:v>
                </c:pt>
                <c:pt idx="16">
                  <c:v>0.46100000000000002</c:v>
                </c:pt>
                <c:pt idx="17">
                  <c:v>0.46800000000000003</c:v>
                </c:pt>
                <c:pt idx="18">
                  <c:v>0.47099999999999997</c:v>
                </c:pt>
                <c:pt idx="19">
                  <c:v>0.47599999999999998</c:v>
                </c:pt>
                <c:pt idx="20">
                  <c:v>0.48799999999999999</c:v>
                </c:pt>
                <c:pt idx="21">
                  <c:v>0.49299999999999999</c:v>
                </c:pt>
                <c:pt idx="22">
                  <c:v>0.502</c:v>
                </c:pt>
                <c:pt idx="23">
                  <c:v>0.56299999999999994</c:v>
                </c:pt>
                <c:pt idx="24">
                  <c:v>0.56599999999999995</c:v>
                </c:pt>
                <c:pt idx="25">
                  <c:v>0.63200000000000001</c:v>
                </c:pt>
                <c:pt idx="26">
                  <c:v>0.71399999999999997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6F-6444-85F6-9867CCC25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9506639"/>
        <c:axId val="103271331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Adeq4p!$A$2:$A$28</c15:sqref>
                        </c15:formulaRef>
                      </c:ext>
                    </c:extLst>
                    <c:strCache>
                      <c:ptCount val="27"/>
                      <c:pt idx="0">
                        <c:v>United States</c:v>
                      </c:pt>
                      <c:pt idx="1">
                        <c:v>Spain</c:v>
                      </c:pt>
                      <c:pt idx="2">
                        <c:v>Alberta</c:v>
                      </c:pt>
                      <c:pt idx="3">
                        <c:v>France</c:v>
                      </c:pt>
                      <c:pt idx="4">
                        <c:v>Belgium</c:v>
                      </c:pt>
                      <c:pt idx="5">
                        <c:v>Manitoba</c:v>
                      </c:pt>
                      <c:pt idx="6">
                        <c:v>Ontario</c:v>
                      </c:pt>
                      <c:pt idx="7">
                        <c:v>British Columbia</c:v>
                      </c:pt>
                      <c:pt idx="8">
                        <c:v>Austria (2009)</c:v>
                      </c:pt>
                      <c:pt idx="9">
                        <c:v>Norway</c:v>
                      </c:pt>
                      <c:pt idx="10">
                        <c:v>New Brunswick</c:v>
                      </c:pt>
                      <c:pt idx="11">
                        <c:v>Saskatchewan</c:v>
                      </c:pt>
                      <c:pt idx="12">
                        <c:v>New Zealand (2011)</c:v>
                      </c:pt>
                      <c:pt idx="13">
                        <c:v>Quebec</c:v>
                      </c:pt>
                      <c:pt idx="14">
                        <c:v>Nova Scotia</c:v>
                      </c:pt>
                      <c:pt idx="15">
                        <c:v>Newfoundland and Labrador</c:v>
                      </c:pt>
                      <c:pt idx="16">
                        <c:v>Australia</c:v>
                      </c:pt>
                      <c:pt idx="17">
                        <c:v>Netherlands</c:v>
                      </c:pt>
                      <c:pt idx="18">
                        <c:v>Sweden</c:v>
                      </c:pt>
                      <c:pt idx="19">
                        <c:v>United Kingdom</c:v>
                      </c:pt>
                      <c:pt idx="20">
                        <c:v>Switzerland (2009)</c:v>
                      </c:pt>
                      <c:pt idx="21">
                        <c:v>Finland</c:v>
                      </c:pt>
                      <c:pt idx="22">
                        <c:v>Prince Edward Island</c:v>
                      </c:pt>
                      <c:pt idx="23">
                        <c:v>Germany (2009)</c:v>
                      </c:pt>
                      <c:pt idx="24">
                        <c:v>Italy (2009)</c:v>
                      </c:pt>
                      <c:pt idx="25">
                        <c:v>Denmark</c:v>
                      </c:pt>
                      <c:pt idx="26">
                        <c:v>Ireland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Adeq4p!$B$2:$B$28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B6F-6444-85F6-9867CCC2513C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Adeq4p!$A$2:$A$28</c15:sqref>
                        </c15:formulaRef>
                      </c:ext>
                    </c:extLst>
                    <c:strCache>
                      <c:ptCount val="27"/>
                      <c:pt idx="0">
                        <c:v>United States</c:v>
                      </c:pt>
                      <c:pt idx="1">
                        <c:v>Spain</c:v>
                      </c:pt>
                      <c:pt idx="2">
                        <c:v>Alberta</c:v>
                      </c:pt>
                      <c:pt idx="3">
                        <c:v>France</c:v>
                      </c:pt>
                      <c:pt idx="4">
                        <c:v>Belgium</c:v>
                      </c:pt>
                      <c:pt idx="5">
                        <c:v>Manitoba</c:v>
                      </c:pt>
                      <c:pt idx="6">
                        <c:v>Ontario</c:v>
                      </c:pt>
                      <c:pt idx="7">
                        <c:v>British Columbia</c:v>
                      </c:pt>
                      <c:pt idx="8">
                        <c:v>Austria (2009)</c:v>
                      </c:pt>
                      <c:pt idx="9">
                        <c:v>Norway</c:v>
                      </c:pt>
                      <c:pt idx="10">
                        <c:v>New Brunswick</c:v>
                      </c:pt>
                      <c:pt idx="11">
                        <c:v>Saskatchewan</c:v>
                      </c:pt>
                      <c:pt idx="12">
                        <c:v>New Zealand (2011)</c:v>
                      </c:pt>
                      <c:pt idx="13">
                        <c:v>Quebec</c:v>
                      </c:pt>
                      <c:pt idx="14">
                        <c:v>Nova Scotia</c:v>
                      </c:pt>
                      <c:pt idx="15">
                        <c:v>Newfoundland and Labrador</c:v>
                      </c:pt>
                      <c:pt idx="16">
                        <c:v>Australia</c:v>
                      </c:pt>
                      <c:pt idx="17">
                        <c:v>Netherlands</c:v>
                      </c:pt>
                      <c:pt idx="18">
                        <c:v>Sweden</c:v>
                      </c:pt>
                      <c:pt idx="19">
                        <c:v>United Kingdom</c:v>
                      </c:pt>
                      <c:pt idx="20">
                        <c:v>Switzerland (2009)</c:v>
                      </c:pt>
                      <c:pt idx="21">
                        <c:v>Finland</c:v>
                      </c:pt>
                      <c:pt idx="22">
                        <c:v>Prince Edward Island</c:v>
                      </c:pt>
                      <c:pt idx="23">
                        <c:v>Germany (2009)</c:v>
                      </c:pt>
                      <c:pt idx="24">
                        <c:v>Italy (2009)</c:v>
                      </c:pt>
                      <c:pt idx="25">
                        <c:v>Denmark</c:v>
                      </c:pt>
                      <c:pt idx="26">
                        <c:v>Ireland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Adeq4p!$C$2:$C$28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DB6F-6444-85F6-9867CCC2513C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Adeq4p!$A$2:$A$28</c15:sqref>
                        </c15:formulaRef>
                      </c:ext>
                    </c:extLst>
                    <c:strCache>
                      <c:ptCount val="27"/>
                      <c:pt idx="0">
                        <c:v>United States</c:v>
                      </c:pt>
                      <c:pt idx="1">
                        <c:v>Spain</c:v>
                      </c:pt>
                      <c:pt idx="2">
                        <c:v>Alberta</c:v>
                      </c:pt>
                      <c:pt idx="3">
                        <c:v>France</c:v>
                      </c:pt>
                      <c:pt idx="4">
                        <c:v>Belgium</c:v>
                      </c:pt>
                      <c:pt idx="5">
                        <c:v>Manitoba</c:v>
                      </c:pt>
                      <c:pt idx="6">
                        <c:v>Ontario</c:v>
                      </c:pt>
                      <c:pt idx="7">
                        <c:v>British Columbia</c:v>
                      </c:pt>
                      <c:pt idx="8">
                        <c:v>Austria (2009)</c:v>
                      </c:pt>
                      <c:pt idx="9">
                        <c:v>Norway</c:v>
                      </c:pt>
                      <c:pt idx="10">
                        <c:v>New Brunswick</c:v>
                      </c:pt>
                      <c:pt idx="11">
                        <c:v>Saskatchewan</c:v>
                      </c:pt>
                      <c:pt idx="12">
                        <c:v>New Zealand (2011)</c:v>
                      </c:pt>
                      <c:pt idx="13">
                        <c:v>Quebec</c:v>
                      </c:pt>
                      <c:pt idx="14">
                        <c:v>Nova Scotia</c:v>
                      </c:pt>
                      <c:pt idx="15">
                        <c:v>Newfoundland and Labrador</c:v>
                      </c:pt>
                      <c:pt idx="16">
                        <c:v>Australia</c:v>
                      </c:pt>
                      <c:pt idx="17">
                        <c:v>Netherlands</c:v>
                      </c:pt>
                      <c:pt idx="18">
                        <c:v>Sweden</c:v>
                      </c:pt>
                      <c:pt idx="19">
                        <c:v>United Kingdom</c:v>
                      </c:pt>
                      <c:pt idx="20">
                        <c:v>Switzerland (2009)</c:v>
                      </c:pt>
                      <c:pt idx="21">
                        <c:v>Finland</c:v>
                      </c:pt>
                      <c:pt idx="22">
                        <c:v>Prince Edward Island</c:v>
                      </c:pt>
                      <c:pt idx="23">
                        <c:v>Germany (2009)</c:v>
                      </c:pt>
                      <c:pt idx="24">
                        <c:v>Italy (2009)</c:v>
                      </c:pt>
                      <c:pt idx="25">
                        <c:v>Denmark</c:v>
                      </c:pt>
                      <c:pt idx="26">
                        <c:v>Ireland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Adeq4p!$D$2:$D$28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B6F-6444-85F6-9867CCC2513C}"/>
                  </c:ext>
                </c:extLst>
              </c15:ser>
            </c15:filteredBarSeries>
          </c:ext>
        </c:extLst>
      </c:barChart>
      <c:catAx>
        <c:axId val="999506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2713311"/>
        <c:crosses val="autoZero"/>
        <c:auto val="1"/>
        <c:lblAlgn val="ctr"/>
        <c:lblOffset val="100"/>
        <c:noMultiLvlLbl val="0"/>
      </c:catAx>
      <c:valAx>
        <c:axId val="103271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506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4400</Characters>
  <Application>Microsoft Office Word</Application>
  <DocSecurity>0</DocSecurity>
  <Lines>100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Alain</dc:creator>
  <cp:keywords/>
  <dc:description/>
  <cp:lastModifiedBy>Elizabeth Pando</cp:lastModifiedBy>
  <cp:revision>2</cp:revision>
  <dcterms:created xsi:type="dcterms:W3CDTF">2020-01-21T17:06:00Z</dcterms:created>
  <dcterms:modified xsi:type="dcterms:W3CDTF">2020-01-21T17:06:00Z</dcterms:modified>
</cp:coreProperties>
</file>