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B954" w14:textId="3B27739A" w:rsidR="00A1778A" w:rsidRDefault="00A1778A" w:rsidP="00A1778A">
      <w:pPr>
        <w:pStyle w:val="Heading1"/>
      </w:pPr>
      <w:bookmarkStart w:id="0" w:name="Appendix"/>
      <w:r>
        <w:t>Measuring and Comparing Municipal Policy Responses to COVID-19</w:t>
      </w:r>
    </w:p>
    <w:p w14:paraId="3BC983F7" w14:textId="45707588" w:rsidR="00A1778A" w:rsidRDefault="00A1778A" w:rsidP="00A1778A">
      <w:pPr>
        <w:pStyle w:val="Heading1"/>
      </w:pPr>
      <w:r>
        <w:t>Online Appendix</w:t>
      </w:r>
      <w:bookmarkEnd w:id="0"/>
    </w:p>
    <w:p w14:paraId="3CD87877" w14:textId="77777777" w:rsidR="00A1778A" w:rsidRDefault="00A1778A" w:rsidP="00A1778A">
      <w:pPr>
        <w:pStyle w:val="Heading2"/>
      </w:pPr>
      <w:bookmarkStart w:id="1" w:name="canadian-municipal-barometer-survey"/>
      <w:r>
        <w:t>Canadian Municipal Barometer Survey</w:t>
      </w:r>
      <w:bookmarkEnd w:id="1"/>
    </w:p>
    <w:p w14:paraId="57924FFC" w14:textId="77777777" w:rsidR="00A1778A" w:rsidRDefault="00A1778A" w:rsidP="00A1778A">
      <w:pPr>
        <w:pStyle w:val="FirstParagraph"/>
      </w:pPr>
      <w:r>
        <w:t xml:space="preserve">The Canadian Municipal Barometer COVID-19 survey was fielded between April 3 and April 17, 2020. Invitations were sent to all of the mayors and </w:t>
      </w:r>
      <w:proofErr w:type="spellStart"/>
      <w:r>
        <w:t>councillors</w:t>
      </w:r>
      <w:proofErr w:type="spellEnd"/>
      <w:r>
        <w:t xml:space="preserve"> for whom the CMB research team was able to collect email addresses - more than 95% of the total population of mayors and </w:t>
      </w:r>
      <w:proofErr w:type="spellStart"/>
      <w:r>
        <w:t>councillors</w:t>
      </w:r>
      <w:proofErr w:type="spellEnd"/>
      <w:r>
        <w:t xml:space="preserve"> in municipalities above 9,000 population in Canada. Of the 3,419 email invitations received by municipal leaders, a total of 551 completed the survey, for an overall response rate of 16 percent.</w:t>
      </w:r>
    </w:p>
    <w:p w14:paraId="23135FD3" w14:textId="77777777" w:rsidR="00A1778A" w:rsidRDefault="00A1778A" w:rsidP="00A1778A">
      <w:pPr>
        <w:pStyle w:val="BodyText"/>
      </w:pPr>
      <w:r>
        <w:t xml:space="preserve">For additional insight on some of the findings in the CMB survey, we conducted electronic correspondence with four experts after the survey closed - one current municipal mayor, one current municipal </w:t>
      </w:r>
      <w:proofErr w:type="spellStart"/>
      <w:r>
        <w:t>councillor</w:t>
      </w:r>
      <w:proofErr w:type="spellEnd"/>
      <w:r>
        <w:t xml:space="preserve">, and two individuals with extensive experience as municipal and/or provincial public servants. To better understand the “emergency management” variable, we also selected a random sample of twenty municipalities, ten in Ontario and ten outside Ontario, and read public press releases and media coverage of the “state of emergency” declarations in each of the twenty municipalities. The twenty municipalities we selected were: Newmarket, </w:t>
      </w:r>
      <w:proofErr w:type="spellStart"/>
      <w:r>
        <w:t>Leamington</w:t>
      </w:r>
      <w:proofErr w:type="spellEnd"/>
      <w:r>
        <w:t xml:space="preserve">, Centre Wellington, Burlington, Mississippi Mills, Toronto, Richmond Hill, Strathroy-Caradoc, Elliot Lake, Wellesley, Red Deer, Kamloops, </w:t>
      </w:r>
      <w:proofErr w:type="spellStart"/>
      <w:r>
        <w:t>Lévis</w:t>
      </w:r>
      <w:proofErr w:type="spellEnd"/>
      <w:r>
        <w:t xml:space="preserve">, Montreal, Delta, Sherbrooke, Camrose, </w:t>
      </w:r>
      <w:proofErr w:type="spellStart"/>
      <w:r>
        <w:t>Pincourt</w:t>
      </w:r>
      <w:proofErr w:type="spellEnd"/>
      <w:r>
        <w:t>, Leduc, and North Saanich.</w:t>
      </w:r>
    </w:p>
    <w:p w14:paraId="394FDCFF" w14:textId="77777777" w:rsidR="00A1778A" w:rsidRDefault="00A1778A" w:rsidP="00A1778A">
      <w:pPr>
        <w:pStyle w:val="BodyText"/>
      </w:pPr>
      <w:r>
        <w:t xml:space="preserve">Below, we provide complete question texts and response breakdowns for each of the questions used in this paper. Note that complete datasets are publicly available at the CMB </w:t>
      </w:r>
      <w:proofErr w:type="spellStart"/>
      <w:r>
        <w:t>dataverse</w:t>
      </w:r>
      <w:proofErr w:type="spellEnd"/>
      <w:r>
        <w:t>: (</w:t>
      </w:r>
      <w:hyperlink r:id="rId7">
        <w:r>
          <w:rPr>
            <w:rStyle w:val="Hyperlink"/>
          </w:rPr>
          <w:t>https://doi.org/10.5683/SP2/KIX0MD</w:t>
        </w:r>
      </w:hyperlink>
      <w:r>
        <w:t>).</w:t>
      </w:r>
    </w:p>
    <w:p w14:paraId="47DDF715" w14:textId="77777777" w:rsidR="00A1778A" w:rsidRDefault="00A1778A" w:rsidP="00A1778A">
      <w:pPr>
        <w:pStyle w:val="Heading4"/>
      </w:pPr>
      <w:bookmarkStart w:id="2" w:name="emergency"/>
      <w:r>
        <w:rPr>
          <w:rStyle w:val="VerbatimChar"/>
        </w:rPr>
        <w:t>emergency</w:t>
      </w:r>
      <w:bookmarkEnd w:id="2"/>
    </w:p>
    <w:p w14:paraId="295CAF4E" w14:textId="77777777" w:rsidR="00A1778A" w:rsidRDefault="00A1778A" w:rsidP="00A1778A">
      <w:pPr>
        <w:pStyle w:val="FirstParagraph"/>
      </w:pPr>
      <w:r>
        <w:t>“Has your municipality declared a state of emergency?”</w:t>
      </w:r>
    </w:p>
    <w:tbl>
      <w:tblPr>
        <w:tblStyle w:val="Table"/>
        <w:tblW w:w="0" w:type="pct"/>
        <w:tblLook w:val="07E0" w:firstRow="1" w:lastRow="1" w:firstColumn="1" w:lastColumn="1" w:noHBand="1" w:noVBand="1"/>
      </w:tblPr>
      <w:tblGrid>
        <w:gridCol w:w="1702"/>
        <w:gridCol w:w="656"/>
        <w:gridCol w:w="885"/>
      </w:tblGrid>
      <w:tr w:rsidR="00A1778A" w14:paraId="237178B0" w14:textId="77777777" w:rsidTr="00F14AAD">
        <w:tc>
          <w:tcPr>
            <w:tcW w:w="0" w:type="auto"/>
            <w:tcBorders>
              <w:bottom w:val="single" w:sz="0" w:space="0" w:color="auto"/>
            </w:tcBorders>
            <w:vAlign w:val="bottom"/>
          </w:tcPr>
          <w:p w14:paraId="63BE1289" w14:textId="77777777" w:rsidR="00A1778A" w:rsidRDefault="00A1778A" w:rsidP="00F14AAD">
            <w:pPr>
              <w:pStyle w:val="Compact"/>
              <w:jc w:val="right"/>
            </w:pPr>
            <w:r>
              <w:t> </w:t>
            </w:r>
          </w:p>
        </w:tc>
        <w:tc>
          <w:tcPr>
            <w:tcW w:w="0" w:type="auto"/>
            <w:tcBorders>
              <w:bottom w:val="single" w:sz="0" w:space="0" w:color="auto"/>
            </w:tcBorders>
            <w:vAlign w:val="bottom"/>
          </w:tcPr>
          <w:p w14:paraId="0DD9EB63" w14:textId="77777777" w:rsidR="00A1778A" w:rsidRDefault="00A1778A" w:rsidP="00F14AAD">
            <w:pPr>
              <w:pStyle w:val="Compact"/>
              <w:jc w:val="right"/>
            </w:pPr>
            <w:r>
              <w:t>Freq</w:t>
            </w:r>
          </w:p>
        </w:tc>
        <w:tc>
          <w:tcPr>
            <w:tcW w:w="0" w:type="auto"/>
            <w:tcBorders>
              <w:bottom w:val="single" w:sz="0" w:space="0" w:color="auto"/>
            </w:tcBorders>
            <w:vAlign w:val="bottom"/>
          </w:tcPr>
          <w:p w14:paraId="7C27F1BA" w14:textId="77777777" w:rsidR="00A1778A" w:rsidRDefault="00A1778A" w:rsidP="00F14AAD">
            <w:pPr>
              <w:pStyle w:val="Compact"/>
              <w:jc w:val="right"/>
            </w:pPr>
            <w:r>
              <w:t>%</w:t>
            </w:r>
          </w:p>
        </w:tc>
      </w:tr>
      <w:tr w:rsidR="00A1778A" w14:paraId="62F02A6C" w14:textId="77777777" w:rsidTr="00F14AAD">
        <w:tc>
          <w:tcPr>
            <w:tcW w:w="0" w:type="auto"/>
          </w:tcPr>
          <w:p w14:paraId="532FC530" w14:textId="77777777" w:rsidR="00A1778A" w:rsidRDefault="00A1778A" w:rsidP="00F14AAD">
            <w:pPr>
              <w:pStyle w:val="Compact"/>
              <w:jc w:val="right"/>
            </w:pPr>
            <w:r>
              <w:rPr>
                <w:b/>
              </w:rPr>
              <w:t>No (0)</w:t>
            </w:r>
          </w:p>
        </w:tc>
        <w:tc>
          <w:tcPr>
            <w:tcW w:w="0" w:type="auto"/>
          </w:tcPr>
          <w:p w14:paraId="6AACA6B0" w14:textId="77777777" w:rsidR="00A1778A" w:rsidRDefault="00A1778A" w:rsidP="00F14AAD">
            <w:pPr>
              <w:pStyle w:val="Compact"/>
              <w:jc w:val="right"/>
            </w:pPr>
            <w:r>
              <w:t>265</w:t>
            </w:r>
          </w:p>
        </w:tc>
        <w:tc>
          <w:tcPr>
            <w:tcW w:w="0" w:type="auto"/>
          </w:tcPr>
          <w:p w14:paraId="7C83AF7C" w14:textId="77777777" w:rsidR="00A1778A" w:rsidRDefault="00A1778A" w:rsidP="00F14AAD">
            <w:pPr>
              <w:pStyle w:val="Compact"/>
              <w:jc w:val="right"/>
            </w:pPr>
            <w:r>
              <w:t>50.19</w:t>
            </w:r>
          </w:p>
        </w:tc>
      </w:tr>
      <w:tr w:rsidR="00A1778A" w14:paraId="6ECF50A5" w14:textId="77777777" w:rsidTr="00F14AAD">
        <w:tc>
          <w:tcPr>
            <w:tcW w:w="0" w:type="auto"/>
          </w:tcPr>
          <w:p w14:paraId="32984D2C" w14:textId="77777777" w:rsidR="00A1778A" w:rsidRDefault="00A1778A" w:rsidP="00F14AAD">
            <w:pPr>
              <w:pStyle w:val="Compact"/>
              <w:jc w:val="right"/>
            </w:pPr>
            <w:r>
              <w:rPr>
                <w:b/>
              </w:rPr>
              <w:t>Yes (1)</w:t>
            </w:r>
          </w:p>
        </w:tc>
        <w:tc>
          <w:tcPr>
            <w:tcW w:w="0" w:type="auto"/>
          </w:tcPr>
          <w:p w14:paraId="17D565F5" w14:textId="77777777" w:rsidR="00A1778A" w:rsidRDefault="00A1778A" w:rsidP="00F14AAD">
            <w:pPr>
              <w:pStyle w:val="Compact"/>
              <w:jc w:val="right"/>
            </w:pPr>
            <w:r>
              <w:t>258</w:t>
            </w:r>
          </w:p>
        </w:tc>
        <w:tc>
          <w:tcPr>
            <w:tcW w:w="0" w:type="auto"/>
          </w:tcPr>
          <w:p w14:paraId="70B51ABA" w14:textId="77777777" w:rsidR="00A1778A" w:rsidRDefault="00A1778A" w:rsidP="00F14AAD">
            <w:pPr>
              <w:pStyle w:val="Compact"/>
              <w:jc w:val="right"/>
            </w:pPr>
            <w:r>
              <w:t>48.86</w:t>
            </w:r>
          </w:p>
        </w:tc>
      </w:tr>
      <w:tr w:rsidR="00A1778A" w14:paraId="381686B4" w14:textId="77777777" w:rsidTr="00F14AAD">
        <w:tc>
          <w:tcPr>
            <w:tcW w:w="0" w:type="auto"/>
          </w:tcPr>
          <w:p w14:paraId="2255CC8B" w14:textId="77777777" w:rsidR="00A1778A" w:rsidRDefault="00A1778A" w:rsidP="00F14AAD">
            <w:pPr>
              <w:pStyle w:val="Compact"/>
              <w:jc w:val="right"/>
            </w:pPr>
            <w:r>
              <w:rPr>
                <w:b/>
              </w:rPr>
              <w:t>Don’t know (9)</w:t>
            </w:r>
          </w:p>
        </w:tc>
        <w:tc>
          <w:tcPr>
            <w:tcW w:w="0" w:type="auto"/>
          </w:tcPr>
          <w:p w14:paraId="5094BB0D" w14:textId="77777777" w:rsidR="00A1778A" w:rsidRDefault="00A1778A" w:rsidP="00F14AAD">
            <w:pPr>
              <w:pStyle w:val="Compact"/>
              <w:jc w:val="right"/>
            </w:pPr>
            <w:r>
              <w:t>5</w:t>
            </w:r>
          </w:p>
        </w:tc>
        <w:tc>
          <w:tcPr>
            <w:tcW w:w="0" w:type="auto"/>
          </w:tcPr>
          <w:p w14:paraId="74D8B14B" w14:textId="77777777" w:rsidR="00A1778A" w:rsidRDefault="00A1778A" w:rsidP="00F14AAD">
            <w:pPr>
              <w:pStyle w:val="Compact"/>
              <w:jc w:val="right"/>
            </w:pPr>
            <w:r>
              <w:t>0.95</w:t>
            </w:r>
          </w:p>
        </w:tc>
      </w:tr>
      <w:tr w:rsidR="00A1778A" w14:paraId="0431DB57" w14:textId="77777777" w:rsidTr="00F14AAD">
        <w:tc>
          <w:tcPr>
            <w:tcW w:w="0" w:type="auto"/>
          </w:tcPr>
          <w:p w14:paraId="533A75FD" w14:textId="77777777" w:rsidR="00A1778A" w:rsidRDefault="00A1778A" w:rsidP="00F14AAD">
            <w:pPr>
              <w:pStyle w:val="Compact"/>
              <w:jc w:val="right"/>
            </w:pPr>
            <w:r>
              <w:rPr>
                <w:b/>
              </w:rPr>
              <w:t>Total</w:t>
            </w:r>
          </w:p>
        </w:tc>
        <w:tc>
          <w:tcPr>
            <w:tcW w:w="0" w:type="auto"/>
          </w:tcPr>
          <w:p w14:paraId="04CD5982" w14:textId="77777777" w:rsidR="00A1778A" w:rsidRDefault="00A1778A" w:rsidP="00F14AAD">
            <w:pPr>
              <w:pStyle w:val="Compact"/>
              <w:jc w:val="right"/>
            </w:pPr>
            <w:r>
              <w:t>528</w:t>
            </w:r>
          </w:p>
        </w:tc>
        <w:tc>
          <w:tcPr>
            <w:tcW w:w="0" w:type="auto"/>
          </w:tcPr>
          <w:p w14:paraId="54EF8799" w14:textId="77777777" w:rsidR="00A1778A" w:rsidRDefault="00A1778A" w:rsidP="00F14AAD">
            <w:pPr>
              <w:pStyle w:val="Compact"/>
              <w:jc w:val="right"/>
            </w:pPr>
            <w:r>
              <w:t>100.00</w:t>
            </w:r>
          </w:p>
        </w:tc>
      </w:tr>
    </w:tbl>
    <w:p w14:paraId="07B85B85" w14:textId="77777777" w:rsidR="00A1778A" w:rsidRDefault="00A1778A" w:rsidP="00A1778A">
      <w:pPr>
        <w:pStyle w:val="Heading4"/>
      </w:pPr>
      <w:bookmarkStart w:id="3" w:name="cases"/>
      <w:r>
        <w:rPr>
          <w:rStyle w:val="VerbatimChar"/>
        </w:rPr>
        <w:t>cases</w:t>
      </w:r>
      <w:bookmarkEnd w:id="3"/>
    </w:p>
    <w:p w14:paraId="469BB8A9" w14:textId="77777777" w:rsidR="00A1778A" w:rsidRDefault="00A1778A" w:rsidP="00A1778A">
      <w:pPr>
        <w:pStyle w:val="FirstParagraph"/>
      </w:pPr>
      <w:r>
        <w:t>“To the best of your knowledge, how many reported COVID-19 cases have occurred so far in your municipality?”</w:t>
      </w:r>
    </w:p>
    <w:tbl>
      <w:tblPr>
        <w:tblStyle w:val="Table"/>
        <w:tblW w:w="0" w:type="pct"/>
        <w:tblLook w:val="07E0" w:firstRow="1" w:lastRow="1" w:firstColumn="1" w:lastColumn="1" w:noHBand="1" w:noVBand="1"/>
      </w:tblPr>
      <w:tblGrid>
        <w:gridCol w:w="2020"/>
        <w:gridCol w:w="656"/>
        <w:gridCol w:w="885"/>
      </w:tblGrid>
      <w:tr w:rsidR="00A1778A" w14:paraId="2869A72D" w14:textId="77777777" w:rsidTr="00F14AAD">
        <w:tc>
          <w:tcPr>
            <w:tcW w:w="0" w:type="auto"/>
            <w:tcBorders>
              <w:bottom w:val="single" w:sz="0" w:space="0" w:color="auto"/>
            </w:tcBorders>
            <w:vAlign w:val="bottom"/>
          </w:tcPr>
          <w:p w14:paraId="5F07FFD6" w14:textId="77777777" w:rsidR="00A1778A" w:rsidRDefault="00A1778A" w:rsidP="00F14AAD">
            <w:pPr>
              <w:pStyle w:val="Compact"/>
              <w:jc w:val="right"/>
            </w:pPr>
            <w:r>
              <w:lastRenderedPageBreak/>
              <w:t> </w:t>
            </w:r>
          </w:p>
        </w:tc>
        <w:tc>
          <w:tcPr>
            <w:tcW w:w="0" w:type="auto"/>
            <w:tcBorders>
              <w:bottom w:val="single" w:sz="0" w:space="0" w:color="auto"/>
            </w:tcBorders>
            <w:vAlign w:val="bottom"/>
          </w:tcPr>
          <w:p w14:paraId="50EEA9C8" w14:textId="77777777" w:rsidR="00A1778A" w:rsidRDefault="00A1778A" w:rsidP="00F14AAD">
            <w:pPr>
              <w:pStyle w:val="Compact"/>
              <w:jc w:val="right"/>
            </w:pPr>
            <w:r>
              <w:t>Freq</w:t>
            </w:r>
          </w:p>
        </w:tc>
        <w:tc>
          <w:tcPr>
            <w:tcW w:w="0" w:type="auto"/>
            <w:tcBorders>
              <w:bottom w:val="single" w:sz="0" w:space="0" w:color="auto"/>
            </w:tcBorders>
            <w:vAlign w:val="bottom"/>
          </w:tcPr>
          <w:p w14:paraId="6EF42CDA" w14:textId="77777777" w:rsidR="00A1778A" w:rsidRDefault="00A1778A" w:rsidP="00F14AAD">
            <w:pPr>
              <w:pStyle w:val="Compact"/>
              <w:jc w:val="right"/>
            </w:pPr>
            <w:r>
              <w:t>%</w:t>
            </w:r>
          </w:p>
        </w:tc>
      </w:tr>
      <w:tr w:rsidR="00A1778A" w14:paraId="3CD33C9B" w14:textId="77777777" w:rsidTr="00F14AAD">
        <w:tc>
          <w:tcPr>
            <w:tcW w:w="0" w:type="auto"/>
          </w:tcPr>
          <w:p w14:paraId="783F261D" w14:textId="77777777" w:rsidR="00A1778A" w:rsidRDefault="00A1778A" w:rsidP="00F14AAD">
            <w:pPr>
              <w:pStyle w:val="Compact"/>
              <w:jc w:val="right"/>
            </w:pPr>
            <w:r>
              <w:rPr>
                <w:b/>
              </w:rPr>
              <w:t>0 (1)</w:t>
            </w:r>
          </w:p>
        </w:tc>
        <w:tc>
          <w:tcPr>
            <w:tcW w:w="0" w:type="auto"/>
          </w:tcPr>
          <w:p w14:paraId="29A60C4A" w14:textId="77777777" w:rsidR="00A1778A" w:rsidRDefault="00A1778A" w:rsidP="00F14AAD">
            <w:pPr>
              <w:pStyle w:val="Compact"/>
              <w:jc w:val="right"/>
            </w:pPr>
            <w:r>
              <w:t>81</w:t>
            </w:r>
          </w:p>
        </w:tc>
        <w:tc>
          <w:tcPr>
            <w:tcW w:w="0" w:type="auto"/>
          </w:tcPr>
          <w:p w14:paraId="62324022" w14:textId="77777777" w:rsidR="00A1778A" w:rsidRDefault="00A1778A" w:rsidP="00F14AAD">
            <w:pPr>
              <w:pStyle w:val="Compact"/>
              <w:jc w:val="right"/>
            </w:pPr>
            <w:r>
              <w:t>15.34</w:t>
            </w:r>
          </w:p>
        </w:tc>
      </w:tr>
      <w:tr w:rsidR="00A1778A" w14:paraId="51E6EFFE" w14:textId="77777777" w:rsidTr="00F14AAD">
        <w:tc>
          <w:tcPr>
            <w:tcW w:w="0" w:type="auto"/>
          </w:tcPr>
          <w:p w14:paraId="0EC8E180" w14:textId="77777777" w:rsidR="00A1778A" w:rsidRDefault="00A1778A" w:rsidP="00F14AAD">
            <w:pPr>
              <w:pStyle w:val="Compact"/>
              <w:jc w:val="right"/>
            </w:pPr>
            <w:r>
              <w:rPr>
                <w:b/>
              </w:rPr>
              <w:t>1-9 (2)</w:t>
            </w:r>
          </w:p>
        </w:tc>
        <w:tc>
          <w:tcPr>
            <w:tcW w:w="0" w:type="auto"/>
          </w:tcPr>
          <w:p w14:paraId="4B7FA126" w14:textId="77777777" w:rsidR="00A1778A" w:rsidRDefault="00A1778A" w:rsidP="00F14AAD">
            <w:pPr>
              <w:pStyle w:val="Compact"/>
              <w:jc w:val="right"/>
            </w:pPr>
            <w:r>
              <w:t>172</w:t>
            </w:r>
          </w:p>
        </w:tc>
        <w:tc>
          <w:tcPr>
            <w:tcW w:w="0" w:type="auto"/>
          </w:tcPr>
          <w:p w14:paraId="7A560ABD" w14:textId="77777777" w:rsidR="00A1778A" w:rsidRDefault="00A1778A" w:rsidP="00F14AAD">
            <w:pPr>
              <w:pStyle w:val="Compact"/>
              <w:jc w:val="right"/>
            </w:pPr>
            <w:r>
              <w:t>32.58</w:t>
            </w:r>
          </w:p>
        </w:tc>
      </w:tr>
      <w:tr w:rsidR="00A1778A" w14:paraId="0449138C" w14:textId="77777777" w:rsidTr="00F14AAD">
        <w:tc>
          <w:tcPr>
            <w:tcW w:w="0" w:type="auto"/>
          </w:tcPr>
          <w:p w14:paraId="2391BC84" w14:textId="77777777" w:rsidR="00A1778A" w:rsidRDefault="00A1778A" w:rsidP="00F14AAD">
            <w:pPr>
              <w:pStyle w:val="Compact"/>
              <w:jc w:val="right"/>
            </w:pPr>
            <w:r>
              <w:rPr>
                <w:b/>
              </w:rPr>
              <w:t>10-24 (3)</w:t>
            </w:r>
          </w:p>
        </w:tc>
        <w:tc>
          <w:tcPr>
            <w:tcW w:w="0" w:type="auto"/>
          </w:tcPr>
          <w:p w14:paraId="28F9D43E" w14:textId="77777777" w:rsidR="00A1778A" w:rsidRDefault="00A1778A" w:rsidP="00F14AAD">
            <w:pPr>
              <w:pStyle w:val="Compact"/>
              <w:jc w:val="right"/>
            </w:pPr>
            <w:r>
              <w:t>60</w:t>
            </w:r>
          </w:p>
        </w:tc>
        <w:tc>
          <w:tcPr>
            <w:tcW w:w="0" w:type="auto"/>
          </w:tcPr>
          <w:p w14:paraId="13502285" w14:textId="77777777" w:rsidR="00A1778A" w:rsidRDefault="00A1778A" w:rsidP="00F14AAD">
            <w:pPr>
              <w:pStyle w:val="Compact"/>
              <w:jc w:val="right"/>
            </w:pPr>
            <w:r>
              <w:t>11.36</w:t>
            </w:r>
          </w:p>
        </w:tc>
      </w:tr>
      <w:tr w:rsidR="00A1778A" w14:paraId="19435368" w14:textId="77777777" w:rsidTr="00F14AAD">
        <w:tc>
          <w:tcPr>
            <w:tcW w:w="0" w:type="auto"/>
          </w:tcPr>
          <w:p w14:paraId="027FA36D" w14:textId="77777777" w:rsidR="00A1778A" w:rsidRDefault="00A1778A" w:rsidP="00F14AAD">
            <w:pPr>
              <w:pStyle w:val="Compact"/>
              <w:jc w:val="right"/>
            </w:pPr>
            <w:r>
              <w:rPr>
                <w:b/>
              </w:rPr>
              <w:t>25-49 (4)</w:t>
            </w:r>
          </w:p>
        </w:tc>
        <w:tc>
          <w:tcPr>
            <w:tcW w:w="0" w:type="auto"/>
          </w:tcPr>
          <w:p w14:paraId="75AD3D99" w14:textId="77777777" w:rsidR="00A1778A" w:rsidRDefault="00A1778A" w:rsidP="00F14AAD">
            <w:pPr>
              <w:pStyle w:val="Compact"/>
              <w:jc w:val="right"/>
            </w:pPr>
            <w:r>
              <w:t>46</w:t>
            </w:r>
          </w:p>
        </w:tc>
        <w:tc>
          <w:tcPr>
            <w:tcW w:w="0" w:type="auto"/>
          </w:tcPr>
          <w:p w14:paraId="12210ED9" w14:textId="77777777" w:rsidR="00A1778A" w:rsidRDefault="00A1778A" w:rsidP="00F14AAD">
            <w:pPr>
              <w:pStyle w:val="Compact"/>
              <w:jc w:val="right"/>
            </w:pPr>
            <w:r>
              <w:t>8.71</w:t>
            </w:r>
          </w:p>
        </w:tc>
      </w:tr>
      <w:tr w:rsidR="00A1778A" w14:paraId="70E23B48" w14:textId="77777777" w:rsidTr="00F14AAD">
        <w:tc>
          <w:tcPr>
            <w:tcW w:w="0" w:type="auto"/>
          </w:tcPr>
          <w:p w14:paraId="46E37594" w14:textId="77777777" w:rsidR="00A1778A" w:rsidRDefault="00A1778A" w:rsidP="00F14AAD">
            <w:pPr>
              <w:pStyle w:val="Compact"/>
              <w:jc w:val="right"/>
            </w:pPr>
            <w:r>
              <w:rPr>
                <w:b/>
              </w:rPr>
              <w:t>50-99 (5)</w:t>
            </w:r>
          </w:p>
        </w:tc>
        <w:tc>
          <w:tcPr>
            <w:tcW w:w="0" w:type="auto"/>
          </w:tcPr>
          <w:p w14:paraId="1F227C78" w14:textId="77777777" w:rsidR="00A1778A" w:rsidRDefault="00A1778A" w:rsidP="00F14AAD">
            <w:pPr>
              <w:pStyle w:val="Compact"/>
              <w:jc w:val="right"/>
            </w:pPr>
            <w:r>
              <w:t>27</w:t>
            </w:r>
          </w:p>
        </w:tc>
        <w:tc>
          <w:tcPr>
            <w:tcW w:w="0" w:type="auto"/>
          </w:tcPr>
          <w:p w14:paraId="090DC8EF" w14:textId="77777777" w:rsidR="00A1778A" w:rsidRDefault="00A1778A" w:rsidP="00F14AAD">
            <w:pPr>
              <w:pStyle w:val="Compact"/>
              <w:jc w:val="right"/>
            </w:pPr>
            <w:r>
              <w:t>5.11</w:t>
            </w:r>
          </w:p>
        </w:tc>
      </w:tr>
      <w:tr w:rsidR="00A1778A" w14:paraId="3B228A24" w14:textId="77777777" w:rsidTr="00F14AAD">
        <w:tc>
          <w:tcPr>
            <w:tcW w:w="0" w:type="auto"/>
          </w:tcPr>
          <w:p w14:paraId="32093DC8" w14:textId="77777777" w:rsidR="00A1778A" w:rsidRDefault="00A1778A" w:rsidP="00F14AAD">
            <w:pPr>
              <w:pStyle w:val="Compact"/>
              <w:jc w:val="right"/>
            </w:pPr>
            <w:r>
              <w:rPr>
                <w:b/>
              </w:rPr>
              <w:t>100-249 (6)</w:t>
            </w:r>
          </w:p>
        </w:tc>
        <w:tc>
          <w:tcPr>
            <w:tcW w:w="0" w:type="auto"/>
          </w:tcPr>
          <w:p w14:paraId="2793E89D" w14:textId="77777777" w:rsidR="00A1778A" w:rsidRDefault="00A1778A" w:rsidP="00F14AAD">
            <w:pPr>
              <w:pStyle w:val="Compact"/>
              <w:jc w:val="right"/>
            </w:pPr>
            <w:r>
              <w:t>41</w:t>
            </w:r>
          </w:p>
        </w:tc>
        <w:tc>
          <w:tcPr>
            <w:tcW w:w="0" w:type="auto"/>
          </w:tcPr>
          <w:p w14:paraId="704FA965" w14:textId="77777777" w:rsidR="00A1778A" w:rsidRDefault="00A1778A" w:rsidP="00F14AAD">
            <w:pPr>
              <w:pStyle w:val="Compact"/>
              <w:jc w:val="right"/>
            </w:pPr>
            <w:r>
              <w:t>7.77</w:t>
            </w:r>
          </w:p>
        </w:tc>
      </w:tr>
      <w:tr w:rsidR="00A1778A" w14:paraId="7D77F0ED" w14:textId="77777777" w:rsidTr="00F14AAD">
        <w:tc>
          <w:tcPr>
            <w:tcW w:w="0" w:type="auto"/>
          </w:tcPr>
          <w:p w14:paraId="371A6A0F" w14:textId="77777777" w:rsidR="00A1778A" w:rsidRDefault="00A1778A" w:rsidP="00F14AAD">
            <w:pPr>
              <w:pStyle w:val="Compact"/>
              <w:jc w:val="right"/>
            </w:pPr>
            <w:r>
              <w:rPr>
                <w:b/>
              </w:rPr>
              <w:t>250-499 (7)</w:t>
            </w:r>
          </w:p>
        </w:tc>
        <w:tc>
          <w:tcPr>
            <w:tcW w:w="0" w:type="auto"/>
          </w:tcPr>
          <w:p w14:paraId="0B639945" w14:textId="77777777" w:rsidR="00A1778A" w:rsidRDefault="00A1778A" w:rsidP="00F14AAD">
            <w:pPr>
              <w:pStyle w:val="Compact"/>
              <w:jc w:val="right"/>
            </w:pPr>
            <w:r>
              <w:t>16</w:t>
            </w:r>
          </w:p>
        </w:tc>
        <w:tc>
          <w:tcPr>
            <w:tcW w:w="0" w:type="auto"/>
          </w:tcPr>
          <w:p w14:paraId="06FB9B0D" w14:textId="77777777" w:rsidR="00A1778A" w:rsidRDefault="00A1778A" w:rsidP="00F14AAD">
            <w:pPr>
              <w:pStyle w:val="Compact"/>
              <w:jc w:val="right"/>
            </w:pPr>
            <w:r>
              <w:t>3.03</w:t>
            </w:r>
          </w:p>
        </w:tc>
      </w:tr>
      <w:tr w:rsidR="00A1778A" w14:paraId="4F445810" w14:textId="77777777" w:rsidTr="00F14AAD">
        <w:tc>
          <w:tcPr>
            <w:tcW w:w="0" w:type="auto"/>
          </w:tcPr>
          <w:p w14:paraId="7D629E91" w14:textId="77777777" w:rsidR="00A1778A" w:rsidRDefault="00A1778A" w:rsidP="00F14AAD">
            <w:pPr>
              <w:pStyle w:val="Compact"/>
              <w:jc w:val="right"/>
            </w:pPr>
            <w:r>
              <w:rPr>
                <w:b/>
              </w:rPr>
              <w:t>More than 500 (8)</w:t>
            </w:r>
          </w:p>
        </w:tc>
        <w:tc>
          <w:tcPr>
            <w:tcW w:w="0" w:type="auto"/>
          </w:tcPr>
          <w:p w14:paraId="4B6A2539" w14:textId="77777777" w:rsidR="00A1778A" w:rsidRDefault="00A1778A" w:rsidP="00F14AAD">
            <w:pPr>
              <w:pStyle w:val="Compact"/>
              <w:jc w:val="right"/>
            </w:pPr>
            <w:r>
              <w:t>17</w:t>
            </w:r>
          </w:p>
        </w:tc>
        <w:tc>
          <w:tcPr>
            <w:tcW w:w="0" w:type="auto"/>
          </w:tcPr>
          <w:p w14:paraId="4222E1FC" w14:textId="77777777" w:rsidR="00A1778A" w:rsidRDefault="00A1778A" w:rsidP="00F14AAD">
            <w:pPr>
              <w:pStyle w:val="Compact"/>
              <w:jc w:val="right"/>
            </w:pPr>
            <w:r>
              <w:t>3.22</w:t>
            </w:r>
          </w:p>
        </w:tc>
      </w:tr>
      <w:tr w:rsidR="00A1778A" w14:paraId="4FE5DA15" w14:textId="77777777" w:rsidTr="00F14AAD">
        <w:tc>
          <w:tcPr>
            <w:tcW w:w="0" w:type="auto"/>
          </w:tcPr>
          <w:p w14:paraId="0BF33DA6" w14:textId="77777777" w:rsidR="00A1778A" w:rsidRDefault="00A1778A" w:rsidP="00F14AAD">
            <w:pPr>
              <w:pStyle w:val="Compact"/>
              <w:jc w:val="right"/>
            </w:pPr>
            <w:r>
              <w:rPr>
                <w:b/>
              </w:rPr>
              <w:t>Don’t know (9)</w:t>
            </w:r>
          </w:p>
        </w:tc>
        <w:tc>
          <w:tcPr>
            <w:tcW w:w="0" w:type="auto"/>
          </w:tcPr>
          <w:p w14:paraId="0D90C8FF" w14:textId="77777777" w:rsidR="00A1778A" w:rsidRDefault="00A1778A" w:rsidP="00F14AAD">
            <w:pPr>
              <w:pStyle w:val="Compact"/>
              <w:jc w:val="right"/>
            </w:pPr>
            <w:r>
              <w:t>68</w:t>
            </w:r>
          </w:p>
        </w:tc>
        <w:tc>
          <w:tcPr>
            <w:tcW w:w="0" w:type="auto"/>
          </w:tcPr>
          <w:p w14:paraId="067BA140" w14:textId="77777777" w:rsidR="00A1778A" w:rsidRDefault="00A1778A" w:rsidP="00F14AAD">
            <w:pPr>
              <w:pStyle w:val="Compact"/>
              <w:jc w:val="right"/>
            </w:pPr>
            <w:r>
              <w:t>12.88</w:t>
            </w:r>
          </w:p>
        </w:tc>
      </w:tr>
      <w:tr w:rsidR="00A1778A" w14:paraId="6A7650F3" w14:textId="77777777" w:rsidTr="00F14AAD">
        <w:tc>
          <w:tcPr>
            <w:tcW w:w="0" w:type="auto"/>
          </w:tcPr>
          <w:p w14:paraId="3FEC3C8F" w14:textId="77777777" w:rsidR="00A1778A" w:rsidRDefault="00A1778A" w:rsidP="00F14AAD">
            <w:pPr>
              <w:pStyle w:val="Compact"/>
              <w:jc w:val="right"/>
            </w:pPr>
            <w:r>
              <w:rPr>
                <w:b/>
              </w:rPr>
              <w:t>Total</w:t>
            </w:r>
          </w:p>
        </w:tc>
        <w:tc>
          <w:tcPr>
            <w:tcW w:w="0" w:type="auto"/>
          </w:tcPr>
          <w:p w14:paraId="64DC0720" w14:textId="77777777" w:rsidR="00A1778A" w:rsidRDefault="00A1778A" w:rsidP="00F14AAD">
            <w:pPr>
              <w:pStyle w:val="Compact"/>
              <w:jc w:val="right"/>
            </w:pPr>
            <w:r>
              <w:t>528</w:t>
            </w:r>
          </w:p>
        </w:tc>
        <w:tc>
          <w:tcPr>
            <w:tcW w:w="0" w:type="auto"/>
          </w:tcPr>
          <w:p w14:paraId="680A33E9" w14:textId="77777777" w:rsidR="00A1778A" w:rsidRDefault="00A1778A" w:rsidP="00F14AAD">
            <w:pPr>
              <w:pStyle w:val="Compact"/>
              <w:jc w:val="right"/>
            </w:pPr>
            <w:r>
              <w:t>100.00</w:t>
            </w:r>
          </w:p>
        </w:tc>
      </w:tr>
    </w:tbl>
    <w:p w14:paraId="580C7C47" w14:textId="77777777" w:rsidR="00A1778A" w:rsidRDefault="00A1778A" w:rsidP="00A1778A">
      <w:pPr>
        <w:pStyle w:val="Heading4"/>
      </w:pPr>
      <w:bookmarkStart w:id="4" w:name="aggressiveness"/>
      <w:r>
        <w:rPr>
          <w:rStyle w:val="VerbatimChar"/>
        </w:rPr>
        <w:t>aggressiveness</w:t>
      </w:r>
      <w:bookmarkEnd w:id="4"/>
    </w:p>
    <w:p w14:paraId="72088F40" w14:textId="77777777" w:rsidR="00A1778A" w:rsidRDefault="00A1778A" w:rsidP="00A1778A">
      <w:pPr>
        <w:pStyle w:val="FirstParagraph"/>
      </w:pPr>
      <w:r>
        <w:t>"Some municipalities have chosen to respond to COVID-19 with very aggressive social distancing policies, facility and event closures, and other measures. Others currently have less aggressive restrictions in place.</w:t>
      </w:r>
    </w:p>
    <w:p w14:paraId="4D6C73D3" w14:textId="77777777" w:rsidR="00A1778A" w:rsidRDefault="00A1778A" w:rsidP="00A1778A">
      <w:pPr>
        <w:pStyle w:val="BodyText"/>
      </w:pPr>
      <w:r>
        <w:t>How would you describe your municipality’s current approach to the COVID-19 pandemic?"</w:t>
      </w:r>
    </w:p>
    <w:tbl>
      <w:tblPr>
        <w:tblStyle w:val="Table"/>
        <w:tblW w:w="0" w:type="pct"/>
        <w:tblLook w:val="07E0" w:firstRow="1" w:lastRow="1" w:firstColumn="1" w:lastColumn="1" w:noHBand="1" w:noVBand="1"/>
      </w:tblPr>
      <w:tblGrid>
        <w:gridCol w:w="2802"/>
        <w:gridCol w:w="656"/>
        <w:gridCol w:w="885"/>
      </w:tblGrid>
      <w:tr w:rsidR="00A1778A" w14:paraId="1BB4422B" w14:textId="77777777" w:rsidTr="00F14AAD">
        <w:tc>
          <w:tcPr>
            <w:tcW w:w="0" w:type="auto"/>
            <w:tcBorders>
              <w:bottom w:val="single" w:sz="0" w:space="0" w:color="auto"/>
            </w:tcBorders>
            <w:vAlign w:val="bottom"/>
          </w:tcPr>
          <w:p w14:paraId="54A43CF1" w14:textId="77777777" w:rsidR="00A1778A" w:rsidRDefault="00A1778A" w:rsidP="00F14AAD">
            <w:pPr>
              <w:pStyle w:val="Compact"/>
              <w:jc w:val="right"/>
            </w:pPr>
            <w:r>
              <w:t> </w:t>
            </w:r>
          </w:p>
        </w:tc>
        <w:tc>
          <w:tcPr>
            <w:tcW w:w="0" w:type="auto"/>
            <w:tcBorders>
              <w:bottom w:val="single" w:sz="0" w:space="0" w:color="auto"/>
            </w:tcBorders>
            <w:vAlign w:val="bottom"/>
          </w:tcPr>
          <w:p w14:paraId="3BC2DAD8" w14:textId="77777777" w:rsidR="00A1778A" w:rsidRDefault="00A1778A" w:rsidP="00F14AAD">
            <w:pPr>
              <w:pStyle w:val="Compact"/>
              <w:jc w:val="right"/>
            </w:pPr>
            <w:r>
              <w:t>Freq</w:t>
            </w:r>
          </w:p>
        </w:tc>
        <w:tc>
          <w:tcPr>
            <w:tcW w:w="0" w:type="auto"/>
            <w:tcBorders>
              <w:bottom w:val="single" w:sz="0" w:space="0" w:color="auto"/>
            </w:tcBorders>
            <w:vAlign w:val="bottom"/>
          </w:tcPr>
          <w:p w14:paraId="3D525C85" w14:textId="77777777" w:rsidR="00A1778A" w:rsidRDefault="00A1778A" w:rsidP="00F14AAD">
            <w:pPr>
              <w:pStyle w:val="Compact"/>
              <w:jc w:val="right"/>
            </w:pPr>
            <w:r>
              <w:t>%</w:t>
            </w:r>
          </w:p>
        </w:tc>
      </w:tr>
      <w:tr w:rsidR="00A1778A" w14:paraId="6FEC4D5B" w14:textId="77777777" w:rsidTr="00F14AAD">
        <w:tc>
          <w:tcPr>
            <w:tcW w:w="0" w:type="auto"/>
          </w:tcPr>
          <w:p w14:paraId="6D5B3C04" w14:textId="77777777" w:rsidR="00A1778A" w:rsidRDefault="00A1778A" w:rsidP="00F14AAD">
            <w:pPr>
              <w:pStyle w:val="Compact"/>
              <w:jc w:val="right"/>
            </w:pPr>
            <w:r>
              <w:rPr>
                <w:b/>
              </w:rPr>
              <w:t>Not at all aggressive (1)</w:t>
            </w:r>
          </w:p>
        </w:tc>
        <w:tc>
          <w:tcPr>
            <w:tcW w:w="0" w:type="auto"/>
          </w:tcPr>
          <w:p w14:paraId="601A61D5" w14:textId="77777777" w:rsidR="00A1778A" w:rsidRDefault="00A1778A" w:rsidP="00F14AAD">
            <w:pPr>
              <w:pStyle w:val="Compact"/>
              <w:jc w:val="right"/>
            </w:pPr>
            <w:r>
              <w:t>15</w:t>
            </w:r>
          </w:p>
        </w:tc>
        <w:tc>
          <w:tcPr>
            <w:tcW w:w="0" w:type="auto"/>
          </w:tcPr>
          <w:p w14:paraId="6F28164C" w14:textId="77777777" w:rsidR="00A1778A" w:rsidRDefault="00A1778A" w:rsidP="00F14AAD">
            <w:pPr>
              <w:pStyle w:val="Compact"/>
              <w:jc w:val="right"/>
            </w:pPr>
            <w:r>
              <w:t>2.85</w:t>
            </w:r>
          </w:p>
        </w:tc>
      </w:tr>
      <w:tr w:rsidR="00A1778A" w14:paraId="21043813" w14:textId="77777777" w:rsidTr="00F14AAD">
        <w:tc>
          <w:tcPr>
            <w:tcW w:w="0" w:type="auto"/>
          </w:tcPr>
          <w:p w14:paraId="57607DB0" w14:textId="77777777" w:rsidR="00A1778A" w:rsidRDefault="00A1778A" w:rsidP="00F14AAD">
            <w:pPr>
              <w:pStyle w:val="Compact"/>
              <w:jc w:val="right"/>
            </w:pPr>
            <w:r>
              <w:rPr>
                <w:b/>
              </w:rPr>
              <w:t>Moderately aggressive (2)</w:t>
            </w:r>
          </w:p>
        </w:tc>
        <w:tc>
          <w:tcPr>
            <w:tcW w:w="0" w:type="auto"/>
          </w:tcPr>
          <w:p w14:paraId="2BC2BCDA" w14:textId="77777777" w:rsidR="00A1778A" w:rsidRDefault="00A1778A" w:rsidP="00F14AAD">
            <w:pPr>
              <w:pStyle w:val="Compact"/>
              <w:jc w:val="right"/>
            </w:pPr>
            <w:r>
              <w:t>288</w:t>
            </w:r>
          </w:p>
        </w:tc>
        <w:tc>
          <w:tcPr>
            <w:tcW w:w="0" w:type="auto"/>
          </w:tcPr>
          <w:p w14:paraId="68D3D0F5" w14:textId="77777777" w:rsidR="00A1778A" w:rsidRDefault="00A1778A" w:rsidP="00F14AAD">
            <w:pPr>
              <w:pStyle w:val="Compact"/>
              <w:jc w:val="right"/>
            </w:pPr>
            <w:r>
              <w:t>54.75</w:t>
            </w:r>
          </w:p>
        </w:tc>
      </w:tr>
      <w:tr w:rsidR="00A1778A" w14:paraId="0BAED36F" w14:textId="77777777" w:rsidTr="00F14AAD">
        <w:tc>
          <w:tcPr>
            <w:tcW w:w="0" w:type="auto"/>
          </w:tcPr>
          <w:p w14:paraId="39E7E80D" w14:textId="77777777" w:rsidR="00A1778A" w:rsidRDefault="00A1778A" w:rsidP="00F14AAD">
            <w:pPr>
              <w:pStyle w:val="Compact"/>
              <w:jc w:val="right"/>
            </w:pPr>
            <w:r>
              <w:rPr>
                <w:b/>
              </w:rPr>
              <w:t>Extremely aggressive (3)</w:t>
            </w:r>
          </w:p>
        </w:tc>
        <w:tc>
          <w:tcPr>
            <w:tcW w:w="0" w:type="auto"/>
          </w:tcPr>
          <w:p w14:paraId="10BE0894" w14:textId="77777777" w:rsidR="00A1778A" w:rsidRDefault="00A1778A" w:rsidP="00F14AAD">
            <w:pPr>
              <w:pStyle w:val="Compact"/>
              <w:jc w:val="right"/>
            </w:pPr>
            <w:r>
              <w:t>222</w:t>
            </w:r>
          </w:p>
        </w:tc>
        <w:tc>
          <w:tcPr>
            <w:tcW w:w="0" w:type="auto"/>
          </w:tcPr>
          <w:p w14:paraId="655BBEAD" w14:textId="77777777" w:rsidR="00A1778A" w:rsidRDefault="00A1778A" w:rsidP="00F14AAD">
            <w:pPr>
              <w:pStyle w:val="Compact"/>
              <w:jc w:val="right"/>
            </w:pPr>
            <w:r>
              <w:t>42.21</w:t>
            </w:r>
          </w:p>
        </w:tc>
      </w:tr>
      <w:tr w:rsidR="00A1778A" w14:paraId="40EFF1BF" w14:textId="77777777" w:rsidTr="00F14AAD">
        <w:tc>
          <w:tcPr>
            <w:tcW w:w="0" w:type="auto"/>
          </w:tcPr>
          <w:p w14:paraId="4CF201F8" w14:textId="77777777" w:rsidR="00A1778A" w:rsidRDefault="00A1778A" w:rsidP="00F14AAD">
            <w:pPr>
              <w:pStyle w:val="Compact"/>
              <w:jc w:val="right"/>
            </w:pPr>
            <w:r>
              <w:rPr>
                <w:b/>
              </w:rPr>
              <w:t>Don’t know (9)</w:t>
            </w:r>
          </w:p>
        </w:tc>
        <w:tc>
          <w:tcPr>
            <w:tcW w:w="0" w:type="auto"/>
          </w:tcPr>
          <w:p w14:paraId="7B426D38" w14:textId="77777777" w:rsidR="00A1778A" w:rsidRDefault="00A1778A" w:rsidP="00F14AAD">
            <w:pPr>
              <w:pStyle w:val="Compact"/>
              <w:jc w:val="right"/>
            </w:pPr>
            <w:r>
              <w:t>1</w:t>
            </w:r>
          </w:p>
        </w:tc>
        <w:tc>
          <w:tcPr>
            <w:tcW w:w="0" w:type="auto"/>
          </w:tcPr>
          <w:p w14:paraId="3E64ED49" w14:textId="77777777" w:rsidR="00A1778A" w:rsidRDefault="00A1778A" w:rsidP="00F14AAD">
            <w:pPr>
              <w:pStyle w:val="Compact"/>
              <w:jc w:val="right"/>
            </w:pPr>
            <w:r>
              <w:t>0.19</w:t>
            </w:r>
          </w:p>
        </w:tc>
      </w:tr>
      <w:tr w:rsidR="00A1778A" w14:paraId="5AC877A7" w14:textId="77777777" w:rsidTr="00F14AAD">
        <w:tc>
          <w:tcPr>
            <w:tcW w:w="0" w:type="auto"/>
          </w:tcPr>
          <w:p w14:paraId="5019F943" w14:textId="77777777" w:rsidR="00A1778A" w:rsidRDefault="00A1778A" w:rsidP="00F14AAD">
            <w:pPr>
              <w:pStyle w:val="Compact"/>
              <w:jc w:val="right"/>
            </w:pPr>
            <w:r>
              <w:rPr>
                <w:b/>
              </w:rPr>
              <w:t>Total</w:t>
            </w:r>
          </w:p>
        </w:tc>
        <w:tc>
          <w:tcPr>
            <w:tcW w:w="0" w:type="auto"/>
          </w:tcPr>
          <w:p w14:paraId="0F7C671E" w14:textId="77777777" w:rsidR="00A1778A" w:rsidRDefault="00A1778A" w:rsidP="00F14AAD">
            <w:pPr>
              <w:pStyle w:val="Compact"/>
              <w:jc w:val="right"/>
            </w:pPr>
            <w:r>
              <w:t>526</w:t>
            </w:r>
          </w:p>
        </w:tc>
        <w:tc>
          <w:tcPr>
            <w:tcW w:w="0" w:type="auto"/>
          </w:tcPr>
          <w:p w14:paraId="328CB354" w14:textId="77777777" w:rsidR="00A1778A" w:rsidRDefault="00A1778A" w:rsidP="00F14AAD">
            <w:pPr>
              <w:pStyle w:val="Compact"/>
              <w:jc w:val="right"/>
            </w:pPr>
            <w:r>
              <w:t>100.00</w:t>
            </w:r>
          </w:p>
        </w:tc>
      </w:tr>
    </w:tbl>
    <w:p w14:paraId="57A32F36" w14:textId="77777777" w:rsidR="00A1778A" w:rsidRDefault="00A1778A" w:rsidP="00A1778A">
      <w:pPr>
        <w:pStyle w:val="Heading4"/>
      </w:pPr>
      <w:bookmarkStart w:id="5" w:name="status_cityhall"/>
      <w:proofErr w:type="spellStart"/>
      <w:r>
        <w:rPr>
          <w:rStyle w:val="VerbatimChar"/>
        </w:rPr>
        <w:t>status_cityhall</w:t>
      </w:r>
      <w:bookmarkEnd w:id="5"/>
      <w:proofErr w:type="spellEnd"/>
    </w:p>
    <w:p w14:paraId="2A5719E3" w14:textId="77777777" w:rsidR="00A1778A" w:rsidRDefault="00A1778A" w:rsidP="00A1778A">
      <w:pPr>
        <w:pStyle w:val="FirstParagraph"/>
      </w:pPr>
      <w:r>
        <w:t>"What is the status of the following facilities and services in your municipality?</w:t>
      </w:r>
    </w:p>
    <w:p w14:paraId="6A88E930" w14:textId="77777777" w:rsidR="00A1778A" w:rsidRDefault="00A1778A" w:rsidP="00A1778A">
      <w:pPr>
        <w:pStyle w:val="BodyText"/>
      </w:pPr>
      <w:r>
        <w:t>City Hall (or equivalent facility)"</w:t>
      </w:r>
    </w:p>
    <w:tbl>
      <w:tblPr>
        <w:tblStyle w:val="Table"/>
        <w:tblW w:w="0" w:type="pct"/>
        <w:tblLook w:val="07E0" w:firstRow="1" w:lastRow="1" w:firstColumn="1" w:lastColumn="1" w:noHBand="1" w:noVBand="1"/>
      </w:tblPr>
      <w:tblGrid>
        <w:gridCol w:w="3940"/>
        <w:gridCol w:w="656"/>
        <w:gridCol w:w="885"/>
      </w:tblGrid>
      <w:tr w:rsidR="00A1778A" w14:paraId="15F5C0A4" w14:textId="77777777" w:rsidTr="00F14AAD">
        <w:tc>
          <w:tcPr>
            <w:tcW w:w="0" w:type="auto"/>
            <w:tcBorders>
              <w:bottom w:val="single" w:sz="0" w:space="0" w:color="auto"/>
            </w:tcBorders>
            <w:vAlign w:val="bottom"/>
          </w:tcPr>
          <w:p w14:paraId="2166BA78" w14:textId="77777777" w:rsidR="00A1778A" w:rsidRDefault="00A1778A" w:rsidP="00F14AAD">
            <w:pPr>
              <w:pStyle w:val="Compact"/>
              <w:jc w:val="right"/>
            </w:pPr>
            <w:r>
              <w:t> </w:t>
            </w:r>
          </w:p>
        </w:tc>
        <w:tc>
          <w:tcPr>
            <w:tcW w:w="0" w:type="auto"/>
            <w:tcBorders>
              <w:bottom w:val="single" w:sz="0" w:space="0" w:color="auto"/>
            </w:tcBorders>
            <w:vAlign w:val="bottom"/>
          </w:tcPr>
          <w:p w14:paraId="7D0C53E0" w14:textId="77777777" w:rsidR="00A1778A" w:rsidRDefault="00A1778A" w:rsidP="00F14AAD">
            <w:pPr>
              <w:pStyle w:val="Compact"/>
              <w:jc w:val="right"/>
            </w:pPr>
            <w:r>
              <w:t>Freq</w:t>
            </w:r>
          </w:p>
        </w:tc>
        <w:tc>
          <w:tcPr>
            <w:tcW w:w="0" w:type="auto"/>
            <w:tcBorders>
              <w:bottom w:val="single" w:sz="0" w:space="0" w:color="auto"/>
            </w:tcBorders>
            <w:vAlign w:val="bottom"/>
          </w:tcPr>
          <w:p w14:paraId="5CFAA0C0" w14:textId="77777777" w:rsidR="00A1778A" w:rsidRDefault="00A1778A" w:rsidP="00F14AAD">
            <w:pPr>
              <w:pStyle w:val="Compact"/>
              <w:jc w:val="right"/>
            </w:pPr>
            <w:r>
              <w:t>%</w:t>
            </w:r>
          </w:p>
        </w:tc>
      </w:tr>
      <w:tr w:rsidR="00A1778A" w14:paraId="3137414B" w14:textId="77777777" w:rsidTr="00F14AAD">
        <w:tc>
          <w:tcPr>
            <w:tcW w:w="0" w:type="auto"/>
          </w:tcPr>
          <w:p w14:paraId="0FEC13B8" w14:textId="77777777" w:rsidR="00A1778A" w:rsidRDefault="00A1778A" w:rsidP="00F14AAD">
            <w:pPr>
              <w:pStyle w:val="Compact"/>
              <w:jc w:val="right"/>
            </w:pPr>
            <w:r>
              <w:rPr>
                <w:b/>
              </w:rPr>
              <w:t>Fully closed (1)</w:t>
            </w:r>
          </w:p>
        </w:tc>
        <w:tc>
          <w:tcPr>
            <w:tcW w:w="0" w:type="auto"/>
          </w:tcPr>
          <w:p w14:paraId="6EBD3FE6" w14:textId="77777777" w:rsidR="00A1778A" w:rsidRDefault="00A1778A" w:rsidP="00F14AAD">
            <w:pPr>
              <w:pStyle w:val="Compact"/>
              <w:jc w:val="right"/>
            </w:pPr>
            <w:r>
              <w:t>270</w:t>
            </w:r>
          </w:p>
        </w:tc>
        <w:tc>
          <w:tcPr>
            <w:tcW w:w="0" w:type="auto"/>
          </w:tcPr>
          <w:p w14:paraId="6D495463" w14:textId="77777777" w:rsidR="00A1778A" w:rsidRDefault="00A1778A" w:rsidP="00F14AAD">
            <w:pPr>
              <w:pStyle w:val="Compact"/>
              <w:jc w:val="right"/>
            </w:pPr>
            <w:r>
              <w:t>51.43</w:t>
            </w:r>
          </w:p>
        </w:tc>
      </w:tr>
      <w:tr w:rsidR="00A1778A" w14:paraId="61613A93" w14:textId="77777777" w:rsidTr="00F14AAD">
        <w:tc>
          <w:tcPr>
            <w:tcW w:w="0" w:type="auto"/>
          </w:tcPr>
          <w:p w14:paraId="2FD0A04E" w14:textId="77777777" w:rsidR="00A1778A" w:rsidRDefault="00A1778A" w:rsidP="00F14AAD">
            <w:pPr>
              <w:pStyle w:val="Compact"/>
              <w:jc w:val="right"/>
            </w:pPr>
            <w:r>
              <w:rPr>
                <w:b/>
              </w:rPr>
              <w:t>Partially closed or reduced service (2)</w:t>
            </w:r>
          </w:p>
        </w:tc>
        <w:tc>
          <w:tcPr>
            <w:tcW w:w="0" w:type="auto"/>
          </w:tcPr>
          <w:p w14:paraId="71A2A3CE" w14:textId="77777777" w:rsidR="00A1778A" w:rsidRDefault="00A1778A" w:rsidP="00F14AAD">
            <w:pPr>
              <w:pStyle w:val="Compact"/>
              <w:jc w:val="right"/>
            </w:pPr>
            <w:r>
              <w:t>252</w:t>
            </w:r>
          </w:p>
        </w:tc>
        <w:tc>
          <w:tcPr>
            <w:tcW w:w="0" w:type="auto"/>
          </w:tcPr>
          <w:p w14:paraId="0772FD04" w14:textId="77777777" w:rsidR="00A1778A" w:rsidRDefault="00A1778A" w:rsidP="00F14AAD">
            <w:pPr>
              <w:pStyle w:val="Compact"/>
              <w:jc w:val="right"/>
            </w:pPr>
            <w:r>
              <w:t>48.00</w:t>
            </w:r>
          </w:p>
        </w:tc>
      </w:tr>
      <w:tr w:rsidR="00A1778A" w14:paraId="5D1840E1" w14:textId="77777777" w:rsidTr="00F14AAD">
        <w:tc>
          <w:tcPr>
            <w:tcW w:w="0" w:type="auto"/>
          </w:tcPr>
          <w:p w14:paraId="6A10F51D" w14:textId="77777777" w:rsidR="00A1778A" w:rsidRDefault="00A1778A" w:rsidP="00F14AAD">
            <w:pPr>
              <w:pStyle w:val="Compact"/>
              <w:jc w:val="right"/>
            </w:pPr>
            <w:r>
              <w:rPr>
                <w:b/>
              </w:rPr>
              <w:t>Open / service as usual (3)</w:t>
            </w:r>
          </w:p>
        </w:tc>
        <w:tc>
          <w:tcPr>
            <w:tcW w:w="0" w:type="auto"/>
          </w:tcPr>
          <w:p w14:paraId="27983FF7" w14:textId="77777777" w:rsidR="00A1778A" w:rsidRDefault="00A1778A" w:rsidP="00F14AAD">
            <w:pPr>
              <w:pStyle w:val="Compact"/>
              <w:jc w:val="right"/>
            </w:pPr>
            <w:r>
              <w:t>3</w:t>
            </w:r>
          </w:p>
        </w:tc>
        <w:tc>
          <w:tcPr>
            <w:tcW w:w="0" w:type="auto"/>
          </w:tcPr>
          <w:p w14:paraId="16DAA5D3" w14:textId="77777777" w:rsidR="00A1778A" w:rsidRDefault="00A1778A" w:rsidP="00F14AAD">
            <w:pPr>
              <w:pStyle w:val="Compact"/>
              <w:jc w:val="right"/>
            </w:pPr>
            <w:r>
              <w:t>0.57</w:t>
            </w:r>
          </w:p>
        </w:tc>
      </w:tr>
      <w:tr w:rsidR="00A1778A" w14:paraId="29EC2692" w14:textId="77777777" w:rsidTr="00F14AAD">
        <w:tc>
          <w:tcPr>
            <w:tcW w:w="0" w:type="auto"/>
          </w:tcPr>
          <w:p w14:paraId="067DDE8B" w14:textId="77777777" w:rsidR="00A1778A" w:rsidRDefault="00A1778A" w:rsidP="00F14AAD">
            <w:pPr>
              <w:pStyle w:val="Compact"/>
              <w:jc w:val="right"/>
            </w:pPr>
            <w:r>
              <w:rPr>
                <w:b/>
              </w:rPr>
              <w:t>Not applicable to my municipality (4)</w:t>
            </w:r>
          </w:p>
        </w:tc>
        <w:tc>
          <w:tcPr>
            <w:tcW w:w="0" w:type="auto"/>
          </w:tcPr>
          <w:p w14:paraId="25CF3611" w14:textId="77777777" w:rsidR="00A1778A" w:rsidRDefault="00A1778A" w:rsidP="00F14AAD">
            <w:pPr>
              <w:pStyle w:val="Compact"/>
              <w:jc w:val="right"/>
            </w:pPr>
            <w:r>
              <w:t>0</w:t>
            </w:r>
          </w:p>
        </w:tc>
        <w:tc>
          <w:tcPr>
            <w:tcW w:w="0" w:type="auto"/>
          </w:tcPr>
          <w:p w14:paraId="1959ED2A" w14:textId="77777777" w:rsidR="00A1778A" w:rsidRDefault="00A1778A" w:rsidP="00F14AAD">
            <w:pPr>
              <w:pStyle w:val="Compact"/>
              <w:jc w:val="right"/>
            </w:pPr>
            <w:r>
              <w:t>0.00</w:t>
            </w:r>
          </w:p>
        </w:tc>
      </w:tr>
      <w:tr w:rsidR="00A1778A" w14:paraId="6D86E63E" w14:textId="77777777" w:rsidTr="00F14AAD">
        <w:tc>
          <w:tcPr>
            <w:tcW w:w="0" w:type="auto"/>
          </w:tcPr>
          <w:p w14:paraId="63907F5C" w14:textId="77777777" w:rsidR="00A1778A" w:rsidRDefault="00A1778A" w:rsidP="00F14AAD">
            <w:pPr>
              <w:pStyle w:val="Compact"/>
              <w:jc w:val="right"/>
            </w:pPr>
            <w:r>
              <w:rPr>
                <w:b/>
              </w:rPr>
              <w:t>Don’t know (9)</w:t>
            </w:r>
          </w:p>
        </w:tc>
        <w:tc>
          <w:tcPr>
            <w:tcW w:w="0" w:type="auto"/>
          </w:tcPr>
          <w:p w14:paraId="3972E1D6" w14:textId="77777777" w:rsidR="00A1778A" w:rsidRDefault="00A1778A" w:rsidP="00F14AAD">
            <w:pPr>
              <w:pStyle w:val="Compact"/>
              <w:jc w:val="right"/>
            </w:pPr>
            <w:r>
              <w:t>0</w:t>
            </w:r>
          </w:p>
        </w:tc>
        <w:tc>
          <w:tcPr>
            <w:tcW w:w="0" w:type="auto"/>
          </w:tcPr>
          <w:p w14:paraId="074E9A6C" w14:textId="77777777" w:rsidR="00A1778A" w:rsidRDefault="00A1778A" w:rsidP="00F14AAD">
            <w:pPr>
              <w:pStyle w:val="Compact"/>
              <w:jc w:val="right"/>
            </w:pPr>
            <w:r>
              <w:t>0.00</w:t>
            </w:r>
          </w:p>
        </w:tc>
      </w:tr>
      <w:tr w:rsidR="00A1778A" w14:paraId="5BC4ED93" w14:textId="77777777" w:rsidTr="00F14AAD">
        <w:tc>
          <w:tcPr>
            <w:tcW w:w="0" w:type="auto"/>
          </w:tcPr>
          <w:p w14:paraId="6B3BBD86" w14:textId="77777777" w:rsidR="00A1778A" w:rsidRDefault="00A1778A" w:rsidP="00F14AAD">
            <w:pPr>
              <w:pStyle w:val="Compact"/>
              <w:jc w:val="right"/>
            </w:pPr>
            <w:r>
              <w:rPr>
                <w:b/>
              </w:rPr>
              <w:t>Total</w:t>
            </w:r>
          </w:p>
        </w:tc>
        <w:tc>
          <w:tcPr>
            <w:tcW w:w="0" w:type="auto"/>
          </w:tcPr>
          <w:p w14:paraId="6DE2B82F" w14:textId="77777777" w:rsidR="00A1778A" w:rsidRDefault="00A1778A" w:rsidP="00F14AAD">
            <w:pPr>
              <w:pStyle w:val="Compact"/>
              <w:jc w:val="right"/>
            </w:pPr>
            <w:r>
              <w:t>525</w:t>
            </w:r>
          </w:p>
        </w:tc>
        <w:tc>
          <w:tcPr>
            <w:tcW w:w="0" w:type="auto"/>
          </w:tcPr>
          <w:p w14:paraId="2DC0E2AE" w14:textId="77777777" w:rsidR="00A1778A" w:rsidRDefault="00A1778A" w:rsidP="00F14AAD">
            <w:pPr>
              <w:pStyle w:val="Compact"/>
              <w:jc w:val="right"/>
            </w:pPr>
            <w:r>
              <w:t>100.00</w:t>
            </w:r>
          </w:p>
        </w:tc>
      </w:tr>
    </w:tbl>
    <w:p w14:paraId="2CDAFB5E" w14:textId="77777777" w:rsidR="00A1778A" w:rsidRDefault="00A1778A" w:rsidP="00A1778A">
      <w:pPr>
        <w:pStyle w:val="Heading4"/>
      </w:pPr>
      <w:bookmarkStart w:id="6" w:name="status_recreation"/>
      <w:proofErr w:type="spellStart"/>
      <w:r>
        <w:rPr>
          <w:rStyle w:val="VerbatimChar"/>
        </w:rPr>
        <w:lastRenderedPageBreak/>
        <w:t>status_recreation</w:t>
      </w:r>
      <w:bookmarkEnd w:id="6"/>
      <w:proofErr w:type="spellEnd"/>
    </w:p>
    <w:p w14:paraId="67EA0C41" w14:textId="77777777" w:rsidR="00A1778A" w:rsidRDefault="00A1778A" w:rsidP="00A1778A">
      <w:pPr>
        <w:pStyle w:val="FirstParagraph"/>
      </w:pPr>
      <w:r>
        <w:t>"What is the status of the following facilities and services in your municipality?</w:t>
      </w:r>
    </w:p>
    <w:p w14:paraId="18E501EB" w14:textId="77777777" w:rsidR="00A1778A" w:rsidRDefault="00A1778A" w:rsidP="00A1778A">
      <w:pPr>
        <w:pStyle w:val="BodyText"/>
      </w:pPr>
      <w:r>
        <w:t>Recreation facilities"</w:t>
      </w:r>
    </w:p>
    <w:tbl>
      <w:tblPr>
        <w:tblStyle w:val="Table"/>
        <w:tblW w:w="0" w:type="pct"/>
        <w:tblLook w:val="07E0" w:firstRow="1" w:lastRow="1" w:firstColumn="1" w:lastColumn="1" w:noHBand="1" w:noVBand="1"/>
      </w:tblPr>
      <w:tblGrid>
        <w:gridCol w:w="3940"/>
        <w:gridCol w:w="656"/>
        <w:gridCol w:w="885"/>
      </w:tblGrid>
      <w:tr w:rsidR="00A1778A" w14:paraId="18F51AB2" w14:textId="77777777" w:rsidTr="00F14AAD">
        <w:tc>
          <w:tcPr>
            <w:tcW w:w="0" w:type="auto"/>
            <w:tcBorders>
              <w:bottom w:val="single" w:sz="0" w:space="0" w:color="auto"/>
            </w:tcBorders>
            <w:vAlign w:val="bottom"/>
          </w:tcPr>
          <w:p w14:paraId="248741DB" w14:textId="77777777" w:rsidR="00A1778A" w:rsidRDefault="00A1778A" w:rsidP="00F14AAD">
            <w:pPr>
              <w:pStyle w:val="Compact"/>
              <w:jc w:val="right"/>
            </w:pPr>
            <w:r>
              <w:t> </w:t>
            </w:r>
          </w:p>
        </w:tc>
        <w:tc>
          <w:tcPr>
            <w:tcW w:w="0" w:type="auto"/>
            <w:tcBorders>
              <w:bottom w:val="single" w:sz="0" w:space="0" w:color="auto"/>
            </w:tcBorders>
            <w:vAlign w:val="bottom"/>
          </w:tcPr>
          <w:p w14:paraId="73F62BD9" w14:textId="77777777" w:rsidR="00A1778A" w:rsidRDefault="00A1778A" w:rsidP="00F14AAD">
            <w:pPr>
              <w:pStyle w:val="Compact"/>
              <w:jc w:val="right"/>
            </w:pPr>
            <w:r>
              <w:t>Freq</w:t>
            </w:r>
          </w:p>
        </w:tc>
        <w:tc>
          <w:tcPr>
            <w:tcW w:w="0" w:type="auto"/>
            <w:tcBorders>
              <w:bottom w:val="single" w:sz="0" w:space="0" w:color="auto"/>
            </w:tcBorders>
            <w:vAlign w:val="bottom"/>
          </w:tcPr>
          <w:p w14:paraId="45FD1400" w14:textId="77777777" w:rsidR="00A1778A" w:rsidRDefault="00A1778A" w:rsidP="00F14AAD">
            <w:pPr>
              <w:pStyle w:val="Compact"/>
              <w:jc w:val="right"/>
            </w:pPr>
            <w:r>
              <w:t>%</w:t>
            </w:r>
          </w:p>
        </w:tc>
      </w:tr>
      <w:tr w:rsidR="00A1778A" w14:paraId="576FD6BA" w14:textId="77777777" w:rsidTr="00F14AAD">
        <w:tc>
          <w:tcPr>
            <w:tcW w:w="0" w:type="auto"/>
          </w:tcPr>
          <w:p w14:paraId="0E0DD836" w14:textId="77777777" w:rsidR="00A1778A" w:rsidRDefault="00A1778A" w:rsidP="00F14AAD">
            <w:pPr>
              <w:pStyle w:val="Compact"/>
              <w:jc w:val="right"/>
            </w:pPr>
            <w:r>
              <w:rPr>
                <w:b/>
              </w:rPr>
              <w:t>Fully closed (1)</w:t>
            </w:r>
          </w:p>
        </w:tc>
        <w:tc>
          <w:tcPr>
            <w:tcW w:w="0" w:type="auto"/>
          </w:tcPr>
          <w:p w14:paraId="442C5646" w14:textId="77777777" w:rsidR="00A1778A" w:rsidRDefault="00A1778A" w:rsidP="00F14AAD">
            <w:pPr>
              <w:pStyle w:val="Compact"/>
              <w:jc w:val="right"/>
            </w:pPr>
            <w:r>
              <w:t>515</w:t>
            </w:r>
          </w:p>
        </w:tc>
        <w:tc>
          <w:tcPr>
            <w:tcW w:w="0" w:type="auto"/>
          </w:tcPr>
          <w:p w14:paraId="73F6A048" w14:textId="77777777" w:rsidR="00A1778A" w:rsidRDefault="00A1778A" w:rsidP="00F14AAD">
            <w:pPr>
              <w:pStyle w:val="Compact"/>
              <w:jc w:val="right"/>
            </w:pPr>
            <w:r>
              <w:t>98.10</w:t>
            </w:r>
          </w:p>
        </w:tc>
      </w:tr>
      <w:tr w:rsidR="00A1778A" w14:paraId="5E2D8D55" w14:textId="77777777" w:rsidTr="00F14AAD">
        <w:tc>
          <w:tcPr>
            <w:tcW w:w="0" w:type="auto"/>
          </w:tcPr>
          <w:p w14:paraId="788D7F0D" w14:textId="77777777" w:rsidR="00A1778A" w:rsidRDefault="00A1778A" w:rsidP="00F14AAD">
            <w:pPr>
              <w:pStyle w:val="Compact"/>
              <w:jc w:val="right"/>
            </w:pPr>
            <w:r>
              <w:rPr>
                <w:b/>
              </w:rPr>
              <w:t>Partially closed or reduced service (2)</w:t>
            </w:r>
          </w:p>
        </w:tc>
        <w:tc>
          <w:tcPr>
            <w:tcW w:w="0" w:type="auto"/>
          </w:tcPr>
          <w:p w14:paraId="674FFBA0" w14:textId="77777777" w:rsidR="00A1778A" w:rsidRDefault="00A1778A" w:rsidP="00F14AAD">
            <w:pPr>
              <w:pStyle w:val="Compact"/>
              <w:jc w:val="right"/>
            </w:pPr>
            <w:r>
              <w:t>8</w:t>
            </w:r>
          </w:p>
        </w:tc>
        <w:tc>
          <w:tcPr>
            <w:tcW w:w="0" w:type="auto"/>
          </w:tcPr>
          <w:p w14:paraId="0275042B" w14:textId="77777777" w:rsidR="00A1778A" w:rsidRDefault="00A1778A" w:rsidP="00F14AAD">
            <w:pPr>
              <w:pStyle w:val="Compact"/>
              <w:jc w:val="right"/>
            </w:pPr>
            <w:r>
              <w:t>1.52</w:t>
            </w:r>
          </w:p>
        </w:tc>
      </w:tr>
      <w:tr w:rsidR="00A1778A" w14:paraId="1194429D" w14:textId="77777777" w:rsidTr="00F14AAD">
        <w:tc>
          <w:tcPr>
            <w:tcW w:w="0" w:type="auto"/>
          </w:tcPr>
          <w:p w14:paraId="1493DA10" w14:textId="77777777" w:rsidR="00A1778A" w:rsidRDefault="00A1778A" w:rsidP="00F14AAD">
            <w:pPr>
              <w:pStyle w:val="Compact"/>
              <w:jc w:val="right"/>
            </w:pPr>
            <w:r>
              <w:rPr>
                <w:b/>
              </w:rPr>
              <w:t>Open / service as usual (3)</w:t>
            </w:r>
          </w:p>
        </w:tc>
        <w:tc>
          <w:tcPr>
            <w:tcW w:w="0" w:type="auto"/>
          </w:tcPr>
          <w:p w14:paraId="07215CAD" w14:textId="77777777" w:rsidR="00A1778A" w:rsidRDefault="00A1778A" w:rsidP="00F14AAD">
            <w:pPr>
              <w:pStyle w:val="Compact"/>
              <w:jc w:val="right"/>
            </w:pPr>
            <w:r>
              <w:t>0</w:t>
            </w:r>
          </w:p>
        </w:tc>
        <w:tc>
          <w:tcPr>
            <w:tcW w:w="0" w:type="auto"/>
          </w:tcPr>
          <w:p w14:paraId="25ED098E" w14:textId="77777777" w:rsidR="00A1778A" w:rsidRDefault="00A1778A" w:rsidP="00F14AAD">
            <w:pPr>
              <w:pStyle w:val="Compact"/>
              <w:jc w:val="right"/>
            </w:pPr>
            <w:r>
              <w:t>0.00</w:t>
            </w:r>
          </w:p>
        </w:tc>
      </w:tr>
      <w:tr w:rsidR="00A1778A" w14:paraId="0B82862E" w14:textId="77777777" w:rsidTr="00F14AAD">
        <w:tc>
          <w:tcPr>
            <w:tcW w:w="0" w:type="auto"/>
          </w:tcPr>
          <w:p w14:paraId="7FCC3315" w14:textId="77777777" w:rsidR="00A1778A" w:rsidRDefault="00A1778A" w:rsidP="00F14AAD">
            <w:pPr>
              <w:pStyle w:val="Compact"/>
              <w:jc w:val="right"/>
            </w:pPr>
            <w:r>
              <w:rPr>
                <w:b/>
              </w:rPr>
              <w:t>Not applicable to my municipality (4)</w:t>
            </w:r>
          </w:p>
        </w:tc>
        <w:tc>
          <w:tcPr>
            <w:tcW w:w="0" w:type="auto"/>
          </w:tcPr>
          <w:p w14:paraId="57D0B9B8" w14:textId="77777777" w:rsidR="00A1778A" w:rsidRDefault="00A1778A" w:rsidP="00F14AAD">
            <w:pPr>
              <w:pStyle w:val="Compact"/>
              <w:jc w:val="right"/>
            </w:pPr>
            <w:r>
              <w:t>2</w:t>
            </w:r>
          </w:p>
        </w:tc>
        <w:tc>
          <w:tcPr>
            <w:tcW w:w="0" w:type="auto"/>
          </w:tcPr>
          <w:p w14:paraId="7D71A2E1" w14:textId="77777777" w:rsidR="00A1778A" w:rsidRDefault="00A1778A" w:rsidP="00F14AAD">
            <w:pPr>
              <w:pStyle w:val="Compact"/>
              <w:jc w:val="right"/>
            </w:pPr>
            <w:r>
              <w:t>0.38</w:t>
            </w:r>
          </w:p>
        </w:tc>
      </w:tr>
      <w:tr w:rsidR="00A1778A" w14:paraId="5339F6ED" w14:textId="77777777" w:rsidTr="00F14AAD">
        <w:tc>
          <w:tcPr>
            <w:tcW w:w="0" w:type="auto"/>
          </w:tcPr>
          <w:p w14:paraId="296250AE" w14:textId="77777777" w:rsidR="00A1778A" w:rsidRDefault="00A1778A" w:rsidP="00F14AAD">
            <w:pPr>
              <w:pStyle w:val="Compact"/>
              <w:jc w:val="right"/>
            </w:pPr>
            <w:r>
              <w:rPr>
                <w:b/>
              </w:rPr>
              <w:t>Don’t know (9)</w:t>
            </w:r>
          </w:p>
        </w:tc>
        <w:tc>
          <w:tcPr>
            <w:tcW w:w="0" w:type="auto"/>
          </w:tcPr>
          <w:p w14:paraId="3BBDDF01" w14:textId="77777777" w:rsidR="00A1778A" w:rsidRDefault="00A1778A" w:rsidP="00F14AAD">
            <w:pPr>
              <w:pStyle w:val="Compact"/>
              <w:jc w:val="right"/>
            </w:pPr>
            <w:r>
              <w:t>0</w:t>
            </w:r>
          </w:p>
        </w:tc>
        <w:tc>
          <w:tcPr>
            <w:tcW w:w="0" w:type="auto"/>
          </w:tcPr>
          <w:p w14:paraId="7E210140" w14:textId="77777777" w:rsidR="00A1778A" w:rsidRDefault="00A1778A" w:rsidP="00F14AAD">
            <w:pPr>
              <w:pStyle w:val="Compact"/>
              <w:jc w:val="right"/>
            </w:pPr>
            <w:r>
              <w:t>0.00</w:t>
            </w:r>
          </w:p>
        </w:tc>
      </w:tr>
      <w:tr w:rsidR="00A1778A" w14:paraId="67411051" w14:textId="77777777" w:rsidTr="00F14AAD">
        <w:tc>
          <w:tcPr>
            <w:tcW w:w="0" w:type="auto"/>
          </w:tcPr>
          <w:p w14:paraId="71C2B38B" w14:textId="77777777" w:rsidR="00A1778A" w:rsidRDefault="00A1778A" w:rsidP="00F14AAD">
            <w:pPr>
              <w:pStyle w:val="Compact"/>
              <w:jc w:val="right"/>
            </w:pPr>
            <w:r>
              <w:rPr>
                <w:b/>
              </w:rPr>
              <w:t>Total</w:t>
            </w:r>
          </w:p>
        </w:tc>
        <w:tc>
          <w:tcPr>
            <w:tcW w:w="0" w:type="auto"/>
          </w:tcPr>
          <w:p w14:paraId="556EC658" w14:textId="77777777" w:rsidR="00A1778A" w:rsidRDefault="00A1778A" w:rsidP="00F14AAD">
            <w:pPr>
              <w:pStyle w:val="Compact"/>
              <w:jc w:val="right"/>
            </w:pPr>
            <w:r>
              <w:t>525</w:t>
            </w:r>
          </w:p>
        </w:tc>
        <w:tc>
          <w:tcPr>
            <w:tcW w:w="0" w:type="auto"/>
          </w:tcPr>
          <w:p w14:paraId="15BBF8B6" w14:textId="77777777" w:rsidR="00A1778A" w:rsidRDefault="00A1778A" w:rsidP="00F14AAD">
            <w:pPr>
              <w:pStyle w:val="Compact"/>
              <w:jc w:val="right"/>
            </w:pPr>
            <w:r>
              <w:t>100.00</w:t>
            </w:r>
          </w:p>
        </w:tc>
      </w:tr>
    </w:tbl>
    <w:p w14:paraId="461BE817" w14:textId="77777777" w:rsidR="00A1778A" w:rsidRDefault="00A1778A" w:rsidP="00A1778A">
      <w:pPr>
        <w:pStyle w:val="Heading4"/>
      </w:pPr>
      <w:bookmarkStart w:id="7" w:name="status_parks"/>
      <w:proofErr w:type="spellStart"/>
      <w:r>
        <w:rPr>
          <w:rStyle w:val="VerbatimChar"/>
        </w:rPr>
        <w:t>status_parks</w:t>
      </w:r>
      <w:bookmarkEnd w:id="7"/>
      <w:proofErr w:type="spellEnd"/>
    </w:p>
    <w:p w14:paraId="37A38D14" w14:textId="77777777" w:rsidR="00A1778A" w:rsidRDefault="00A1778A" w:rsidP="00A1778A">
      <w:pPr>
        <w:pStyle w:val="FirstParagraph"/>
      </w:pPr>
      <w:r>
        <w:t>"What is the status of the following facilities and services in your municipality?</w:t>
      </w:r>
    </w:p>
    <w:p w14:paraId="18680020" w14:textId="77777777" w:rsidR="00A1778A" w:rsidRDefault="00A1778A" w:rsidP="00A1778A">
      <w:pPr>
        <w:pStyle w:val="BodyText"/>
      </w:pPr>
      <w:r>
        <w:t>Parks and playgrounds"</w:t>
      </w:r>
    </w:p>
    <w:tbl>
      <w:tblPr>
        <w:tblStyle w:val="Table"/>
        <w:tblW w:w="0" w:type="pct"/>
        <w:tblLook w:val="07E0" w:firstRow="1" w:lastRow="1" w:firstColumn="1" w:lastColumn="1" w:noHBand="1" w:noVBand="1"/>
      </w:tblPr>
      <w:tblGrid>
        <w:gridCol w:w="3940"/>
        <w:gridCol w:w="656"/>
        <w:gridCol w:w="885"/>
      </w:tblGrid>
      <w:tr w:rsidR="00A1778A" w14:paraId="0EAA0B2F" w14:textId="77777777" w:rsidTr="00F14AAD">
        <w:tc>
          <w:tcPr>
            <w:tcW w:w="0" w:type="auto"/>
            <w:tcBorders>
              <w:bottom w:val="single" w:sz="0" w:space="0" w:color="auto"/>
            </w:tcBorders>
            <w:vAlign w:val="bottom"/>
          </w:tcPr>
          <w:p w14:paraId="68D98684" w14:textId="77777777" w:rsidR="00A1778A" w:rsidRDefault="00A1778A" w:rsidP="00F14AAD">
            <w:pPr>
              <w:pStyle w:val="Compact"/>
              <w:jc w:val="right"/>
            </w:pPr>
            <w:r>
              <w:t> </w:t>
            </w:r>
          </w:p>
        </w:tc>
        <w:tc>
          <w:tcPr>
            <w:tcW w:w="0" w:type="auto"/>
            <w:tcBorders>
              <w:bottom w:val="single" w:sz="0" w:space="0" w:color="auto"/>
            </w:tcBorders>
            <w:vAlign w:val="bottom"/>
          </w:tcPr>
          <w:p w14:paraId="7C0A6D50" w14:textId="77777777" w:rsidR="00A1778A" w:rsidRDefault="00A1778A" w:rsidP="00F14AAD">
            <w:pPr>
              <w:pStyle w:val="Compact"/>
              <w:jc w:val="right"/>
            </w:pPr>
            <w:r>
              <w:t>Freq</w:t>
            </w:r>
          </w:p>
        </w:tc>
        <w:tc>
          <w:tcPr>
            <w:tcW w:w="0" w:type="auto"/>
            <w:tcBorders>
              <w:bottom w:val="single" w:sz="0" w:space="0" w:color="auto"/>
            </w:tcBorders>
            <w:vAlign w:val="bottom"/>
          </w:tcPr>
          <w:p w14:paraId="37107D77" w14:textId="77777777" w:rsidR="00A1778A" w:rsidRDefault="00A1778A" w:rsidP="00F14AAD">
            <w:pPr>
              <w:pStyle w:val="Compact"/>
              <w:jc w:val="right"/>
            </w:pPr>
            <w:r>
              <w:t>%</w:t>
            </w:r>
          </w:p>
        </w:tc>
      </w:tr>
      <w:tr w:rsidR="00A1778A" w14:paraId="50107FED" w14:textId="77777777" w:rsidTr="00F14AAD">
        <w:tc>
          <w:tcPr>
            <w:tcW w:w="0" w:type="auto"/>
          </w:tcPr>
          <w:p w14:paraId="2C7BD275" w14:textId="77777777" w:rsidR="00A1778A" w:rsidRDefault="00A1778A" w:rsidP="00F14AAD">
            <w:pPr>
              <w:pStyle w:val="Compact"/>
              <w:jc w:val="right"/>
            </w:pPr>
            <w:r>
              <w:rPr>
                <w:b/>
              </w:rPr>
              <w:t>Fully closed (1)</w:t>
            </w:r>
          </w:p>
        </w:tc>
        <w:tc>
          <w:tcPr>
            <w:tcW w:w="0" w:type="auto"/>
          </w:tcPr>
          <w:p w14:paraId="254597D1" w14:textId="77777777" w:rsidR="00A1778A" w:rsidRDefault="00A1778A" w:rsidP="00F14AAD">
            <w:pPr>
              <w:pStyle w:val="Compact"/>
              <w:jc w:val="right"/>
            </w:pPr>
            <w:r>
              <w:t>365</w:t>
            </w:r>
          </w:p>
        </w:tc>
        <w:tc>
          <w:tcPr>
            <w:tcW w:w="0" w:type="auto"/>
          </w:tcPr>
          <w:p w14:paraId="79DDE113" w14:textId="77777777" w:rsidR="00A1778A" w:rsidRDefault="00A1778A" w:rsidP="00F14AAD">
            <w:pPr>
              <w:pStyle w:val="Compact"/>
              <w:jc w:val="right"/>
            </w:pPr>
            <w:r>
              <w:t>69.52</w:t>
            </w:r>
          </w:p>
        </w:tc>
      </w:tr>
      <w:tr w:rsidR="00A1778A" w14:paraId="5C7702CB" w14:textId="77777777" w:rsidTr="00F14AAD">
        <w:tc>
          <w:tcPr>
            <w:tcW w:w="0" w:type="auto"/>
          </w:tcPr>
          <w:p w14:paraId="240881D6" w14:textId="77777777" w:rsidR="00A1778A" w:rsidRDefault="00A1778A" w:rsidP="00F14AAD">
            <w:pPr>
              <w:pStyle w:val="Compact"/>
              <w:jc w:val="right"/>
            </w:pPr>
            <w:r>
              <w:rPr>
                <w:b/>
              </w:rPr>
              <w:t>Partially closed or reduced service (2)</w:t>
            </w:r>
          </w:p>
        </w:tc>
        <w:tc>
          <w:tcPr>
            <w:tcW w:w="0" w:type="auto"/>
          </w:tcPr>
          <w:p w14:paraId="7569C74E" w14:textId="77777777" w:rsidR="00A1778A" w:rsidRDefault="00A1778A" w:rsidP="00F14AAD">
            <w:pPr>
              <w:pStyle w:val="Compact"/>
              <w:jc w:val="right"/>
            </w:pPr>
            <w:r>
              <w:t>154</w:t>
            </w:r>
          </w:p>
        </w:tc>
        <w:tc>
          <w:tcPr>
            <w:tcW w:w="0" w:type="auto"/>
          </w:tcPr>
          <w:p w14:paraId="760FEFFF" w14:textId="77777777" w:rsidR="00A1778A" w:rsidRDefault="00A1778A" w:rsidP="00F14AAD">
            <w:pPr>
              <w:pStyle w:val="Compact"/>
              <w:jc w:val="right"/>
            </w:pPr>
            <w:r>
              <w:t>29.33</w:t>
            </w:r>
          </w:p>
        </w:tc>
      </w:tr>
      <w:tr w:rsidR="00A1778A" w14:paraId="651613BE" w14:textId="77777777" w:rsidTr="00F14AAD">
        <w:tc>
          <w:tcPr>
            <w:tcW w:w="0" w:type="auto"/>
          </w:tcPr>
          <w:p w14:paraId="5CB31B02" w14:textId="77777777" w:rsidR="00A1778A" w:rsidRDefault="00A1778A" w:rsidP="00F14AAD">
            <w:pPr>
              <w:pStyle w:val="Compact"/>
              <w:jc w:val="right"/>
            </w:pPr>
            <w:r>
              <w:rPr>
                <w:b/>
              </w:rPr>
              <w:t>Open / service as usual (3)</w:t>
            </w:r>
          </w:p>
        </w:tc>
        <w:tc>
          <w:tcPr>
            <w:tcW w:w="0" w:type="auto"/>
          </w:tcPr>
          <w:p w14:paraId="5E1FFFD4" w14:textId="77777777" w:rsidR="00A1778A" w:rsidRDefault="00A1778A" w:rsidP="00F14AAD">
            <w:pPr>
              <w:pStyle w:val="Compact"/>
              <w:jc w:val="right"/>
            </w:pPr>
            <w:r>
              <w:t>5</w:t>
            </w:r>
          </w:p>
        </w:tc>
        <w:tc>
          <w:tcPr>
            <w:tcW w:w="0" w:type="auto"/>
          </w:tcPr>
          <w:p w14:paraId="0CA65BA2" w14:textId="77777777" w:rsidR="00A1778A" w:rsidRDefault="00A1778A" w:rsidP="00F14AAD">
            <w:pPr>
              <w:pStyle w:val="Compact"/>
              <w:jc w:val="right"/>
            </w:pPr>
            <w:r>
              <w:t>0.95</w:t>
            </w:r>
          </w:p>
        </w:tc>
      </w:tr>
      <w:tr w:rsidR="00A1778A" w14:paraId="52E7A8A4" w14:textId="77777777" w:rsidTr="00F14AAD">
        <w:tc>
          <w:tcPr>
            <w:tcW w:w="0" w:type="auto"/>
          </w:tcPr>
          <w:p w14:paraId="1B003B37" w14:textId="77777777" w:rsidR="00A1778A" w:rsidRDefault="00A1778A" w:rsidP="00F14AAD">
            <w:pPr>
              <w:pStyle w:val="Compact"/>
              <w:jc w:val="right"/>
            </w:pPr>
            <w:r>
              <w:rPr>
                <w:b/>
              </w:rPr>
              <w:t>Not applicable to my municipality (4)</w:t>
            </w:r>
          </w:p>
        </w:tc>
        <w:tc>
          <w:tcPr>
            <w:tcW w:w="0" w:type="auto"/>
          </w:tcPr>
          <w:p w14:paraId="72EC62A0" w14:textId="77777777" w:rsidR="00A1778A" w:rsidRDefault="00A1778A" w:rsidP="00F14AAD">
            <w:pPr>
              <w:pStyle w:val="Compact"/>
              <w:jc w:val="right"/>
            </w:pPr>
            <w:r>
              <w:t>1</w:t>
            </w:r>
          </w:p>
        </w:tc>
        <w:tc>
          <w:tcPr>
            <w:tcW w:w="0" w:type="auto"/>
          </w:tcPr>
          <w:p w14:paraId="7190966C" w14:textId="77777777" w:rsidR="00A1778A" w:rsidRDefault="00A1778A" w:rsidP="00F14AAD">
            <w:pPr>
              <w:pStyle w:val="Compact"/>
              <w:jc w:val="right"/>
            </w:pPr>
            <w:r>
              <w:t>0.19</w:t>
            </w:r>
          </w:p>
        </w:tc>
      </w:tr>
      <w:tr w:rsidR="00A1778A" w14:paraId="47576FCC" w14:textId="77777777" w:rsidTr="00F14AAD">
        <w:tc>
          <w:tcPr>
            <w:tcW w:w="0" w:type="auto"/>
          </w:tcPr>
          <w:p w14:paraId="1C3D7BB7" w14:textId="77777777" w:rsidR="00A1778A" w:rsidRDefault="00A1778A" w:rsidP="00F14AAD">
            <w:pPr>
              <w:pStyle w:val="Compact"/>
              <w:jc w:val="right"/>
            </w:pPr>
            <w:r>
              <w:rPr>
                <w:b/>
              </w:rPr>
              <w:t>Don’t know (9)</w:t>
            </w:r>
          </w:p>
        </w:tc>
        <w:tc>
          <w:tcPr>
            <w:tcW w:w="0" w:type="auto"/>
          </w:tcPr>
          <w:p w14:paraId="7DBFD0AD" w14:textId="77777777" w:rsidR="00A1778A" w:rsidRDefault="00A1778A" w:rsidP="00F14AAD">
            <w:pPr>
              <w:pStyle w:val="Compact"/>
              <w:jc w:val="right"/>
            </w:pPr>
            <w:r>
              <w:t>0</w:t>
            </w:r>
          </w:p>
        </w:tc>
        <w:tc>
          <w:tcPr>
            <w:tcW w:w="0" w:type="auto"/>
          </w:tcPr>
          <w:p w14:paraId="42B57BB4" w14:textId="77777777" w:rsidR="00A1778A" w:rsidRDefault="00A1778A" w:rsidP="00F14AAD">
            <w:pPr>
              <w:pStyle w:val="Compact"/>
              <w:jc w:val="right"/>
            </w:pPr>
            <w:r>
              <w:t>0.00</w:t>
            </w:r>
          </w:p>
        </w:tc>
      </w:tr>
      <w:tr w:rsidR="00A1778A" w14:paraId="227C777B" w14:textId="77777777" w:rsidTr="00F14AAD">
        <w:tc>
          <w:tcPr>
            <w:tcW w:w="0" w:type="auto"/>
          </w:tcPr>
          <w:p w14:paraId="0068C2EC" w14:textId="77777777" w:rsidR="00A1778A" w:rsidRDefault="00A1778A" w:rsidP="00F14AAD">
            <w:pPr>
              <w:pStyle w:val="Compact"/>
              <w:jc w:val="right"/>
            </w:pPr>
            <w:r>
              <w:rPr>
                <w:b/>
              </w:rPr>
              <w:t>Total</w:t>
            </w:r>
          </w:p>
        </w:tc>
        <w:tc>
          <w:tcPr>
            <w:tcW w:w="0" w:type="auto"/>
          </w:tcPr>
          <w:p w14:paraId="4E0A9B18" w14:textId="77777777" w:rsidR="00A1778A" w:rsidRDefault="00A1778A" w:rsidP="00F14AAD">
            <w:pPr>
              <w:pStyle w:val="Compact"/>
              <w:jc w:val="right"/>
            </w:pPr>
            <w:r>
              <w:t>525</w:t>
            </w:r>
          </w:p>
        </w:tc>
        <w:tc>
          <w:tcPr>
            <w:tcW w:w="0" w:type="auto"/>
          </w:tcPr>
          <w:p w14:paraId="07ECCCE1" w14:textId="77777777" w:rsidR="00A1778A" w:rsidRDefault="00A1778A" w:rsidP="00F14AAD">
            <w:pPr>
              <w:pStyle w:val="Compact"/>
              <w:jc w:val="right"/>
            </w:pPr>
            <w:r>
              <w:t>100.00</w:t>
            </w:r>
          </w:p>
        </w:tc>
      </w:tr>
    </w:tbl>
    <w:p w14:paraId="1C0075D0" w14:textId="77777777" w:rsidR="00A1778A" w:rsidRDefault="00A1778A" w:rsidP="00A1778A">
      <w:pPr>
        <w:pStyle w:val="Heading4"/>
      </w:pPr>
      <w:bookmarkStart w:id="8" w:name="status_libraries"/>
      <w:proofErr w:type="spellStart"/>
      <w:r>
        <w:rPr>
          <w:rStyle w:val="VerbatimChar"/>
        </w:rPr>
        <w:t>status_libraries</w:t>
      </w:r>
      <w:bookmarkEnd w:id="8"/>
      <w:proofErr w:type="spellEnd"/>
    </w:p>
    <w:p w14:paraId="58B47504" w14:textId="77777777" w:rsidR="00A1778A" w:rsidRDefault="00A1778A" w:rsidP="00A1778A">
      <w:pPr>
        <w:pStyle w:val="FirstParagraph"/>
      </w:pPr>
      <w:r>
        <w:t>"What is the status of the following facilities and services in your municipality?</w:t>
      </w:r>
    </w:p>
    <w:p w14:paraId="1DFA0D19" w14:textId="77777777" w:rsidR="00A1778A" w:rsidRDefault="00A1778A" w:rsidP="00A1778A">
      <w:pPr>
        <w:pStyle w:val="BodyText"/>
      </w:pPr>
      <w:r>
        <w:t>Public libraries"</w:t>
      </w:r>
    </w:p>
    <w:tbl>
      <w:tblPr>
        <w:tblStyle w:val="Table"/>
        <w:tblW w:w="0" w:type="pct"/>
        <w:tblLook w:val="07E0" w:firstRow="1" w:lastRow="1" w:firstColumn="1" w:lastColumn="1" w:noHBand="1" w:noVBand="1"/>
      </w:tblPr>
      <w:tblGrid>
        <w:gridCol w:w="3940"/>
        <w:gridCol w:w="656"/>
        <w:gridCol w:w="885"/>
      </w:tblGrid>
      <w:tr w:rsidR="00A1778A" w14:paraId="73856410" w14:textId="77777777" w:rsidTr="00F14AAD">
        <w:tc>
          <w:tcPr>
            <w:tcW w:w="0" w:type="auto"/>
            <w:tcBorders>
              <w:bottom w:val="single" w:sz="0" w:space="0" w:color="auto"/>
            </w:tcBorders>
            <w:vAlign w:val="bottom"/>
          </w:tcPr>
          <w:p w14:paraId="1CD5281D" w14:textId="77777777" w:rsidR="00A1778A" w:rsidRDefault="00A1778A" w:rsidP="00F14AAD">
            <w:pPr>
              <w:pStyle w:val="Compact"/>
              <w:jc w:val="right"/>
            </w:pPr>
            <w:r>
              <w:t> </w:t>
            </w:r>
          </w:p>
        </w:tc>
        <w:tc>
          <w:tcPr>
            <w:tcW w:w="0" w:type="auto"/>
            <w:tcBorders>
              <w:bottom w:val="single" w:sz="0" w:space="0" w:color="auto"/>
            </w:tcBorders>
            <w:vAlign w:val="bottom"/>
          </w:tcPr>
          <w:p w14:paraId="3870A492" w14:textId="77777777" w:rsidR="00A1778A" w:rsidRDefault="00A1778A" w:rsidP="00F14AAD">
            <w:pPr>
              <w:pStyle w:val="Compact"/>
              <w:jc w:val="right"/>
            </w:pPr>
            <w:r>
              <w:t>Freq</w:t>
            </w:r>
          </w:p>
        </w:tc>
        <w:tc>
          <w:tcPr>
            <w:tcW w:w="0" w:type="auto"/>
            <w:tcBorders>
              <w:bottom w:val="single" w:sz="0" w:space="0" w:color="auto"/>
            </w:tcBorders>
            <w:vAlign w:val="bottom"/>
          </w:tcPr>
          <w:p w14:paraId="54664C2E" w14:textId="77777777" w:rsidR="00A1778A" w:rsidRDefault="00A1778A" w:rsidP="00F14AAD">
            <w:pPr>
              <w:pStyle w:val="Compact"/>
              <w:jc w:val="right"/>
            </w:pPr>
            <w:r>
              <w:t>%</w:t>
            </w:r>
          </w:p>
        </w:tc>
      </w:tr>
      <w:tr w:rsidR="00A1778A" w14:paraId="1FD33892" w14:textId="77777777" w:rsidTr="00F14AAD">
        <w:tc>
          <w:tcPr>
            <w:tcW w:w="0" w:type="auto"/>
          </w:tcPr>
          <w:p w14:paraId="5F5CB478" w14:textId="77777777" w:rsidR="00A1778A" w:rsidRDefault="00A1778A" w:rsidP="00F14AAD">
            <w:pPr>
              <w:pStyle w:val="Compact"/>
              <w:jc w:val="right"/>
            </w:pPr>
            <w:r>
              <w:rPr>
                <w:b/>
              </w:rPr>
              <w:t>Fully closed (1)</w:t>
            </w:r>
          </w:p>
        </w:tc>
        <w:tc>
          <w:tcPr>
            <w:tcW w:w="0" w:type="auto"/>
          </w:tcPr>
          <w:p w14:paraId="028446C6" w14:textId="77777777" w:rsidR="00A1778A" w:rsidRDefault="00A1778A" w:rsidP="00F14AAD">
            <w:pPr>
              <w:pStyle w:val="Compact"/>
              <w:jc w:val="right"/>
            </w:pPr>
            <w:r>
              <w:t>490</w:t>
            </w:r>
          </w:p>
        </w:tc>
        <w:tc>
          <w:tcPr>
            <w:tcW w:w="0" w:type="auto"/>
          </w:tcPr>
          <w:p w14:paraId="279BD1FA" w14:textId="77777777" w:rsidR="00A1778A" w:rsidRDefault="00A1778A" w:rsidP="00F14AAD">
            <w:pPr>
              <w:pStyle w:val="Compact"/>
              <w:jc w:val="right"/>
            </w:pPr>
            <w:r>
              <w:t>93.33</w:t>
            </w:r>
          </w:p>
        </w:tc>
      </w:tr>
      <w:tr w:rsidR="00A1778A" w14:paraId="2D039DD4" w14:textId="77777777" w:rsidTr="00F14AAD">
        <w:tc>
          <w:tcPr>
            <w:tcW w:w="0" w:type="auto"/>
          </w:tcPr>
          <w:p w14:paraId="052DEDDE" w14:textId="77777777" w:rsidR="00A1778A" w:rsidRDefault="00A1778A" w:rsidP="00F14AAD">
            <w:pPr>
              <w:pStyle w:val="Compact"/>
              <w:jc w:val="right"/>
            </w:pPr>
            <w:r>
              <w:rPr>
                <w:b/>
              </w:rPr>
              <w:t>Partially closed or reduced service (2)</w:t>
            </w:r>
          </w:p>
        </w:tc>
        <w:tc>
          <w:tcPr>
            <w:tcW w:w="0" w:type="auto"/>
          </w:tcPr>
          <w:p w14:paraId="4E0B134C" w14:textId="77777777" w:rsidR="00A1778A" w:rsidRDefault="00A1778A" w:rsidP="00F14AAD">
            <w:pPr>
              <w:pStyle w:val="Compact"/>
              <w:jc w:val="right"/>
            </w:pPr>
            <w:r>
              <w:t>21</w:t>
            </w:r>
          </w:p>
        </w:tc>
        <w:tc>
          <w:tcPr>
            <w:tcW w:w="0" w:type="auto"/>
          </w:tcPr>
          <w:p w14:paraId="19F0268D" w14:textId="77777777" w:rsidR="00A1778A" w:rsidRDefault="00A1778A" w:rsidP="00F14AAD">
            <w:pPr>
              <w:pStyle w:val="Compact"/>
              <w:jc w:val="right"/>
            </w:pPr>
            <w:r>
              <w:t>4.00</w:t>
            </w:r>
          </w:p>
        </w:tc>
      </w:tr>
      <w:tr w:rsidR="00A1778A" w14:paraId="1FCB78DA" w14:textId="77777777" w:rsidTr="00F14AAD">
        <w:tc>
          <w:tcPr>
            <w:tcW w:w="0" w:type="auto"/>
          </w:tcPr>
          <w:p w14:paraId="7ECAA71A" w14:textId="77777777" w:rsidR="00A1778A" w:rsidRDefault="00A1778A" w:rsidP="00F14AAD">
            <w:pPr>
              <w:pStyle w:val="Compact"/>
              <w:jc w:val="right"/>
            </w:pPr>
            <w:r>
              <w:rPr>
                <w:b/>
              </w:rPr>
              <w:t>Open / service as usual (3)</w:t>
            </w:r>
          </w:p>
        </w:tc>
        <w:tc>
          <w:tcPr>
            <w:tcW w:w="0" w:type="auto"/>
          </w:tcPr>
          <w:p w14:paraId="3F798F86" w14:textId="77777777" w:rsidR="00A1778A" w:rsidRDefault="00A1778A" w:rsidP="00F14AAD">
            <w:pPr>
              <w:pStyle w:val="Compact"/>
              <w:jc w:val="right"/>
            </w:pPr>
            <w:r>
              <w:t>0</w:t>
            </w:r>
          </w:p>
        </w:tc>
        <w:tc>
          <w:tcPr>
            <w:tcW w:w="0" w:type="auto"/>
          </w:tcPr>
          <w:p w14:paraId="3583E3EB" w14:textId="77777777" w:rsidR="00A1778A" w:rsidRDefault="00A1778A" w:rsidP="00F14AAD">
            <w:pPr>
              <w:pStyle w:val="Compact"/>
              <w:jc w:val="right"/>
            </w:pPr>
            <w:r>
              <w:t>0.00</w:t>
            </w:r>
          </w:p>
        </w:tc>
      </w:tr>
      <w:tr w:rsidR="00A1778A" w14:paraId="5C3FC637" w14:textId="77777777" w:rsidTr="00F14AAD">
        <w:tc>
          <w:tcPr>
            <w:tcW w:w="0" w:type="auto"/>
          </w:tcPr>
          <w:p w14:paraId="5BE80BCD" w14:textId="77777777" w:rsidR="00A1778A" w:rsidRDefault="00A1778A" w:rsidP="00F14AAD">
            <w:pPr>
              <w:pStyle w:val="Compact"/>
              <w:jc w:val="right"/>
            </w:pPr>
            <w:r>
              <w:rPr>
                <w:b/>
              </w:rPr>
              <w:t>Not applicable to my municipality (4)</w:t>
            </w:r>
          </w:p>
        </w:tc>
        <w:tc>
          <w:tcPr>
            <w:tcW w:w="0" w:type="auto"/>
          </w:tcPr>
          <w:p w14:paraId="701991AF" w14:textId="77777777" w:rsidR="00A1778A" w:rsidRDefault="00A1778A" w:rsidP="00F14AAD">
            <w:pPr>
              <w:pStyle w:val="Compact"/>
              <w:jc w:val="right"/>
            </w:pPr>
            <w:r>
              <w:t>10</w:t>
            </w:r>
          </w:p>
        </w:tc>
        <w:tc>
          <w:tcPr>
            <w:tcW w:w="0" w:type="auto"/>
          </w:tcPr>
          <w:p w14:paraId="1FF6DB17" w14:textId="77777777" w:rsidR="00A1778A" w:rsidRDefault="00A1778A" w:rsidP="00F14AAD">
            <w:pPr>
              <w:pStyle w:val="Compact"/>
              <w:jc w:val="right"/>
            </w:pPr>
            <w:r>
              <w:t>1.90</w:t>
            </w:r>
          </w:p>
        </w:tc>
      </w:tr>
      <w:tr w:rsidR="00A1778A" w14:paraId="10FBD134" w14:textId="77777777" w:rsidTr="00F14AAD">
        <w:tc>
          <w:tcPr>
            <w:tcW w:w="0" w:type="auto"/>
          </w:tcPr>
          <w:p w14:paraId="15A4030D" w14:textId="77777777" w:rsidR="00A1778A" w:rsidRDefault="00A1778A" w:rsidP="00F14AAD">
            <w:pPr>
              <w:pStyle w:val="Compact"/>
              <w:jc w:val="right"/>
            </w:pPr>
            <w:r>
              <w:rPr>
                <w:b/>
              </w:rPr>
              <w:t>Don’t know (9)</w:t>
            </w:r>
          </w:p>
        </w:tc>
        <w:tc>
          <w:tcPr>
            <w:tcW w:w="0" w:type="auto"/>
          </w:tcPr>
          <w:p w14:paraId="5015BFBF" w14:textId="77777777" w:rsidR="00A1778A" w:rsidRDefault="00A1778A" w:rsidP="00F14AAD">
            <w:pPr>
              <w:pStyle w:val="Compact"/>
              <w:jc w:val="right"/>
            </w:pPr>
            <w:r>
              <w:t>4</w:t>
            </w:r>
          </w:p>
        </w:tc>
        <w:tc>
          <w:tcPr>
            <w:tcW w:w="0" w:type="auto"/>
          </w:tcPr>
          <w:p w14:paraId="6D69DACD" w14:textId="77777777" w:rsidR="00A1778A" w:rsidRDefault="00A1778A" w:rsidP="00F14AAD">
            <w:pPr>
              <w:pStyle w:val="Compact"/>
              <w:jc w:val="right"/>
            </w:pPr>
            <w:r>
              <w:t>0.76</w:t>
            </w:r>
          </w:p>
        </w:tc>
      </w:tr>
      <w:tr w:rsidR="00A1778A" w14:paraId="7338C7AD" w14:textId="77777777" w:rsidTr="00F14AAD">
        <w:tc>
          <w:tcPr>
            <w:tcW w:w="0" w:type="auto"/>
          </w:tcPr>
          <w:p w14:paraId="27956C91" w14:textId="77777777" w:rsidR="00A1778A" w:rsidRDefault="00A1778A" w:rsidP="00F14AAD">
            <w:pPr>
              <w:pStyle w:val="Compact"/>
              <w:jc w:val="right"/>
            </w:pPr>
            <w:r>
              <w:rPr>
                <w:b/>
              </w:rPr>
              <w:t>Total</w:t>
            </w:r>
          </w:p>
        </w:tc>
        <w:tc>
          <w:tcPr>
            <w:tcW w:w="0" w:type="auto"/>
          </w:tcPr>
          <w:p w14:paraId="2A72C4C1" w14:textId="77777777" w:rsidR="00A1778A" w:rsidRDefault="00A1778A" w:rsidP="00F14AAD">
            <w:pPr>
              <w:pStyle w:val="Compact"/>
              <w:jc w:val="right"/>
            </w:pPr>
            <w:r>
              <w:t>525</w:t>
            </w:r>
          </w:p>
        </w:tc>
        <w:tc>
          <w:tcPr>
            <w:tcW w:w="0" w:type="auto"/>
          </w:tcPr>
          <w:p w14:paraId="0FF2DDEF" w14:textId="77777777" w:rsidR="00A1778A" w:rsidRDefault="00A1778A" w:rsidP="00F14AAD">
            <w:pPr>
              <w:pStyle w:val="Compact"/>
              <w:jc w:val="right"/>
            </w:pPr>
            <w:r>
              <w:t>100.00</w:t>
            </w:r>
          </w:p>
        </w:tc>
      </w:tr>
    </w:tbl>
    <w:p w14:paraId="64513E58" w14:textId="77777777" w:rsidR="00A1778A" w:rsidRDefault="00A1778A" w:rsidP="00A1778A">
      <w:pPr>
        <w:pStyle w:val="Heading4"/>
      </w:pPr>
      <w:bookmarkStart w:id="9" w:name="status_transit"/>
      <w:proofErr w:type="spellStart"/>
      <w:r>
        <w:rPr>
          <w:rStyle w:val="VerbatimChar"/>
        </w:rPr>
        <w:lastRenderedPageBreak/>
        <w:t>status_transit</w:t>
      </w:r>
      <w:bookmarkEnd w:id="9"/>
      <w:proofErr w:type="spellEnd"/>
    </w:p>
    <w:p w14:paraId="1BD1919C" w14:textId="77777777" w:rsidR="00A1778A" w:rsidRDefault="00A1778A" w:rsidP="00A1778A">
      <w:pPr>
        <w:pStyle w:val="FirstParagraph"/>
      </w:pPr>
      <w:r>
        <w:t>"What is the status of the following facilities and services in your municipality?</w:t>
      </w:r>
    </w:p>
    <w:p w14:paraId="51CBC6C4" w14:textId="77777777" w:rsidR="00A1778A" w:rsidRDefault="00A1778A" w:rsidP="00A1778A">
      <w:pPr>
        <w:pStyle w:val="BodyText"/>
      </w:pPr>
      <w:r>
        <w:t>Public transit"</w:t>
      </w:r>
    </w:p>
    <w:tbl>
      <w:tblPr>
        <w:tblStyle w:val="Table"/>
        <w:tblW w:w="0" w:type="pct"/>
        <w:tblLook w:val="07E0" w:firstRow="1" w:lastRow="1" w:firstColumn="1" w:lastColumn="1" w:noHBand="1" w:noVBand="1"/>
      </w:tblPr>
      <w:tblGrid>
        <w:gridCol w:w="3940"/>
        <w:gridCol w:w="656"/>
        <w:gridCol w:w="885"/>
      </w:tblGrid>
      <w:tr w:rsidR="00A1778A" w14:paraId="1B426166" w14:textId="77777777" w:rsidTr="00F14AAD">
        <w:tc>
          <w:tcPr>
            <w:tcW w:w="0" w:type="auto"/>
            <w:tcBorders>
              <w:bottom w:val="single" w:sz="0" w:space="0" w:color="auto"/>
            </w:tcBorders>
            <w:vAlign w:val="bottom"/>
          </w:tcPr>
          <w:p w14:paraId="119536C8" w14:textId="77777777" w:rsidR="00A1778A" w:rsidRDefault="00A1778A" w:rsidP="00F14AAD">
            <w:pPr>
              <w:pStyle w:val="Compact"/>
              <w:jc w:val="right"/>
            </w:pPr>
            <w:r>
              <w:t> </w:t>
            </w:r>
          </w:p>
        </w:tc>
        <w:tc>
          <w:tcPr>
            <w:tcW w:w="0" w:type="auto"/>
            <w:tcBorders>
              <w:bottom w:val="single" w:sz="0" w:space="0" w:color="auto"/>
            </w:tcBorders>
            <w:vAlign w:val="bottom"/>
          </w:tcPr>
          <w:p w14:paraId="24634783" w14:textId="77777777" w:rsidR="00A1778A" w:rsidRDefault="00A1778A" w:rsidP="00F14AAD">
            <w:pPr>
              <w:pStyle w:val="Compact"/>
              <w:jc w:val="right"/>
            </w:pPr>
            <w:r>
              <w:t>Freq</w:t>
            </w:r>
          </w:p>
        </w:tc>
        <w:tc>
          <w:tcPr>
            <w:tcW w:w="0" w:type="auto"/>
            <w:tcBorders>
              <w:bottom w:val="single" w:sz="0" w:space="0" w:color="auto"/>
            </w:tcBorders>
            <w:vAlign w:val="bottom"/>
          </w:tcPr>
          <w:p w14:paraId="0FBB308E" w14:textId="77777777" w:rsidR="00A1778A" w:rsidRDefault="00A1778A" w:rsidP="00F14AAD">
            <w:pPr>
              <w:pStyle w:val="Compact"/>
              <w:jc w:val="right"/>
            </w:pPr>
            <w:r>
              <w:t>%</w:t>
            </w:r>
          </w:p>
        </w:tc>
      </w:tr>
      <w:tr w:rsidR="00A1778A" w14:paraId="2D94A029" w14:textId="77777777" w:rsidTr="00F14AAD">
        <w:tc>
          <w:tcPr>
            <w:tcW w:w="0" w:type="auto"/>
          </w:tcPr>
          <w:p w14:paraId="5C9F472A" w14:textId="77777777" w:rsidR="00A1778A" w:rsidRDefault="00A1778A" w:rsidP="00F14AAD">
            <w:pPr>
              <w:pStyle w:val="Compact"/>
              <w:jc w:val="right"/>
            </w:pPr>
            <w:r>
              <w:rPr>
                <w:b/>
              </w:rPr>
              <w:t>Fully closed (1)</w:t>
            </w:r>
          </w:p>
        </w:tc>
        <w:tc>
          <w:tcPr>
            <w:tcW w:w="0" w:type="auto"/>
          </w:tcPr>
          <w:p w14:paraId="657A108A" w14:textId="77777777" w:rsidR="00A1778A" w:rsidRDefault="00A1778A" w:rsidP="00F14AAD">
            <w:pPr>
              <w:pStyle w:val="Compact"/>
              <w:jc w:val="right"/>
            </w:pPr>
            <w:r>
              <w:t>43</w:t>
            </w:r>
          </w:p>
        </w:tc>
        <w:tc>
          <w:tcPr>
            <w:tcW w:w="0" w:type="auto"/>
          </w:tcPr>
          <w:p w14:paraId="16D968C2" w14:textId="77777777" w:rsidR="00A1778A" w:rsidRDefault="00A1778A" w:rsidP="00F14AAD">
            <w:pPr>
              <w:pStyle w:val="Compact"/>
              <w:jc w:val="right"/>
            </w:pPr>
            <w:r>
              <w:t>8.19</w:t>
            </w:r>
          </w:p>
        </w:tc>
      </w:tr>
      <w:tr w:rsidR="00A1778A" w14:paraId="7EE5CD90" w14:textId="77777777" w:rsidTr="00F14AAD">
        <w:tc>
          <w:tcPr>
            <w:tcW w:w="0" w:type="auto"/>
          </w:tcPr>
          <w:p w14:paraId="39D11BE3" w14:textId="77777777" w:rsidR="00A1778A" w:rsidRDefault="00A1778A" w:rsidP="00F14AAD">
            <w:pPr>
              <w:pStyle w:val="Compact"/>
              <w:jc w:val="right"/>
            </w:pPr>
            <w:r>
              <w:rPr>
                <w:b/>
              </w:rPr>
              <w:t>Partially closed or reduced service (2)</w:t>
            </w:r>
          </w:p>
        </w:tc>
        <w:tc>
          <w:tcPr>
            <w:tcW w:w="0" w:type="auto"/>
          </w:tcPr>
          <w:p w14:paraId="2627A8E3" w14:textId="77777777" w:rsidR="00A1778A" w:rsidRDefault="00A1778A" w:rsidP="00F14AAD">
            <w:pPr>
              <w:pStyle w:val="Compact"/>
              <w:jc w:val="right"/>
            </w:pPr>
            <w:r>
              <w:t>279</w:t>
            </w:r>
          </w:p>
        </w:tc>
        <w:tc>
          <w:tcPr>
            <w:tcW w:w="0" w:type="auto"/>
          </w:tcPr>
          <w:p w14:paraId="5A86C2A3" w14:textId="77777777" w:rsidR="00A1778A" w:rsidRDefault="00A1778A" w:rsidP="00F14AAD">
            <w:pPr>
              <w:pStyle w:val="Compact"/>
              <w:jc w:val="right"/>
            </w:pPr>
            <w:r>
              <w:t>53.14</w:t>
            </w:r>
          </w:p>
        </w:tc>
      </w:tr>
      <w:tr w:rsidR="00A1778A" w14:paraId="648675A3" w14:textId="77777777" w:rsidTr="00F14AAD">
        <w:tc>
          <w:tcPr>
            <w:tcW w:w="0" w:type="auto"/>
          </w:tcPr>
          <w:p w14:paraId="510C1229" w14:textId="77777777" w:rsidR="00A1778A" w:rsidRDefault="00A1778A" w:rsidP="00F14AAD">
            <w:pPr>
              <w:pStyle w:val="Compact"/>
              <w:jc w:val="right"/>
            </w:pPr>
            <w:r>
              <w:rPr>
                <w:b/>
              </w:rPr>
              <w:t>Open / service as usual (3)</w:t>
            </w:r>
          </w:p>
        </w:tc>
        <w:tc>
          <w:tcPr>
            <w:tcW w:w="0" w:type="auto"/>
          </w:tcPr>
          <w:p w14:paraId="57218AAE" w14:textId="77777777" w:rsidR="00A1778A" w:rsidRDefault="00A1778A" w:rsidP="00F14AAD">
            <w:pPr>
              <w:pStyle w:val="Compact"/>
              <w:jc w:val="right"/>
            </w:pPr>
            <w:r>
              <w:t>75</w:t>
            </w:r>
          </w:p>
        </w:tc>
        <w:tc>
          <w:tcPr>
            <w:tcW w:w="0" w:type="auto"/>
          </w:tcPr>
          <w:p w14:paraId="3CD2229B" w14:textId="77777777" w:rsidR="00A1778A" w:rsidRDefault="00A1778A" w:rsidP="00F14AAD">
            <w:pPr>
              <w:pStyle w:val="Compact"/>
              <w:jc w:val="right"/>
            </w:pPr>
            <w:r>
              <w:t>14.29</w:t>
            </w:r>
          </w:p>
        </w:tc>
      </w:tr>
      <w:tr w:rsidR="00A1778A" w14:paraId="46F9A6A0" w14:textId="77777777" w:rsidTr="00F14AAD">
        <w:tc>
          <w:tcPr>
            <w:tcW w:w="0" w:type="auto"/>
          </w:tcPr>
          <w:p w14:paraId="155BEC8C" w14:textId="77777777" w:rsidR="00A1778A" w:rsidRDefault="00A1778A" w:rsidP="00F14AAD">
            <w:pPr>
              <w:pStyle w:val="Compact"/>
              <w:jc w:val="right"/>
            </w:pPr>
            <w:r>
              <w:rPr>
                <w:b/>
              </w:rPr>
              <w:t>Not applicable to my municipality (4)</w:t>
            </w:r>
          </w:p>
        </w:tc>
        <w:tc>
          <w:tcPr>
            <w:tcW w:w="0" w:type="auto"/>
          </w:tcPr>
          <w:p w14:paraId="028E73C8" w14:textId="77777777" w:rsidR="00A1778A" w:rsidRDefault="00A1778A" w:rsidP="00F14AAD">
            <w:pPr>
              <w:pStyle w:val="Compact"/>
              <w:jc w:val="right"/>
            </w:pPr>
            <w:r>
              <w:t>119</w:t>
            </w:r>
          </w:p>
        </w:tc>
        <w:tc>
          <w:tcPr>
            <w:tcW w:w="0" w:type="auto"/>
          </w:tcPr>
          <w:p w14:paraId="2DFC669F" w14:textId="77777777" w:rsidR="00A1778A" w:rsidRDefault="00A1778A" w:rsidP="00F14AAD">
            <w:pPr>
              <w:pStyle w:val="Compact"/>
              <w:jc w:val="right"/>
            </w:pPr>
            <w:r>
              <w:t>22.67</w:t>
            </w:r>
          </w:p>
        </w:tc>
      </w:tr>
      <w:tr w:rsidR="00A1778A" w14:paraId="718A0C5A" w14:textId="77777777" w:rsidTr="00F14AAD">
        <w:tc>
          <w:tcPr>
            <w:tcW w:w="0" w:type="auto"/>
          </w:tcPr>
          <w:p w14:paraId="727A0FD4" w14:textId="77777777" w:rsidR="00A1778A" w:rsidRDefault="00A1778A" w:rsidP="00F14AAD">
            <w:pPr>
              <w:pStyle w:val="Compact"/>
              <w:jc w:val="right"/>
            </w:pPr>
            <w:r>
              <w:rPr>
                <w:b/>
              </w:rPr>
              <w:t>Don’t know (9)</w:t>
            </w:r>
          </w:p>
        </w:tc>
        <w:tc>
          <w:tcPr>
            <w:tcW w:w="0" w:type="auto"/>
          </w:tcPr>
          <w:p w14:paraId="4FBE31B3" w14:textId="77777777" w:rsidR="00A1778A" w:rsidRDefault="00A1778A" w:rsidP="00F14AAD">
            <w:pPr>
              <w:pStyle w:val="Compact"/>
              <w:jc w:val="right"/>
            </w:pPr>
            <w:r>
              <w:t>9</w:t>
            </w:r>
          </w:p>
        </w:tc>
        <w:tc>
          <w:tcPr>
            <w:tcW w:w="0" w:type="auto"/>
          </w:tcPr>
          <w:p w14:paraId="4E857944" w14:textId="77777777" w:rsidR="00A1778A" w:rsidRDefault="00A1778A" w:rsidP="00F14AAD">
            <w:pPr>
              <w:pStyle w:val="Compact"/>
              <w:jc w:val="right"/>
            </w:pPr>
            <w:r>
              <w:t>1.71</w:t>
            </w:r>
          </w:p>
        </w:tc>
      </w:tr>
      <w:tr w:rsidR="00A1778A" w14:paraId="7265222A" w14:textId="77777777" w:rsidTr="00F14AAD">
        <w:tc>
          <w:tcPr>
            <w:tcW w:w="0" w:type="auto"/>
          </w:tcPr>
          <w:p w14:paraId="5808D30D" w14:textId="77777777" w:rsidR="00A1778A" w:rsidRDefault="00A1778A" w:rsidP="00F14AAD">
            <w:pPr>
              <w:pStyle w:val="Compact"/>
              <w:jc w:val="right"/>
            </w:pPr>
            <w:r>
              <w:rPr>
                <w:b/>
              </w:rPr>
              <w:t>Total</w:t>
            </w:r>
          </w:p>
        </w:tc>
        <w:tc>
          <w:tcPr>
            <w:tcW w:w="0" w:type="auto"/>
          </w:tcPr>
          <w:p w14:paraId="65958B63" w14:textId="77777777" w:rsidR="00A1778A" w:rsidRDefault="00A1778A" w:rsidP="00F14AAD">
            <w:pPr>
              <w:pStyle w:val="Compact"/>
              <w:jc w:val="right"/>
            </w:pPr>
            <w:r>
              <w:t>525</w:t>
            </w:r>
          </w:p>
        </w:tc>
        <w:tc>
          <w:tcPr>
            <w:tcW w:w="0" w:type="auto"/>
          </w:tcPr>
          <w:p w14:paraId="351143DC" w14:textId="77777777" w:rsidR="00A1778A" w:rsidRDefault="00A1778A" w:rsidP="00F14AAD">
            <w:pPr>
              <w:pStyle w:val="Compact"/>
              <w:jc w:val="right"/>
            </w:pPr>
            <w:r>
              <w:t>100.00</w:t>
            </w:r>
          </w:p>
        </w:tc>
      </w:tr>
    </w:tbl>
    <w:p w14:paraId="2CDC9DE5" w14:textId="77777777" w:rsidR="00A1778A" w:rsidRDefault="00A1778A" w:rsidP="00A1778A">
      <w:pPr>
        <w:pStyle w:val="Heading4"/>
      </w:pPr>
      <w:bookmarkStart w:id="10" w:name="gov_council"/>
      <w:proofErr w:type="spellStart"/>
      <w:r>
        <w:rPr>
          <w:rStyle w:val="VerbatimChar"/>
        </w:rPr>
        <w:t>gov_council</w:t>
      </w:r>
      <w:bookmarkEnd w:id="10"/>
      <w:proofErr w:type="spellEnd"/>
    </w:p>
    <w:p w14:paraId="26A21EC1" w14:textId="77777777" w:rsidR="00A1778A" w:rsidRDefault="00A1778A" w:rsidP="00A1778A">
      <w:pPr>
        <w:pStyle w:val="FirstParagraph"/>
      </w:pPr>
      <w:r>
        <w:t>"What is the status of the following governance processes in your municipality?</w:t>
      </w:r>
    </w:p>
    <w:p w14:paraId="34828D4F" w14:textId="77777777" w:rsidR="00A1778A" w:rsidRDefault="00A1778A" w:rsidP="00A1778A">
      <w:pPr>
        <w:pStyle w:val="BodyText"/>
      </w:pPr>
      <w:r>
        <w:t>Council meetings"</w:t>
      </w:r>
    </w:p>
    <w:tbl>
      <w:tblPr>
        <w:tblStyle w:val="Table"/>
        <w:tblW w:w="0" w:type="pct"/>
        <w:tblLook w:val="07E0" w:firstRow="1" w:lastRow="1" w:firstColumn="1" w:lastColumn="1" w:noHBand="1" w:noVBand="1"/>
      </w:tblPr>
      <w:tblGrid>
        <w:gridCol w:w="4130"/>
        <w:gridCol w:w="656"/>
        <w:gridCol w:w="885"/>
      </w:tblGrid>
      <w:tr w:rsidR="00A1778A" w14:paraId="53B9C6FB" w14:textId="77777777" w:rsidTr="00F14AAD">
        <w:tc>
          <w:tcPr>
            <w:tcW w:w="0" w:type="auto"/>
            <w:tcBorders>
              <w:bottom w:val="single" w:sz="0" w:space="0" w:color="auto"/>
            </w:tcBorders>
            <w:vAlign w:val="bottom"/>
          </w:tcPr>
          <w:p w14:paraId="0F73D636" w14:textId="77777777" w:rsidR="00A1778A" w:rsidRDefault="00A1778A" w:rsidP="00F14AAD">
            <w:pPr>
              <w:pStyle w:val="Compact"/>
              <w:jc w:val="right"/>
            </w:pPr>
            <w:r>
              <w:t> </w:t>
            </w:r>
          </w:p>
        </w:tc>
        <w:tc>
          <w:tcPr>
            <w:tcW w:w="0" w:type="auto"/>
            <w:tcBorders>
              <w:bottom w:val="single" w:sz="0" w:space="0" w:color="auto"/>
            </w:tcBorders>
            <w:vAlign w:val="bottom"/>
          </w:tcPr>
          <w:p w14:paraId="69ED862B" w14:textId="77777777" w:rsidR="00A1778A" w:rsidRDefault="00A1778A" w:rsidP="00F14AAD">
            <w:pPr>
              <w:pStyle w:val="Compact"/>
              <w:jc w:val="right"/>
            </w:pPr>
            <w:r>
              <w:t>Freq</w:t>
            </w:r>
          </w:p>
        </w:tc>
        <w:tc>
          <w:tcPr>
            <w:tcW w:w="0" w:type="auto"/>
            <w:tcBorders>
              <w:bottom w:val="single" w:sz="0" w:space="0" w:color="auto"/>
            </w:tcBorders>
            <w:vAlign w:val="bottom"/>
          </w:tcPr>
          <w:p w14:paraId="5841146F" w14:textId="77777777" w:rsidR="00A1778A" w:rsidRDefault="00A1778A" w:rsidP="00F14AAD">
            <w:pPr>
              <w:pStyle w:val="Compact"/>
              <w:jc w:val="right"/>
            </w:pPr>
            <w:r>
              <w:t>%</w:t>
            </w:r>
          </w:p>
        </w:tc>
      </w:tr>
      <w:tr w:rsidR="00A1778A" w14:paraId="1CB7A591" w14:textId="77777777" w:rsidTr="00F14AAD">
        <w:tc>
          <w:tcPr>
            <w:tcW w:w="0" w:type="auto"/>
          </w:tcPr>
          <w:p w14:paraId="1913712A" w14:textId="77777777" w:rsidR="00A1778A" w:rsidRDefault="00A1778A" w:rsidP="00F14AAD">
            <w:pPr>
              <w:pStyle w:val="Compact"/>
              <w:jc w:val="right"/>
            </w:pPr>
            <w:r>
              <w:rPr>
                <w:b/>
              </w:rPr>
              <w:t>Cancelled (1)</w:t>
            </w:r>
          </w:p>
        </w:tc>
        <w:tc>
          <w:tcPr>
            <w:tcW w:w="0" w:type="auto"/>
          </w:tcPr>
          <w:p w14:paraId="19E913E7" w14:textId="77777777" w:rsidR="00A1778A" w:rsidRDefault="00A1778A" w:rsidP="00F14AAD">
            <w:pPr>
              <w:pStyle w:val="Compact"/>
              <w:jc w:val="right"/>
            </w:pPr>
            <w:r>
              <w:t>16</w:t>
            </w:r>
          </w:p>
        </w:tc>
        <w:tc>
          <w:tcPr>
            <w:tcW w:w="0" w:type="auto"/>
          </w:tcPr>
          <w:p w14:paraId="1DAD4EE0" w14:textId="77777777" w:rsidR="00A1778A" w:rsidRDefault="00A1778A" w:rsidP="00F14AAD">
            <w:pPr>
              <w:pStyle w:val="Compact"/>
              <w:jc w:val="right"/>
            </w:pPr>
            <w:r>
              <w:t>3.05</w:t>
            </w:r>
          </w:p>
        </w:tc>
      </w:tr>
      <w:tr w:rsidR="00A1778A" w14:paraId="5D9FBE70" w14:textId="77777777" w:rsidTr="00F14AAD">
        <w:tc>
          <w:tcPr>
            <w:tcW w:w="0" w:type="auto"/>
          </w:tcPr>
          <w:p w14:paraId="4C577C60" w14:textId="77777777" w:rsidR="00A1778A" w:rsidRDefault="00A1778A" w:rsidP="00F14AAD">
            <w:pPr>
              <w:pStyle w:val="Compact"/>
              <w:jc w:val="right"/>
            </w:pPr>
            <w:r>
              <w:rPr>
                <w:b/>
              </w:rPr>
              <w:t>In camera (2)</w:t>
            </w:r>
          </w:p>
        </w:tc>
        <w:tc>
          <w:tcPr>
            <w:tcW w:w="0" w:type="auto"/>
          </w:tcPr>
          <w:p w14:paraId="534B3A67" w14:textId="77777777" w:rsidR="00A1778A" w:rsidRDefault="00A1778A" w:rsidP="00F14AAD">
            <w:pPr>
              <w:pStyle w:val="Compact"/>
              <w:jc w:val="right"/>
            </w:pPr>
            <w:r>
              <w:t>30</w:t>
            </w:r>
          </w:p>
        </w:tc>
        <w:tc>
          <w:tcPr>
            <w:tcW w:w="0" w:type="auto"/>
          </w:tcPr>
          <w:p w14:paraId="080C5EDB" w14:textId="77777777" w:rsidR="00A1778A" w:rsidRDefault="00A1778A" w:rsidP="00F14AAD">
            <w:pPr>
              <w:pStyle w:val="Compact"/>
              <w:jc w:val="right"/>
            </w:pPr>
            <w:r>
              <w:t>5.71</w:t>
            </w:r>
          </w:p>
        </w:tc>
      </w:tr>
      <w:tr w:rsidR="00A1778A" w14:paraId="3FD9749E" w14:textId="77777777" w:rsidTr="00F14AAD">
        <w:tc>
          <w:tcPr>
            <w:tcW w:w="0" w:type="auto"/>
          </w:tcPr>
          <w:p w14:paraId="5459C872" w14:textId="77777777" w:rsidR="00A1778A" w:rsidRDefault="00A1778A" w:rsidP="00F14AAD">
            <w:pPr>
              <w:pStyle w:val="Compact"/>
              <w:jc w:val="right"/>
            </w:pPr>
            <w:r>
              <w:rPr>
                <w:b/>
              </w:rPr>
              <w:t>Switched to virtual / teleconference (3)</w:t>
            </w:r>
          </w:p>
        </w:tc>
        <w:tc>
          <w:tcPr>
            <w:tcW w:w="0" w:type="auto"/>
          </w:tcPr>
          <w:p w14:paraId="136B9DA0" w14:textId="77777777" w:rsidR="00A1778A" w:rsidRDefault="00A1778A" w:rsidP="00F14AAD">
            <w:pPr>
              <w:pStyle w:val="Compact"/>
              <w:jc w:val="right"/>
            </w:pPr>
            <w:r>
              <w:t>465</w:t>
            </w:r>
          </w:p>
        </w:tc>
        <w:tc>
          <w:tcPr>
            <w:tcW w:w="0" w:type="auto"/>
          </w:tcPr>
          <w:p w14:paraId="228ABF4B" w14:textId="77777777" w:rsidR="00A1778A" w:rsidRDefault="00A1778A" w:rsidP="00F14AAD">
            <w:pPr>
              <w:pStyle w:val="Compact"/>
              <w:jc w:val="right"/>
            </w:pPr>
            <w:r>
              <w:t>88.57</w:t>
            </w:r>
          </w:p>
        </w:tc>
      </w:tr>
      <w:tr w:rsidR="00A1778A" w14:paraId="3AE26AB9" w14:textId="77777777" w:rsidTr="00F14AAD">
        <w:tc>
          <w:tcPr>
            <w:tcW w:w="0" w:type="auto"/>
          </w:tcPr>
          <w:p w14:paraId="145B991C" w14:textId="77777777" w:rsidR="00A1778A" w:rsidRDefault="00A1778A" w:rsidP="00F14AAD">
            <w:pPr>
              <w:pStyle w:val="Compact"/>
              <w:jc w:val="right"/>
            </w:pPr>
            <w:r>
              <w:rPr>
                <w:b/>
              </w:rPr>
              <w:t>Proceeding as usual (4)</w:t>
            </w:r>
          </w:p>
        </w:tc>
        <w:tc>
          <w:tcPr>
            <w:tcW w:w="0" w:type="auto"/>
          </w:tcPr>
          <w:p w14:paraId="190D7422" w14:textId="77777777" w:rsidR="00A1778A" w:rsidRDefault="00A1778A" w:rsidP="00F14AAD">
            <w:pPr>
              <w:pStyle w:val="Compact"/>
              <w:jc w:val="right"/>
            </w:pPr>
            <w:r>
              <w:t>12</w:t>
            </w:r>
          </w:p>
        </w:tc>
        <w:tc>
          <w:tcPr>
            <w:tcW w:w="0" w:type="auto"/>
          </w:tcPr>
          <w:p w14:paraId="342CEF3B" w14:textId="77777777" w:rsidR="00A1778A" w:rsidRDefault="00A1778A" w:rsidP="00F14AAD">
            <w:pPr>
              <w:pStyle w:val="Compact"/>
              <w:jc w:val="right"/>
            </w:pPr>
            <w:r>
              <w:t>2.29</w:t>
            </w:r>
          </w:p>
        </w:tc>
      </w:tr>
      <w:tr w:rsidR="00A1778A" w14:paraId="3DFB9518" w14:textId="77777777" w:rsidTr="00F14AAD">
        <w:tc>
          <w:tcPr>
            <w:tcW w:w="0" w:type="auto"/>
          </w:tcPr>
          <w:p w14:paraId="1B250F34" w14:textId="77777777" w:rsidR="00A1778A" w:rsidRDefault="00A1778A" w:rsidP="00F14AAD">
            <w:pPr>
              <w:pStyle w:val="Compact"/>
              <w:jc w:val="right"/>
            </w:pPr>
            <w:r>
              <w:rPr>
                <w:b/>
              </w:rPr>
              <w:t>Not applicable to my municipality (8)</w:t>
            </w:r>
          </w:p>
        </w:tc>
        <w:tc>
          <w:tcPr>
            <w:tcW w:w="0" w:type="auto"/>
          </w:tcPr>
          <w:p w14:paraId="77C5091E" w14:textId="77777777" w:rsidR="00A1778A" w:rsidRDefault="00A1778A" w:rsidP="00F14AAD">
            <w:pPr>
              <w:pStyle w:val="Compact"/>
              <w:jc w:val="right"/>
            </w:pPr>
            <w:r>
              <w:t>0</w:t>
            </w:r>
          </w:p>
        </w:tc>
        <w:tc>
          <w:tcPr>
            <w:tcW w:w="0" w:type="auto"/>
          </w:tcPr>
          <w:p w14:paraId="5CFBABD3" w14:textId="77777777" w:rsidR="00A1778A" w:rsidRDefault="00A1778A" w:rsidP="00F14AAD">
            <w:pPr>
              <w:pStyle w:val="Compact"/>
              <w:jc w:val="right"/>
            </w:pPr>
            <w:r>
              <w:t>0.00</w:t>
            </w:r>
          </w:p>
        </w:tc>
      </w:tr>
      <w:tr w:rsidR="00A1778A" w14:paraId="1F56A2B4" w14:textId="77777777" w:rsidTr="00F14AAD">
        <w:tc>
          <w:tcPr>
            <w:tcW w:w="0" w:type="auto"/>
          </w:tcPr>
          <w:p w14:paraId="77939295" w14:textId="77777777" w:rsidR="00A1778A" w:rsidRDefault="00A1778A" w:rsidP="00F14AAD">
            <w:pPr>
              <w:pStyle w:val="Compact"/>
              <w:jc w:val="right"/>
            </w:pPr>
            <w:r>
              <w:rPr>
                <w:b/>
              </w:rPr>
              <w:t>Don’t know (9)</w:t>
            </w:r>
          </w:p>
        </w:tc>
        <w:tc>
          <w:tcPr>
            <w:tcW w:w="0" w:type="auto"/>
          </w:tcPr>
          <w:p w14:paraId="736B484D" w14:textId="77777777" w:rsidR="00A1778A" w:rsidRDefault="00A1778A" w:rsidP="00F14AAD">
            <w:pPr>
              <w:pStyle w:val="Compact"/>
              <w:jc w:val="right"/>
            </w:pPr>
            <w:r>
              <w:t>2</w:t>
            </w:r>
          </w:p>
        </w:tc>
        <w:tc>
          <w:tcPr>
            <w:tcW w:w="0" w:type="auto"/>
          </w:tcPr>
          <w:p w14:paraId="75C19AA5" w14:textId="77777777" w:rsidR="00A1778A" w:rsidRDefault="00A1778A" w:rsidP="00F14AAD">
            <w:pPr>
              <w:pStyle w:val="Compact"/>
              <w:jc w:val="right"/>
            </w:pPr>
            <w:r>
              <w:t>0.38</w:t>
            </w:r>
          </w:p>
        </w:tc>
      </w:tr>
      <w:tr w:rsidR="00A1778A" w14:paraId="649C0B9D" w14:textId="77777777" w:rsidTr="00F14AAD">
        <w:tc>
          <w:tcPr>
            <w:tcW w:w="0" w:type="auto"/>
          </w:tcPr>
          <w:p w14:paraId="59ACA97B" w14:textId="77777777" w:rsidR="00A1778A" w:rsidRDefault="00A1778A" w:rsidP="00F14AAD">
            <w:pPr>
              <w:pStyle w:val="Compact"/>
              <w:jc w:val="right"/>
            </w:pPr>
            <w:r>
              <w:rPr>
                <w:b/>
              </w:rPr>
              <w:t>Total</w:t>
            </w:r>
          </w:p>
        </w:tc>
        <w:tc>
          <w:tcPr>
            <w:tcW w:w="0" w:type="auto"/>
          </w:tcPr>
          <w:p w14:paraId="4FEEC892" w14:textId="77777777" w:rsidR="00A1778A" w:rsidRDefault="00A1778A" w:rsidP="00F14AAD">
            <w:pPr>
              <w:pStyle w:val="Compact"/>
              <w:jc w:val="right"/>
            </w:pPr>
            <w:r>
              <w:t>525</w:t>
            </w:r>
          </w:p>
        </w:tc>
        <w:tc>
          <w:tcPr>
            <w:tcW w:w="0" w:type="auto"/>
          </w:tcPr>
          <w:p w14:paraId="169170AB" w14:textId="77777777" w:rsidR="00A1778A" w:rsidRDefault="00A1778A" w:rsidP="00F14AAD">
            <w:pPr>
              <w:pStyle w:val="Compact"/>
              <w:jc w:val="right"/>
            </w:pPr>
            <w:r>
              <w:t>100.00</w:t>
            </w:r>
          </w:p>
        </w:tc>
      </w:tr>
    </w:tbl>
    <w:p w14:paraId="5176686A" w14:textId="77777777" w:rsidR="00A1778A" w:rsidRDefault="00A1778A" w:rsidP="00A1778A">
      <w:pPr>
        <w:pStyle w:val="Heading4"/>
      </w:pPr>
      <w:bookmarkStart w:id="11" w:name="gov_committee"/>
      <w:proofErr w:type="spellStart"/>
      <w:r>
        <w:rPr>
          <w:rStyle w:val="VerbatimChar"/>
        </w:rPr>
        <w:t>gov_committee</w:t>
      </w:r>
      <w:bookmarkEnd w:id="11"/>
      <w:proofErr w:type="spellEnd"/>
    </w:p>
    <w:p w14:paraId="4690974E" w14:textId="77777777" w:rsidR="00A1778A" w:rsidRDefault="00A1778A" w:rsidP="00A1778A">
      <w:pPr>
        <w:pStyle w:val="FirstParagraph"/>
      </w:pPr>
      <w:r>
        <w:t>"What is the status of the following governance processes in your municipality?</w:t>
      </w:r>
    </w:p>
    <w:p w14:paraId="34095B49" w14:textId="77777777" w:rsidR="00A1778A" w:rsidRDefault="00A1778A" w:rsidP="00A1778A">
      <w:pPr>
        <w:pStyle w:val="BodyText"/>
      </w:pPr>
      <w:r>
        <w:t>Committee meetings"</w:t>
      </w:r>
    </w:p>
    <w:tbl>
      <w:tblPr>
        <w:tblStyle w:val="Table"/>
        <w:tblW w:w="0" w:type="pct"/>
        <w:tblLook w:val="07E0" w:firstRow="1" w:lastRow="1" w:firstColumn="1" w:lastColumn="1" w:noHBand="1" w:noVBand="1"/>
      </w:tblPr>
      <w:tblGrid>
        <w:gridCol w:w="4130"/>
        <w:gridCol w:w="656"/>
        <w:gridCol w:w="885"/>
      </w:tblGrid>
      <w:tr w:rsidR="00A1778A" w14:paraId="6CE5F6BA" w14:textId="77777777" w:rsidTr="00F14AAD">
        <w:tc>
          <w:tcPr>
            <w:tcW w:w="0" w:type="auto"/>
            <w:tcBorders>
              <w:bottom w:val="single" w:sz="0" w:space="0" w:color="auto"/>
            </w:tcBorders>
            <w:vAlign w:val="bottom"/>
          </w:tcPr>
          <w:p w14:paraId="65FFD217" w14:textId="77777777" w:rsidR="00A1778A" w:rsidRDefault="00A1778A" w:rsidP="00F14AAD">
            <w:pPr>
              <w:pStyle w:val="Compact"/>
              <w:jc w:val="right"/>
            </w:pPr>
            <w:r>
              <w:t> </w:t>
            </w:r>
          </w:p>
        </w:tc>
        <w:tc>
          <w:tcPr>
            <w:tcW w:w="0" w:type="auto"/>
            <w:tcBorders>
              <w:bottom w:val="single" w:sz="0" w:space="0" w:color="auto"/>
            </w:tcBorders>
            <w:vAlign w:val="bottom"/>
          </w:tcPr>
          <w:p w14:paraId="222B9CA4" w14:textId="77777777" w:rsidR="00A1778A" w:rsidRDefault="00A1778A" w:rsidP="00F14AAD">
            <w:pPr>
              <w:pStyle w:val="Compact"/>
              <w:jc w:val="right"/>
            </w:pPr>
            <w:r>
              <w:t>Freq</w:t>
            </w:r>
          </w:p>
        </w:tc>
        <w:tc>
          <w:tcPr>
            <w:tcW w:w="0" w:type="auto"/>
            <w:tcBorders>
              <w:bottom w:val="single" w:sz="0" w:space="0" w:color="auto"/>
            </w:tcBorders>
            <w:vAlign w:val="bottom"/>
          </w:tcPr>
          <w:p w14:paraId="7E2502B6" w14:textId="77777777" w:rsidR="00A1778A" w:rsidRDefault="00A1778A" w:rsidP="00F14AAD">
            <w:pPr>
              <w:pStyle w:val="Compact"/>
              <w:jc w:val="right"/>
            </w:pPr>
            <w:r>
              <w:t>%</w:t>
            </w:r>
          </w:p>
        </w:tc>
      </w:tr>
      <w:tr w:rsidR="00A1778A" w14:paraId="16A29A82" w14:textId="77777777" w:rsidTr="00F14AAD">
        <w:tc>
          <w:tcPr>
            <w:tcW w:w="0" w:type="auto"/>
          </w:tcPr>
          <w:p w14:paraId="4D372C17" w14:textId="77777777" w:rsidR="00A1778A" w:rsidRDefault="00A1778A" w:rsidP="00F14AAD">
            <w:pPr>
              <w:pStyle w:val="Compact"/>
              <w:jc w:val="right"/>
            </w:pPr>
            <w:r>
              <w:rPr>
                <w:b/>
              </w:rPr>
              <w:t>Cancelled (1)</w:t>
            </w:r>
          </w:p>
        </w:tc>
        <w:tc>
          <w:tcPr>
            <w:tcW w:w="0" w:type="auto"/>
          </w:tcPr>
          <w:p w14:paraId="58A34532" w14:textId="77777777" w:rsidR="00A1778A" w:rsidRDefault="00A1778A" w:rsidP="00F14AAD">
            <w:pPr>
              <w:pStyle w:val="Compact"/>
              <w:jc w:val="right"/>
            </w:pPr>
            <w:r>
              <w:t>205</w:t>
            </w:r>
          </w:p>
        </w:tc>
        <w:tc>
          <w:tcPr>
            <w:tcW w:w="0" w:type="auto"/>
          </w:tcPr>
          <w:p w14:paraId="0AA27D03" w14:textId="77777777" w:rsidR="00A1778A" w:rsidRDefault="00A1778A" w:rsidP="00F14AAD">
            <w:pPr>
              <w:pStyle w:val="Compact"/>
              <w:jc w:val="right"/>
            </w:pPr>
            <w:r>
              <w:t>39.05</w:t>
            </w:r>
          </w:p>
        </w:tc>
      </w:tr>
      <w:tr w:rsidR="00A1778A" w14:paraId="1D2C8EE6" w14:textId="77777777" w:rsidTr="00F14AAD">
        <w:tc>
          <w:tcPr>
            <w:tcW w:w="0" w:type="auto"/>
          </w:tcPr>
          <w:p w14:paraId="770E2C77" w14:textId="77777777" w:rsidR="00A1778A" w:rsidRDefault="00A1778A" w:rsidP="00F14AAD">
            <w:pPr>
              <w:pStyle w:val="Compact"/>
              <w:jc w:val="right"/>
            </w:pPr>
            <w:r>
              <w:rPr>
                <w:b/>
              </w:rPr>
              <w:t>In camera (2)</w:t>
            </w:r>
          </w:p>
        </w:tc>
        <w:tc>
          <w:tcPr>
            <w:tcW w:w="0" w:type="auto"/>
          </w:tcPr>
          <w:p w14:paraId="75CCB6C1" w14:textId="77777777" w:rsidR="00A1778A" w:rsidRDefault="00A1778A" w:rsidP="00F14AAD">
            <w:pPr>
              <w:pStyle w:val="Compact"/>
              <w:jc w:val="right"/>
            </w:pPr>
            <w:r>
              <w:t>17</w:t>
            </w:r>
          </w:p>
        </w:tc>
        <w:tc>
          <w:tcPr>
            <w:tcW w:w="0" w:type="auto"/>
          </w:tcPr>
          <w:p w14:paraId="498C0F1C" w14:textId="77777777" w:rsidR="00A1778A" w:rsidRDefault="00A1778A" w:rsidP="00F14AAD">
            <w:pPr>
              <w:pStyle w:val="Compact"/>
              <w:jc w:val="right"/>
            </w:pPr>
            <w:r>
              <w:t>3.24</w:t>
            </w:r>
          </w:p>
        </w:tc>
      </w:tr>
      <w:tr w:rsidR="00A1778A" w14:paraId="7FD48F5F" w14:textId="77777777" w:rsidTr="00F14AAD">
        <w:tc>
          <w:tcPr>
            <w:tcW w:w="0" w:type="auto"/>
          </w:tcPr>
          <w:p w14:paraId="5172CC58" w14:textId="77777777" w:rsidR="00A1778A" w:rsidRDefault="00A1778A" w:rsidP="00F14AAD">
            <w:pPr>
              <w:pStyle w:val="Compact"/>
              <w:jc w:val="right"/>
            </w:pPr>
            <w:r>
              <w:rPr>
                <w:b/>
              </w:rPr>
              <w:t>Switched to virtual / teleconference (3)</w:t>
            </w:r>
          </w:p>
        </w:tc>
        <w:tc>
          <w:tcPr>
            <w:tcW w:w="0" w:type="auto"/>
          </w:tcPr>
          <w:p w14:paraId="3C162E0D" w14:textId="77777777" w:rsidR="00A1778A" w:rsidRDefault="00A1778A" w:rsidP="00F14AAD">
            <w:pPr>
              <w:pStyle w:val="Compact"/>
              <w:jc w:val="right"/>
            </w:pPr>
            <w:r>
              <w:t>298</w:t>
            </w:r>
          </w:p>
        </w:tc>
        <w:tc>
          <w:tcPr>
            <w:tcW w:w="0" w:type="auto"/>
          </w:tcPr>
          <w:p w14:paraId="39F179A5" w14:textId="77777777" w:rsidR="00A1778A" w:rsidRDefault="00A1778A" w:rsidP="00F14AAD">
            <w:pPr>
              <w:pStyle w:val="Compact"/>
              <w:jc w:val="right"/>
            </w:pPr>
            <w:r>
              <w:t>56.76</w:t>
            </w:r>
          </w:p>
        </w:tc>
      </w:tr>
      <w:tr w:rsidR="00A1778A" w14:paraId="60B74E61" w14:textId="77777777" w:rsidTr="00F14AAD">
        <w:tc>
          <w:tcPr>
            <w:tcW w:w="0" w:type="auto"/>
          </w:tcPr>
          <w:p w14:paraId="188D26F3" w14:textId="77777777" w:rsidR="00A1778A" w:rsidRDefault="00A1778A" w:rsidP="00F14AAD">
            <w:pPr>
              <w:pStyle w:val="Compact"/>
              <w:jc w:val="right"/>
            </w:pPr>
            <w:r>
              <w:rPr>
                <w:b/>
              </w:rPr>
              <w:t>Proceeding as usual (4)</w:t>
            </w:r>
          </w:p>
        </w:tc>
        <w:tc>
          <w:tcPr>
            <w:tcW w:w="0" w:type="auto"/>
          </w:tcPr>
          <w:p w14:paraId="7A1C006E" w14:textId="77777777" w:rsidR="00A1778A" w:rsidRDefault="00A1778A" w:rsidP="00F14AAD">
            <w:pPr>
              <w:pStyle w:val="Compact"/>
              <w:jc w:val="right"/>
            </w:pPr>
            <w:r>
              <w:t>2</w:t>
            </w:r>
          </w:p>
        </w:tc>
        <w:tc>
          <w:tcPr>
            <w:tcW w:w="0" w:type="auto"/>
          </w:tcPr>
          <w:p w14:paraId="1F497918" w14:textId="77777777" w:rsidR="00A1778A" w:rsidRDefault="00A1778A" w:rsidP="00F14AAD">
            <w:pPr>
              <w:pStyle w:val="Compact"/>
              <w:jc w:val="right"/>
            </w:pPr>
            <w:r>
              <w:t>0.38</w:t>
            </w:r>
          </w:p>
        </w:tc>
      </w:tr>
      <w:tr w:rsidR="00A1778A" w14:paraId="4F029768" w14:textId="77777777" w:rsidTr="00F14AAD">
        <w:tc>
          <w:tcPr>
            <w:tcW w:w="0" w:type="auto"/>
          </w:tcPr>
          <w:p w14:paraId="7346D612" w14:textId="77777777" w:rsidR="00A1778A" w:rsidRDefault="00A1778A" w:rsidP="00F14AAD">
            <w:pPr>
              <w:pStyle w:val="Compact"/>
              <w:jc w:val="right"/>
            </w:pPr>
            <w:r>
              <w:rPr>
                <w:b/>
              </w:rPr>
              <w:t>Not applicable to my municipality (8)</w:t>
            </w:r>
          </w:p>
        </w:tc>
        <w:tc>
          <w:tcPr>
            <w:tcW w:w="0" w:type="auto"/>
          </w:tcPr>
          <w:p w14:paraId="7F8F73E3" w14:textId="77777777" w:rsidR="00A1778A" w:rsidRDefault="00A1778A" w:rsidP="00F14AAD">
            <w:pPr>
              <w:pStyle w:val="Compact"/>
              <w:jc w:val="right"/>
            </w:pPr>
            <w:r>
              <w:t>1</w:t>
            </w:r>
          </w:p>
        </w:tc>
        <w:tc>
          <w:tcPr>
            <w:tcW w:w="0" w:type="auto"/>
          </w:tcPr>
          <w:p w14:paraId="3D5DB557" w14:textId="77777777" w:rsidR="00A1778A" w:rsidRDefault="00A1778A" w:rsidP="00F14AAD">
            <w:pPr>
              <w:pStyle w:val="Compact"/>
              <w:jc w:val="right"/>
            </w:pPr>
            <w:r>
              <w:t>0.19</w:t>
            </w:r>
          </w:p>
        </w:tc>
      </w:tr>
      <w:tr w:rsidR="00A1778A" w14:paraId="27940B91" w14:textId="77777777" w:rsidTr="00F14AAD">
        <w:tc>
          <w:tcPr>
            <w:tcW w:w="0" w:type="auto"/>
          </w:tcPr>
          <w:p w14:paraId="31775197" w14:textId="77777777" w:rsidR="00A1778A" w:rsidRDefault="00A1778A" w:rsidP="00F14AAD">
            <w:pPr>
              <w:pStyle w:val="Compact"/>
              <w:jc w:val="right"/>
            </w:pPr>
            <w:r>
              <w:rPr>
                <w:b/>
              </w:rPr>
              <w:t>Don’t know (9)</w:t>
            </w:r>
          </w:p>
        </w:tc>
        <w:tc>
          <w:tcPr>
            <w:tcW w:w="0" w:type="auto"/>
          </w:tcPr>
          <w:p w14:paraId="4981DB68" w14:textId="77777777" w:rsidR="00A1778A" w:rsidRDefault="00A1778A" w:rsidP="00F14AAD">
            <w:pPr>
              <w:pStyle w:val="Compact"/>
              <w:jc w:val="right"/>
            </w:pPr>
            <w:r>
              <w:t>2</w:t>
            </w:r>
          </w:p>
        </w:tc>
        <w:tc>
          <w:tcPr>
            <w:tcW w:w="0" w:type="auto"/>
          </w:tcPr>
          <w:p w14:paraId="15CAFE8C" w14:textId="77777777" w:rsidR="00A1778A" w:rsidRDefault="00A1778A" w:rsidP="00F14AAD">
            <w:pPr>
              <w:pStyle w:val="Compact"/>
              <w:jc w:val="right"/>
            </w:pPr>
            <w:r>
              <w:t>0.38</w:t>
            </w:r>
          </w:p>
        </w:tc>
      </w:tr>
      <w:tr w:rsidR="00A1778A" w14:paraId="43F50F2B" w14:textId="77777777" w:rsidTr="00F14AAD">
        <w:tc>
          <w:tcPr>
            <w:tcW w:w="0" w:type="auto"/>
          </w:tcPr>
          <w:p w14:paraId="758C70D2" w14:textId="77777777" w:rsidR="00A1778A" w:rsidRDefault="00A1778A" w:rsidP="00F14AAD">
            <w:pPr>
              <w:pStyle w:val="Compact"/>
              <w:jc w:val="right"/>
            </w:pPr>
            <w:r>
              <w:rPr>
                <w:b/>
              </w:rPr>
              <w:t>Total</w:t>
            </w:r>
          </w:p>
        </w:tc>
        <w:tc>
          <w:tcPr>
            <w:tcW w:w="0" w:type="auto"/>
          </w:tcPr>
          <w:p w14:paraId="27D11C81" w14:textId="77777777" w:rsidR="00A1778A" w:rsidRDefault="00A1778A" w:rsidP="00F14AAD">
            <w:pPr>
              <w:pStyle w:val="Compact"/>
              <w:jc w:val="right"/>
            </w:pPr>
            <w:r>
              <w:t>525</w:t>
            </w:r>
          </w:p>
        </w:tc>
        <w:tc>
          <w:tcPr>
            <w:tcW w:w="0" w:type="auto"/>
          </w:tcPr>
          <w:p w14:paraId="1C3F5037" w14:textId="77777777" w:rsidR="00A1778A" w:rsidRDefault="00A1778A" w:rsidP="00F14AAD">
            <w:pPr>
              <w:pStyle w:val="Compact"/>
              <w:jc w:val="right"/>
            </w:pPr>
            <w:r>
              <w:t>100.00</w:t>
            </w:r>
          </w:p>
        </w:tc>
      </w:tr>
    </w:tbl>
    <w:p w14:paraId="2B53BF83" w14:textId="77777777" w:rsidR="00A1778A" w:rsidRDefault="00A1778A" w:rsidP="00A1778A">
      <w:pPr>
        <w:pStyle w:val="Heading4"/>
      </w:pPr>
      <w:bookmarkStart w:id="12" w:name="gender"/>
      <w:r>
        <w:lastRenderedPageBreak/>
        <w:t>gender</w:t>
      </w:r>
      <w:bookmarkEnd w:id="12"/>
    </w:p>
    <w:p w14:paraId="46E6C4BA" w14:textId="77777777" w:rsidR="00A1778A" w:rsidRDefault="00A1778A" w:rsidP="00A1778A">
      <w:pPr>
        <w:pStyle w:val="FirstParagraph"/>
      </w:pPr>
      <w:r>
        <w:t>A total of 34 percent of the men and women who completed the CMB COVID-19 survey were women, compared with 33% in the population.</w:t>
      </w:r>
    </w:p>
    <w:tbl>
      <w:tblPr>
        <w:tblStyle w:val="Table"/>
        <w:tblW w:w="0" w:type="pct"/>
        <w:tblLook w:val="07E0" w:firstRow="1" w:lastRow="1" w:firstColumn="1" w:lastColumn="1" w:noHBand="1" w:noVBand="1"/>
      </w:tblPr>
      <w:tblGrid>
        <w:gridCol w:w="1756"/>
        <w:gridCol w:w="656"/>
        <w:gridCol w:w="885"/>
      </w:tblGrid>
      <w:tr w:rsidR="00A1778A" w14:paraId="598D98F0" w14:textId="77777777" w:rsidTr="00F14AAD">
        <w:tc>
          <w:tcPr>
            <w:tcW w:w="0" w:type="auto"/>
            <w:tcBorders>
              <w:bottom w:val="single" w:sz="0" w:space="0" w:color="auto"/>
            </w:tcBorders>
            <w:vAlign w:val="bottom"/>
          </w:tcPr>
          <w:p w14:paraId="1E15FFFE" w14:textId="77777777" w:rsidR="00A1778A" w:rsidRDefault="00A1778A" w:rsidP="00F14AAD">
            <w:pPr>
              <w:pStyle w:val="Compact"/>
              <w:jc w:val="right"/>
            </w:pPr>
            <w:r>
              <w:t> </w:t>
            </w:r>
          </w:p>
        </w:tc>
        <w:tc>
          <w:tcPr>
            <w:tcW w:w="0" w:type="auto"/>
            <w:tcBorders>
              <w:bottom w:val="single" w:sz="0" w:space="0" w:color="auto"/>
            </w:tcBorders>
            <w:vAlign w:val="bottom"/>
          </w:tcPr>
          <w:p w14:paraId="4D0A86BE" w14:textId="77777777" w:rsidR="00A1778A" w:rsidRDefault="00A1778A" w:rsidP="00F14AAD">
            <w:pPr>
              <w:pStyle w:val="Compact"/>
              <w:jc w:val="right"/>
            </w:pPr>
            <w:r>
              <w:t>Freq</w:t>
            </w:r>
          </w:p>
        </w:tc>
        <w:tc>
          <w:tcPr>
            <w:tcW w:w="0" w:type="auto"/>
            <w:tcBorders>
              <w:bottom w:val="single" w:sz="0" w:space="0" w:color="auto"/>
            </w:tcBorders>
            <w:vAlign w:val="bottom"/>
          </w:tcPr>
          <w:p w14:paraId="27E00E34" w14:textId="77777777" w:rsidR="00A1778A" w:rsidRDefault="00A1778A" w:rsidP="00F14AAD">
            <w:pPr>
              <w:pStyle w:val="Compact"/>
              <w:jc w:val="right"/>
            </w:pPr>
            <w:r>
              <w:t>%</w:t>
            </w:r>
          </w:p>
        </w:tc>
      </w:tr>
      <w:tr w:rsidR="00A1778A" w14:paraId="52AF9306" w14:textId="77777777" w:rsidTr="00F14AAD">
        <w:tc>
          <w:tcPr>
            <w:tcW w:w="0" w:type="auto"/>
          </w:tcPr>
          <w:p w14:paraId="283103EF" w14:textId="77777777" w:rsidR="00A1778A" w:rsidRDefault="00A1778A" w:rsidP="00F14AAD">
            <w:pPr>
              <w:pStyle w:val="Compact"/>
              <w:jc w:val="right"/>
            </w:pPr>
            <w:r>
              <w:rPr>
                <w:b/>
              </w:rPr>
              <w:t>Man</w:t>
            </w:r>
          </w:p>
        </w:tc>
        <w:tc>
          <w:tcPr>
            <w:tcW w:w="0" w:type="auto"/>
          </w:tcPr>
          <w:p w14:paraId="7B70AC01" w14:textId="77777777" w:rsidR="00A1778A" w:rsidRDefault="00A1778A" w:rsidP="00F14AAD">
            <w:pPr>
              <w:pStyle w:val="Compact"/>
              <w:jc w:val="right"/>
            </w:pPr>
            <w:r>
              <w:t>314</w:t>
            </w:r>
          </w:p>
        </w:tc>
        <w:tc>
          <w:tcPr>
            <w:tcW w:w="0" w:type="auto"/>
          </w:tcPr>
          <w:p w14:paraId="2C83ADCE" w14:textId="77777777" w:rsidR="00A1778A" w:rsidRDefault="00A1778A" w:rsidP="00F14AAD">
            <w:pPr>
              <w:pStyle w:val="Compact"/>
              <w:jc w:val="right"/>
            </w:pPr>
            <w:r>
              <w:t>60.27</w:t>
            </w:r>
          </w:p>
        </w:tc>
      </w:tr>
      <w:tr w:rsidR="00A1778A" w14:paraId="00B5FC95" w14:textId="77777777" w:rsidTr="00F14AAD">
        <w:tc>
          <w:tcPr>
            <w:tcW w:w="0" w:type="auto"/>
          </w:tcPr>
          <w:p w14:paraId="34A82931" w14:textId="77777777" w:rsidR="00A1778A" w:rsidRDefault="00A1778A" w:rsidP="00F14AAD">
            <w:pPr>
              <w:pStyle w:val="Compact"/>
              <w:jc w:val="right"/>
            </w:pPr>
            <w:r>
              <w:rPr>
                <w:b/>
              </w:rPr>
              <w:t>Woman</w:t>
            </w:r>
          </w:p>
        </w:tc>
        <w:tc>
          <w:tcPr>
            <w:tcW w:w="0" w:type="auto"/>
          </w:tcPr>
          <w:p w14:paraId="324118BD" w14:textId="77777777" w:rsidR="00A1778A" w:rsidRDefault="00A1778A" w:rsidP="00F14AAD">
            <w:pPr>
              <w:pStyle w:val="Compact"/>
              <w:jc w:val="right"/>
            </w:pPr>
            <w:r>
              <w:t>157</w:t>
            </w:r>
          </w:p>
        </w:tc>
        <w:tc>
          <w:tcPr>
            <w:tcW w:w="0" w:type="auto"/>
          </w:tcPr>
          <w:p w14:paraId="065EDFA2" w14:textId="77777777" w:rsidR="00A1778A" w:rsidRDefault="00A1778A" w:rsidP="00F14AAD">
            <w:pPr>
              <w:pStyle w:val="Compact"/>
              <w:jc w:val="right"/>
            </w:pPr>
            <w:r>
              <w:t>30.13</w:t>
            </w:r>
          </w:p>
        </w:tc>
      </w:tr>
      <w:tr w:rsidR="00A1778A" w14:paraId="61C44ECC" w14:textId="77777777" w:rsidTr="00F14AAD">
        <w:tc>
          <w:tcPr>
            <w:tcW w:w="0" w:type="auto"/>
          </w:tcPr>
          <w:p w14:paraId="60A7927B" w14:textId="77777777" w:rsidR="00A1778A" w:rsidRDefault="00A1778A" w:rsidP="00F14AAD">
            <w:pPr>
              <w:pStyle w:val="Compact"/>
              <w:jc w:val="right"/>
            </w:pPr>
            <w:r>
              <w:rPr>
                <w:b/>
              </w:rPr>
              <w:t>Other response</w:t>
            </w:r>
          </w:p>
        </w:tc>
        <w:tc>
          <w:tcPr>
            <w:tcW w:w="0" w:type="auto"/>
          </w:tcPr>
          <w:p w14:paraId="17AB54ED" w14:textId="77777777" w:rsidR="00A1778A" w:rsidRDefault="00A1778A" w:rsidP="00F14AAD">
            <w:pPr>
              <w:pStyle w:val="Compact"/>
              <w:jc w:val="right"/>
            </w:pPr>
            <w:r>
              <w:t>38</w:t>
            </w:r>
          </w:p>
        </w:tc>
        <w:tc>
          <w:tcPr>
            <w:tcW w:w="0" w:type="auto"/>
          </w:tcPr>
          <w:p w14:paraId="22E5B7AE" w14:textId="77777777" w:rsidR="00A1778A" w:rsidRDefault="00A1778A" w:rsidP="00F14AAD">
            <w:pPr>
              <w:pStyle w:val="Compact"/>
              <w:jc w:val="right"/>
            </w:pPr>
            <w:r>
              <w:t>7.29</w:t>
            </w:r>
          </w:p>
        </w:tc>
      </w:tr>
      <w:tr w:rsidR="00A1778A" w14:paraId="7DEEF8F5" w14:textId="77777777" w:rsidTr="00F14AAD">
        <w:tc>
          <w:tcPr>
            <w:tcW w:w="0" w:type="auto"/>
          </w:tcPr>
          <w:p w14:paraId="430FD7FA" w14:textId="77777777" w:rsidR="00A1778A" w:rsidRDefault="00A1778A" w:rsidP="00F14AAD">
            <w:pPr>
              <w:pStyle w:val="Compact"/>
              <w:jc w:val="right"/>
            </w:pPr>
            <w:r>
              <w:rPr>
                <w:b/>
              </w:rPr>
              <w:t>Refused</w:t>
            </w:r>
          </w:p>
        </w:tc>
        <w:tc>
          <w:tcPr>
            <w:tcW w:w="0" w:type="auto"/>
          </w:tcPr>
          <w:p w14:paraId="51DD72ED" w14:textId="77777777" w:rsidR="00A1778A" w:rsidRDefault="00A1778A" w:rsidP="00F14AAD">
            <w:pPr>
              <w:pStyle w:val="Compact"/>
              <w:jc w:val="right"/>
            </w:pPr>
            <w:r>
              <w:t>12</w:t>
            </w:r>
          </w:p>
        </w:tc>
        <w:tc>
          <w:tcPr>
            <w:tcW w:w="0" w:type="auto"/>
          </w:tcPr>
          <w:p w14:paraId="378ED786" w14:textId="77777777" w:rsidR="00A1778A" w:rsidRDefault="00A1778A" w:rsidP="00F14AAD">
            <w:pPr>
              <w:pStyle w:val="Compact"/>
              <w:jc w:val="right"/>
            </w:pPr>
            <w:r>
              <w:t>2.30</w:t>
            </w:r>
          </w:p>
        </w:tc>
      </w:tr>
      <w:tr w:rsidR="00A1778A" w14:paraId="3DDC149F" w14:textId="77777777" w:rsidTr="00F14AAD">
        <w:tc>
          <w:tcPr>
            <w:tcW w:w="0" w:type="auto"/>
          </w:tcPr>
          <w:p w14:paraId="53D1C192" w14:textId="77777777" w:rsidR="00A1778A" w:rsidRDefault="00A1778A" w:rsidP="00F14AAD">
            <w:pPr>
              <w:pStyle w:val="Compact"/>
              <w:jc w:val="right"/>
            </w:pPr>
            <w:r>
              <w:rPr>
                <w:b/>
              </w:rPr>
              <w:t>Total</w:t>
            </w:r>
          </w:p>
        </w:tc>
        <w:tc>
          <w:tcPr>
            <w:tcW w:w="0" w:type="auto"/>
          </w:tcPr>
          <w:p w14:paraId="30FBCD8A" w14:textId="77777777" w:rsidR="00A1778A" w:rsidRDefault="00A1778A" w:rsidP="00F14AAD">
            <w:pPr>
              <w:pStyle w:val="Compact"/>
              <w:jc w:val="right"/>
            </w:pPr>
            <w:r>
              <w:t>521</w:t>
            </w:r>
          </w:p>
        </w:tc>
        <w:tc>
          <w:tcPr>
            <w:tcW w:w="0" w:type="auto"/>
          </w:tcPr>
          <w:p w14:paraId="4708F642" w14:textId="77777777" w:rsidR="00A1778A" w:rsidRDefault="00A1778A" w:rsidP="00F14AAD">
            <w:pPr>
              <w:pStyle w:val="Compact"/>
              <w:jc w:val="right"/>
            </w:pPr>
            <w:r>
              <w:t>100.00</w:t>
            </w:r>
          </w:p>
        </w:tc>
      </w:tr>
    </w:tbl>
    <w:p w14:paraId="3F0FFF03" w14:textId="77777777" w:rsidR="00A1778A" w:rsidRDefault="00A1778A" w:rsidP="00A1778A">
      <w:pPr>
        <w:pStyle w:val="Heading4"/>
      </w:pPr>
      <w:bookmarkStart w:id="13" w:name="province-1"/>
      <w:r>
        <w:t>province</w:t>
      </w:r>
      <w:bookmarkEnd w:id="13"/>
    </w:p>
    <w:p w14:paraId="63B6FB77" w14:textId="77777777" w:rsidR="00A1778A" w:rsidRDefault="00A1778A" w:rsidP="00A1778A">
      <w:pPr>
        <w:pStyle w:val="FirstParagraph"/>
      </w:pPr>
      <w:r>
        <w:t xml:space="preserve">The distribution of respondents in the CMB survey matches the overall distribution of municipal mayors and </w:t>
      </w:r>
      <w:proofErr w:type="spellStart"/>
      <w:r>
        <w:t>councillors</w:t>
      </w:r>
      <w:proofErr w:type="spellEnd"/>
      <w:r>
        <w:t xml:space="preserve"> in the population very well, with no more than 2% differences between population and respondents in all categories except Quebec, where respondents’ proportion in the survey is 3.5% lower than their proportion of the larger population.</w:t>
      </w:r>
    </w:p>
    <w:tbl>
      <w:tblPr>
        <w:tblStyle w:val="Table"/>
        <w:tblW w:w="0" w:type="pct"/>
        <w:tblLook w:val="07E0" w:firstRow="1" w:lastRow="1" w:firstColumn="1" w:lastColumn="1" w:noHBand="1" w:noVBand="1"/>
      </w:tblPr>
      <w:tblGrid>
        <w:gridCol w:w="738"/>
        <w:gridCol w:w="656"/>
        <w:gridCol w:w="885"/>
      </w:tblGrid>
      <w:tr w:rsidR="00A1778A" w14:paraId="64BB60B2" w14:textId="77777777" w:rsidTr="00F14AAD">
        <w:tc>
          <w:tcPr>
            <w:tcW w:w="0" w:type="auto"/>
            <w:tcBorders>
              <w:bottom w:val="single" w:sz="0" w:space="0" w:color="auto"/>
            </w:tcBorders>
            <w:vAlign w:val="bottom"/>
          </w:tcPr>
          <w:p w14:paraId="7DD9FB37" w14:textId="77777777" w:rsidR="00A1778A" w:rsidRDefault="00A1778A" w:rsidP="00F14AAD">
            <w:pPr>
              <w:pStyle w:val="Compact"/>
              <w:jc w:val="right"/>
            </w:pPr>
            <w:r>
              <w:t> </w:t>
            </w:r>
          </w:p>
        </w:tc>
        <w:tc>
          <w:tcPr>
            <w:tcW w:w="0" w:type="auto"/>
            <w:tcBorders>
              <w:bottom w:val="single" w:sz="0" w:space="0" w:color="auto"/>
            </w:tcBorders>
            <w:vAlign w:val="bottom"/>
          </w:tcPr>
          <w:p w14:paraId="2E8757E8" w14:textId="77777777" w:rsidR="00A1778A" w:rsidRDefault="00A1778A" w:rsidP="00F14AAD">
            <w:pPr>
              <w:pStyle w:val="Compact"/>
              <w:jc w:val="right"/>
            </w:pPr>
            <w:r>
              <w:t>Freq</w:t>
            </w:r>
          </w:p>
        </w:tc>
        <w:tc>
          <w:tcPr>
            <w:tcW w:w="0" w:type="auto"/>
            <w:tcBorders>
              <w:bottom w:val="single" w:sz="0" w:space="0" w:color="auto"/>
            </w:tcBorders>
            <w:vAlign w:val="bottom"/>
          </w:tcPr>
          <w:p w14:paraId="19441A8D" w14:textId="77777777" w:rsidR="00A1778A" w:rsidRDefault="00A1778A" w:rsidP="00F14AAD">
            <w:pPr>
              <w:pStyle w:val="Compact"/>
              <w:jc w:val="right"/>
            </w:pPr>
            <w:r>
              <w:t>%</w:t>
            </w:r>
          </w:p>
        </w:tc>
      </w:tr>
      <w:tr w:rsidR="00A1778A" w14:paraId="2A8EF8E1" w14:textId="77777777" w:rsidTr="00F14AAD">
        <w:tc>
          <w:tcPr>
            <w:tcW w:w="0" w:type="auto"/>
          </w:tcPr>
          <w:p w14:paraId="037985D4" w14:textId="77777777" w:rsidR="00A1778A" w:rsidRDefault="00A1778A" w:rsidP="00F14AAD">
            <w:pPr>
              <w:pStyle w:val="Compact"/>
              <w:jc w:val="right"/>
            </w:pPr>
            <w:r>
              <w:rPr>
                <w:b/>
              </w:rPr>
              <w:t>AB</w:t>
            </w:r>
          </w:p>
        </w:tc>
        <w:tc>
          <w:tcPr>
            <w:tcW w:w="0" w:type="auto"/>
          </w:tcPr>
          <w:p w14:paraId="680FBE7A" w14:textId="77777777" w:rsidR="00A1778A" w:rsidRDefault="00A1778A" w:rsidP="00F14AAD">
            <w:pPr>
              <w:pStyle w:val="Compact"/>
              <w:jc w:val="right"/>
            </w:pPr>
            <w:r>
              <w:t>67</w:t>
            </w:r>
          </w:p>
        </w:tc>
        <w:tc>
          <w:tcPr>
            <w:tcW w:w="0" w:type="auto"/>
          </w:tcPr>
          <w:p w14:paraId="3F0B2B75" w14:textId="77777777" w:rsidR="00A1778A" w:rsidRDefault="00A1778A" w:rsidP="00F14AAD">
            <w:pPr>
              <w:pStyle w:val="Compact"/>
              <w:jc w:val="right"/>
            </w:pPr>
            <w:r>
              <w:t>11.59</w:t>
            </w:r>
          </w:p>
        </w:tc>
      </w:tr>
      <w:tr w:rsidR="00A1778A" w14:paraId="129FBED9" w14:textId="77777777" w:rsidTr="00F14AAD">
        <w:tc>
          <w:tcPr>
            <w:tcW w:w="0" w:type="auto"/>
          </w:tcPr>
          <w:p w14:paraId="49EE8D41" w14:textId="77777777" w:rsidR="00A1778A" w:rsidRDefault="00A1778A" w:rsidP="00F14AAD">
            <w:pPr>
              <w:pStyle w:val="Compact"/>
              <w:jc w:val="right"/>
            </w:pPr>
            <w:r>
              <w:rPr>
                <w:b/>
              </w:rPr>
              <w:t>BC</w:t>
            </w:r>
          </w:p>
        </w:tc>
        <w:tc>
          <w:tcPr>
            <w:tcW w:w="0" w:type="auto"/>
          </w:tcPr>
          <w:p w14:paraId="5FADD552" w14:textId="77777777" w:rsidR="00A1778A" w:rsidRDefault="00A1778A" w:rsidP="00F14AAD">
            <w:pPr>
              <w:pStyle w:val="Compact"/>
              <w:jc w:val="right"/>
            </w:pPr>
            <w:r>
              <w:t>64</w:t>
            </w:r>
          </w:p>
        </w:tc>
        <w:tc>
          <w:tcPr>
            <w:tcW w:w="0" w:type="auto"/>
          </w:tcPr>
          <w:p w14:paraId="2ADD9B68" w14:textId="77777777" w:rsidR="00A1778A" w:rsidRDefault="00A1778A" w:rsidP="00F14AAD">
            <w:pPr>
              <w:pStyle w:val="Compact"/>
              <w:jc w:val="right"/>
            </w:pPr>
            <w:r>
              <w:t>11.07</w:t>
            </w:r>
          </w:p>
        </w:tc>
      </w:tr>
      <w:tr w:rsidR="00A1778A" w14:paraId="39B36D9D" w14:textId="77777777" w:rsidTr="00F14AAD">
        <w:tc>
          <w:tcPr>
            <w:tcW w:w="0" w:type="auto"/>
          </w:tcPr>
          <w:p w14:paraId="15694B0C" w14:textId="77777777" w:rsidR="00A1778A" w:rsidRDefault="00A1778A" w:rsidP="00F14AAD">
            <w:pPr>
              <w:pStyle w:val="Compact"/>
              <w:jc w:val="right"/>
            </w:pPr>
            <w:r>
              <w:rPr>
                <w:b/>
              </w:rPr>
              <w:t>MB</w:t>
            </w:r>
          </w:p>
        </w:tc>
        <w:tc>
          <w:tcPr>
            <w:tcW w:w="0" w:type="auto"/>
          </w:tcPr>
          <w:p w14:paraId="0370D864" w14:textId="77777777" w:rsidR="00A1778A" w:rsidRDefault="00A1778A" w:rsidP="00F14AAD">
            <w:pPr>
              <w:pStyle w:val="Compact"/>
              <w:jc w:val="right"/>
            </w:pPr>
            <w:r>
              <w:t>22</w:t>
            </w:r>
          </w:p>
        </w:tc>
        <w:tc>
          <w:tcPr>
            <w:tcW w:w="0" w:type="auto"/>
          </w:tcPr>
          <w:p w14:paraId="1B2A1D51" w14:textId="77777777" w:rsidR="00A1778A" w:rsidRDefault="00A1778A" w:rsidP="00F14AAD">
            <w:pPr>
              <w:pStyle w:val="Compact"/>
              <w:jc w:val="right"/>
            </w:pPr>
            <w:r>
              <w:t>3.81</w:t>
            </w:r>
          </w:p>
        </w:tc>
      </w:tr>
      <w:tr w:rsidR="00A1778A" w14:paraId="3CB57FE4" w14:textId="77777777" w:rsidTr="00F14AAD">
        <w:tc>
          <w:tcPr>
            <w:tcW w:w="0" w:type="auto"/>
          </w:tcPr>
          <w:p w14:paraId="3380FAED" w14:textId="77777777" w:rsidR="00A1778A" w:rsidRDefault="00A1778A" w:rsidP="00F14AAD">
            <w:pPr>
              <w:pStyle w:val="Compact"/>
              <w:jc w:val="right"/>
            </w:pPr>
            <w:r>
              <w:rPr>
                <w:b/>
              </w:rPr>
              <w:t>NB</w:t>
            </w:r>
          </w:p>
        </w:tc>
        <w:tc>
          <w:tcPr>
            <w:tcW w:w="0" w:type="auto"/>
          </w:tcPr>
          <w:p w14:paraId="7627163C" w14:textId="77777777" w:rsidR="00A1778A" w:rsidRDefault="00A1778A" w:rsidP="00F14AAD">
            <w:pPr>
              <w:pStyle w:val="Compact"/>
              <w:jc w:val="right"/>
            </w:pPr>
            <w:r>
              <w:t>17</w:t>
            </w:r>
          </w:p>
        </w:tc>
        <w:tc>
          <w:tcPr>
            <w:tcW w:w="0" w:type="auto"/>
          </w:tcPr>
          <w:p w14:paraId="548CE838" w14:textId="77777777" w:rsidR="00A1778A" w:rsidRDefault="00A1778A" w:rsidP="00F14AAD">
            <w:pPr>
              <w:pStyle w:val="Compact"/>
              <w:jc w:val="right"/>
            </w:pPr>
            <w:r>
              <w:t>2.94</w:t>
            </w:r>
          </w:p>
        </w:tc>
      </w:tr>
      <w:tr w:rsidR="00A1778A" w14:paraId="521D1913" w14:textId="77777777" w:rsidTr="00F14AAD">
        <w:tc>
          <w:tcPr>
            <w:tcW w:w="0" w:type="auto"/>
          </w:tcPr>
          <w:p w14:paraId="19F8159D" w14:textId="77777777" w:rsidR="00A1778A" w:rsidRDefault="00A1778A" w:rsidP="00F14AAD">
            <w:pPr>
              <w:pStyle w:val="Compact"/>
              <w:jc w:val="right"/>
            </w:pPr>
            <w:r>
              <w:rPr>
                <w:b/>
              </w:rPr>
              <w:t>NFLD</w:t>
            </w:r>
          </w:p>
        </w:tc>
        <w:tc>
          <w:tcPr>
            <w:tcW w:w="0" w:type="auto"/>
          </w:tcPr>
          <w:p w14:paraId="5D61DBF6" w14:textId="77777777" w:rsidR="00A1778A" w:rsidRDefault="00A1778A" w:rsidP="00F14AAD">
            <w:pPr>
              <w:pStyle w:val="Compact"/>
              <w:jc w:val="right"/>
            </w:pPr>
            <w:r>
              <w:t>12</w:t>
            </w:r>
          </w:p>
        </w:tc>
        <w:tc>
          <w:tcPr>
            <w:tcW w:w="0" w:type="auto"/>
          </w:tcPr>
          <w:p w14:paraId="0E40417D" w14:textId="77777777" w:rsidR="00A1778A" w:rsidRDefault="00A1778A" w:rsidP="00F14AAD">
            <w:pPr>
              <w:pStyle w:val="Compact"/>
              <w:jc w:val="right"/>
            </w:pPr>
            <w:r>
              <w:t>2.08</w:t>
            </w:r>
          </w:p>
        </w:tc>
      </w:tr>
      <w:tr w:rsidR="00A1778A" w14:paraId="1E4768F8" w14:textId="77777777" w:rsidTr="00F14AAD">
        <w:tc>
          <w:tcPr>
            <w:tcW w:w="0" w:type="auto"/>
          </w:tcPr>
          <w:p w14:paraId="4157BE60" w14:textId="77777777" w:rsidR="00A1778A" w:rsidRDefault="00A1778A" w:rsidP="00F14AAD">
            <w:pPr>
              <w:pStyle w:val="Compact"/>
              <w:jc w:val="right"/>
            </w:pPr>
            <w:r>
              <w:rPr>
                <w:b/>
              </w:rPr>
              <w:t>NS</w:t>
            </w:r>
          </w:p>
        </w:tc>
        <w:tc>
          <w:tcPr>
            <w:tcW w:w="0" w:type="auto"/>
          </w:tcPr>
          <w:p w14:paraId="5E2F45DC" w14:textId="77777777" w:rsidR="00A1778A" w:rsidRDefault="00A1778A" w:rsidP="00F14AAD">
            <w:pPr>
              <w:pStyle w:val="Compact"/>
              <w:jc w:val="right"/>
            </w:pPr>
            <w:r>
              <w:t>26</w:t>
            </w:r>
          </w:p>
        </w:tc>
        <w:tc>
          <w:tcPr>
            <w:tcW w:w="0" w:type="auto"/>
          </w:tcPr>
          <w:p w14:paraId="5697F2B8" w14:textId="77777777" w:rsidR="00A1778A" w:rsidRDefault="00A1778A" w:rsidP="00F14AAD">
            <w:pPr>
              <w:pStyle w:val="Compact"/>
              <w:jc w:val="right"/>
            </w:pPr>
            <w:r>
              <w:t>4.50</w:t>
            </w:r>
          </w:p>
        </w:tc>
      </w:tr>
      <w:tr w:rsidR="00A1778A" w14:paraId="731FC29A" w14:textId="77777777" w:rsidTr="00F14AAD">
        <w:tc>
          <w:tcPr>
            <w:tcW w:w="0" w:type="auto"/>
          </w:tcPr>
          <w:p w14:paraId="3492A9B1" w14:textId="77777777" w:rsidR="00A1778A" w:rsidRDefault="00A1778A" w:rsidP="00F14AAD">
            <w:pPr>
              <w:pStyle w:val="Compact"/>
              <w:jc w:val="right"/>
            </w:pPr>
            <w:r>
              <w:rPr>
                <w:b/>
              </w:rPr>
              <w:t>ON</w:t>
            </w:r>
          </w:p>
        </w:tc>
        <w:tc>
          <w:tcPr>
            <w:tcW w:w="0" w:type="auto"/>
          </w:tcPr>
          <w:p w14:paraId="7984BC98" w14:textId="77777777" w:rsidR="00A1778A" w:rsidRDefault="00A1778A" w:rsidP="00F14AAD">
            <w:pPr>
              <w:pStyle w:val="Compact"/>
              <w:jc w:val="right"/>
            </w:pPr>
            <w:r>
              <w:t>215</w:t>
            </w:r>
          </w:p>
        </w:tc>
        <w:tc>
          <w:tcPr>
            <w:tcW w:w="0" w:type="auto"/>
          </w:tcPr>
          <w:p w14:paraId="7444167E" w14:textId="77777777" w:rsidR="00A1778A" w:rsidRDefault="00A1778A" w:rsidP="00F14AAD">
            <w:pPr>
              <w:pStyle w:val="Compact"/>
              <w:jc w:val="right"/>
            </w:pPr>
            <w:r>
              <w:t>37.20</w:t>
            </w:r>
          </w:p>
        </w:tc>
      </w:tr>
      <w:tr w:rsidR="00A1778A" w14:paraId="2800B140" w14:textId="77777777" w:rsidTr="00F14AAD">
        <w:tc>
          <w:tcPr>
            <w:tcW w:w="0" w:type="auto"/>
          </w:tcPr>
          <w:p w14:paraId="24797E44" w14:textId="77777777" w:rsidR="00A1778A" w:rsidRDefault="00A1778A" w:rsidP="00F14AAD">
            <w:pPr>
              <w:pStyle w:val="Compact"/>
              <w:jc w:val="right"/>
            </w:pPr>
            <w:r>
              <w:rPr>
                <w:b/>
              </w:rPr>
              <w:t>PEI</w:t>
            </w:r>
          </w:p>
        </w:tc>
        <w:tc>
          <w:tcPr>
            <w:tcW w:w="0" w:type="auto"/>
          </w:tcPr>
          <w:p w14:paraId="63EDB4F7" w14:textId="77777777" w:rsidR="00A1778A" w:rsidRDefault="00A1778A" w:rsidP="00F14AAD">
            <w:pPr>
              <w:pStyle w:val="Compact"/>
              <w:jc w:val="right"/>
            </w:pPr>
            <w:r>
              <w:t>2</w:t>
            </w:r>
          </w:p>
        </w:tc>
        <w:tc>
          <w:tcPr>
            <w:tcW w:w="0" w:type="auto"/>
          </w:tcPr>
          <w:p w14:paraId="314465C3" w14:textId="77777777" w:rsidR="00A1778A" w:rsidRDefault="00A1778A" w:rsidP="00F14AAD">
            <w:pPr>
              <w:pStyle w:val="Compact"/>
              <w:jc w:val="right"/>
            </w:pPr>
            <w:r>
              <w:t>0.35</w:t>
            </w:r>
          </w:p>
        </w:tc>
      </w:tr>
      <w:tr w:rsidR="00A1778A" w14:paraId="55E01CFB" w14:textId="77777777" w:rsidTr="00F14AAD">
        <w:tc>
          <w:tcPr>
            <w:tcW w:w="0" w:type="auto"/>
          </w:tcPr>
          <w:p w14:paraId="3D9C9BB3" w14:textId="77777777" w:rsidR="00A1778A" w:rsidRDefault="00A1778A" w:rsidP="00F14AAD">
            <w:pPr>
              <w:pStyle w:val="Compact"/>
              <w:jc w:val="right"/>
            </w:pPr>
            <w:r>
              <w:rPr>
                <w:b/>
              </w:rPr>
              <w:t>QC</w:t>
            </w:r>
          </w:p>
        </w:tc>
        <w:tc>
          <w:tcPr>
            <w:tcW w:w="0" w:type="auto"/>
          </w:tcPr>
          <w:p w14:paraId="3C0DE563" w14:textId="77777777" w:rsidR="00A1778A" w:rsidRDefault="00A1778A" w:rsidP="00F14AAD">
            <w:pPr>
              <w:pStyle w:val="Compact"/>
              <w:jc w:val="right"/>
            </w:pPr>
            <w:r>
              <w:t>142</w:t>
            </w:r>
          </w:p>
        </w:tc>
        <w:tc>
          <w:tcPr>
            <w:tcW w:w="0" w:type="auto"/>
          </w:tcPr>
          <w:p w14:paraId="7C25EC1D" w14:textId="77777777" w:rsidR="00A1778A" w:rsidRDefault="00A1778A" w:rsidP="00F14AAD">
            <w:pPr>
              <w:pStyle w:val="Compact"/>
              <w:jc w:val="right"/>
            </w:pPr>
            <w:r>
              <w:t>24.57</w:t>
            </w:r>
          </w:p>
        </w:tc>
      </w:tr>
      <w:tr w:rsidR="00A1778A" w14:paraId="6F2622CA" w14:textId="77777777" w:rsidTr="00F14AAD">
        <w:tc>
          <w:tcPr>
            <w:tcW w:w="0" w:type="auto"/>
          </w:tcPr>
          <w:p w14:paraId="11C49A2F" w14:textId="77777777" w:rsidR="00A1778A" w:rsidRDefault="00A1778A" w:rsidP="00F14AAD">
            <w:pPr>
              <w:pStyle w:val="Compact"/>
              <w:jc w:val="right"/>
            </w:pPr>
            <w:r>
              <w:rPr>
                <w:b/>
              </w:rPr>
              <w:t>SK</w:t>
            </w:r>
          </w:p>
        </w:tc>
        <w:tc>
          <w:tcPr>
            <w:tcW w:w="0" w:type="auto"/>
          </w:tcPr>
          <w:p w14:paraId="3E5BBE1D" w14:textId="77777777" w:rsidR="00A1778A" w:rsidRDefault="00A1778A" w:rsidP="00F14AAD">
            <w:pPr>
              <w:pStyle w:val="Compact"/>
              <w:jc w:val="right"/>
            </w:pPr>
            <w:r>
              <w:t>10</w:t>
            </w:r>
          </w:p>
        </w:tc>
        <w:tc>
          <w:tcPr>
            <w:tcW w:w="0" w:type="auto"/>
          </w:tcPr>
          <w:p w14:paraId="60992B7C" w14:textId="77777777" w:rsidR="00A1778A" w:rsidRDefault="00A1778A" w:rsidP="00F14AAD">
            <w:pPr>
              <w:pStyle w:val="Compact"/>
              <w:jc w:val="right"/>
            </w:pPr>
            <w:r>
              <w:t>1.73</w:t>
            </w:r>
          </w:p>
        </w:tc>
      </w:tr>
      <w:tr w:rsidR="00A1778A" w14:paraId="4B6D1BDD" w14:textId="77777777" w:rsidTr="00F14AAD">
        <w:tc>
          <w:tcPr>
            <w:tcW w:w="0" w:type="auto"/>
          </w:tcPr>
          <w:p w14:paraId="25118B0F" w14:textId="77777777" w:rsidR="00A1778A" w:rsidRDefault="00A1778A" w:rsidP="00F14AAD">
            <w:pPr>
              <w:pStyle w:val="Compact"/>
              <w:jc w:val="right"/>
            </w:pPr>
            <w:r>
              <w:rPr>
                <w:b/>
              </w:rPr>
              <w:t>YT</w:t>
            </w:r>
          </w:p>
        </w:tc>
        <w:tc>
          <w:tcPr>
            <w:tcW w:w="0" w:type="auto"/>
          </w:tcPr>
          <w:p w14:paraId="2D1072AD" w14:textId="77777777" w:rsidR="00A1778A" w:rsidRDefault="00A1778A" w:rsidP="00F14AAD">
            <w:pPr>
              <w:pStyle w:val="Compact"/>
              <w:jc w:val="right"/>
            </w:pPr>
            <w:r>
              <w:t>1</w:t>
            </w:r>
          </w:p>
        </w:tc>
        <w:tc>
          <w:tcPr>
            <w:tcW w:w="0" w:type="auto"/>
          </w:tcPr>
          <w:p w14:paraId="6B0C2179" w14:textId="77777777" w:rsidR="00A1778A" w:rsidRDefault="00A1778A" w:rsidP="00F14AAD">
            <w:pPr>
              <w:pStyle w:val="Compact"/>
              <w:jc w:val="right"/>
            </w:pPr>
            <w:r>
              <w:t>0.17</w:t>
            </w:r>
          </w:p>
        </w:tc>
      </w:tr>
      <w:tr w:rsidR="00A1778A" w14:paraId="4D3B8A23" w14:textId="77777777" w:rsidTr="00F14AAD">
        <w:tc>
          <w:tcPr>
            <w:tcW w:w="0" w:type="auto"/>
          </w:tcPr>
          <w:p w14:paraId="33D2BF55" w14:textId="77777777" w:rsidR="00A1778A" w:rsidRDefault="00A1778A" w:rsidP="00F14AAD">
            <w:pPr>
              <w:pStyle w:val="Compact"/>
              <w:jc w:val="right"/>
            </w:pPr>
            <w:r>
              <w:rPr>
                <w:b/>
              </w:rPr>
              <w:t>Total</w:t>
            </w:r>
          </w:p>
        </w:tc>
        <w:tc>
          <w:tcPr>
            <w:tcW w:w="0" w:type="auto"/>
          </w:tcPr>
          <w:p w14:paraId="3702F5BF" w14:textId="77777777" w:rsidR="00A1778A" w:rsidRDefault="00A1778A" w:rsidP="00F14AAD">
            <w:pPr>
              <w:pStyle w:val="Compact"/>
              <w:jc w:val="right"/>
            </w:pPr>
            <w:r>
              <w:t>578</w:t>
            </w:r>
          </w:p>
        </w:tc>
        <w:tc>
          <w:tcPr>
            <w:tcW w:w="0" w:type="auto"/>
          </w:tcPr>
          <w:p w14:paraId="079A8060" w14:textId="77777777" w:rsidR="00A1778A" w:rsidRDefault="00A1778A" w:rsidP="00F14AAD">
            <w:pPr>
              <w:pStyle w:val="Compact"/>
              <w:jc w:val="right"/>
            </w:pPr>
            <w:r>
              <w:t>100.00</w:t>
            </w:r>
          </w:p>
        </w:tc>
      </w:tr>
    </w:tbl>
    <w:p w14:paraId="002F4174" w14:textId="77777777" w:rsidR="00A1778A" w:rsidRDefault="00A1778A" w:rsidP="00A1778A">
      <w:pPr>
        <w:pStyle w:val="Heading4"/>
      </w:pPr>
      <w:bookmarkStart w:id="14" w:name="population-size-1"/>
      <w:r>
        <w:t>population size</w:t>
      </w:r>
      <w:bookmarkEnd w:id="14"/>
    </w:p>
    <w:p w14:paraId="2FEE9F5C" w14:textId="77777777" w:rsidR="00A1778A" w:rsidRDefault="00A1778A" w:rsidP="00A1778A">
      <w:pPr>
        <w:pStyle w:val="FirstParagraph"/>
      </w:pPr>
      <w:r>
        <w:t xml:space="preserve">Respondent distributions in our sample across population size are very close to respondent distributions in the population of municipal mayors and </w:t>
      </w:r>
      <w:proofErr w:type="spellStart"/>
      <w:r>
        <w:t>councillors</w:t>
      </w:r>
      <w:proofErr w:type="spellEnd"/>
      <w:r>
        <w:t>.</w:t>
      </w:r>
    </w:p>
    <w:tbl>
      <w:tblPr>
        <w:tblStyle w:val="Table"/>
        <w:tblW w:w="0" w:type="pct"/>
        <w:tblLook w:val="07E0" w:firstRow="1" w:lastRow="1" w:firstColumn="1" w:lastColumn="1" w:noHBand="1" w:noVBand="1"/>
      </w:tblPr>
      <w:tblGrid>
        <w:gridCol w:w="1750"/>
        <w:gridCol w:w="656"/>
        <w:gridCol w:w="885"/>
      </w:tblGrid>
      <w:tr w:rsidR="00A1778A" w14:paraId="4C28E8DD" w14:textId="77777777" w:rsidTr="00F14AAD">
        <w:tc>
          <w:tcPr>
            <w:tcW w:w="0" w:type="auto"/>
            <w:tcBorders>
              <w:bottom w:val="single" w:sz="0" w:space="0" w:color="auto"/>
            </w:tcBorders>
            <w:vAlign w:val="bottom"/>
          </w:tcPr>
          <w:p w14:paraId="70646A4E" w14:textId="77777777" w:rsidR="00A1778A" w:rsidRDefault="00A1778A" w:rsidP="00F14AAD">
            <w:pPr>
              <w:pStyle w:val="Compact"/>
              <w:jc w:val="right"/>
            </w:pPr>
            <w:r>
              <w:t> </w:t>
            </w:r>
          </w:p>
        </w:tc>
        <w:tc>
          <w:tcPr>
            <w:tcW w:w="0" w:type="auto"/>
            <w:tcBorders>
              <w:bottom w:val="single" w:sz="0" w:space="0" w:color="auto"/>
            </w:tcBorders>
            <w:vAlign w:val="bottom"/>
          </w:tcPr>
          <w:p w14:paraId="574F316A" w14:textId="77777777" w:rsidR="00A1778A" w:rsidRDefault="00A1778A" w:rsidP="00F14AAD">
            <w:pPr>
              <w:pStyle w:val="Compact"/>
              <w:jc w:val="right"/>
            </w:pPr>
            <w:r>
              <w:t>Freq</w:t>
            </w:r>
          </w:p>
        </w:tc>
        <w:tc>
          <w:tcPr>
            <w:tcW w:w="0" w:type="auto"/>
            <w:tcBorders>
              <w:bottom w:val="single" w:sz="0" w:space="0" w:color="auto"/>
            </w:tcBorders>
            <w:vAlign w:val="bottom"/>
          </w:tcPr>
          <w:p w14:paraId="14278BBF" w14:textId="77777777" w:rsidR="00A1778A" w:rsidRDefault="00A1778A" w:rsidP="00F14AAD">
            <w:pPr>
              <w:pStyle w:val="Compact"/>
              <w:jc w:val="right"/>
            </w:pPr>
            <w:r>
              <w:t>%</w:t>
            </w:r>
          </w:p>
        </w:tc>
      </w:tr>
      <w:tr w:rsidR="00A1778A" w14:paraId="0F19D569" w14:textId="77777777" w:rsidTr="00F14AAD">
        <w:tc>
          <w:tcPr>
            <w:tcW w:w="0" w:type="auto"/>
          </w:tcPr>
          <w:p w14:paraId="587A5541" w14:textId="77777777" w:rsidR="00A1778A" w:rsidRDefault="00A1778A" w:rsidP="00F14AAD">
            <w:pPr>
              <w:pStyle w:val="Compact"/>
              <w:jc w:val="right"/>
            </w:pPr>
            <w:r>
              <w:rPr>
                <w:b/>
              </w:rPr>
              <w:t>9,000-14999</w:t>
            </w:r>
          </w:p>
        </w:tc>
        <w:tc>
          <w:tcPr>
            <w:tcW w:w="0" w:type="auto"/>
          </w:tcPr>
          <w:p w14:paraId="682578D3" w14:textId="77777777" w:rsidR="00A1778A" w:rsidRDefault="00A1778A" w:rsidP="00F14AAD">
            <w:pPr>
              <w:pStyle w:val="Compact"/>
              <w:jc w:val="right"/>
            </w:pPr>
            <w:r>
              <w:t>185</w:t>
            </w:r>
          </w:p>
        </w:tc>
        <w:tc>
          <w:tcPr>
            <w:tcW w:w="0" w:type="auto"/>
          </w:tcPr>
          <w:p w14:paraId="00992B2C" w14:textId="77777777" w:rsidR="00A1778A" w:rsidRDefault="00A1778A" w:rsidP="00F14AAD">
            <w:pPr>
              <w:pStyle w:val="Compact"/>
              <w:jc w:val="right"/>
            </w:pPr>
            <w:r>
              <w:t>32.01</w:t>
            </w:r>
          </w:p>
        </w:tc>
      </w:tr>
      <w:tr w:rsidR="00A1778A" w14:paraId="543FBA7F" w14:textId="77777777" w:rsidTr="00F14AAD">
        <w:tc>
          <w:tcPr>
            <w:tcW w:w="0" w:type="auto"/>
          </w:tcPr>
          <w:p w14:paraId="6D1CC6E1" w14:textId="77777777" w:rsidR="00A1778A" w:rsidRDefault="00A1778A" w:rsidP="00F14AAD">
            <w:pPr>
              <w:pStyle w:val="Compact"/>
              <w:jc w:val="right"/>
            </w:pPr>
            <w:r>
              <w:rPr>
                <w:b/>
              </w:rPr>
              <w:t>15000-24999</w:t>
            </w:r>
          </w:p>
        </w:tc>
        <w:tc>
          <w:tcPr>
            <w:tcW w:w="0" w:type="auto"/>
          </w:tcPr>
          <w:p w14:paraId="040691C0" w14:textId="77777777" w:rsidR="00A1778A" w:rsidRDefault="00A1778A" w:rsidP="00F14AAD">
            <w:pPr>
              <w:pStyle w:val="Compact"/>
              <w:jc w:val="right"/>
            </w:pPr>
            <w:r>
              <w:t>124</w:t>
            </w:r>
          </w:p>
        </w:tc>
        <w:tc>
          <w:tcPr>
            <w:tcW w:w="0" w:type="auto"/>
          </w:tcPr>
          <w:p w14:paraId="0B12331E" w14:textId="77777777" w:rsidR="00A1778A" w:rsidRDefault="00A1778A" w:rsidP="00F14AAD">
            <w:pPr>
              <w:pStyle w:val="Compact"/>
              <w:jc w:val="right"/>
            </w:pPr>
            <w:r>
              <w:t>21.45</w:t>
            </w:r>
          </w:p>
        </w:tc>
      </w:tr>
      <w:tr w:rsidR="00A1778A" w14:paraId="4B5CE49B" w14:textId="77777777" w:rsidTr="00F14AAD">
        <w:tc>
          <w:tcPr>
            <w:tcW w:w="0" w:type="auto"/>
          </w:tcPr>
          <w:p w14:paraId="2BE2879C" w14:textId="77777777" w:rsidR="00A1778A" w:rsidRDefault="00A1778A" w:rsidP="00F14AAD">
            <w:pPr>
              <w:pStyle w:val="Compact"/>
              <w:jc w:val="right"/>
            </w:pPr>
            <w:r>
              <w:rPr>
                <w:b/>
              </w:rPr>
              <w:lastRenderedPageBreak/>
              <w:t>25000-49999</w:t>
            </w:r>
          </w:p>
        </w:tc>
        <w:tc>
          <w:tcPr>
            <w:tcW w:w="0" w:type="auto"/>
          </w:tcPr>
          <w:p w14:paraId="2C792D9C" w14:textId="77777777" w:rsidR="00A1778A" w:rsidRDefault="00A1778A" w:rsidP="00F14AAD">
            <w:pPr>
              <w:pStyle w:val="Compact"/>
              <w:jc w:val="right"/>
            </w:pPr>
            <w:r>
              <w:t>93</w:t>
            </w:r>
          </w:p>
        </w:tc>
        <w:tc>
          <w:tcPr>
            <w:tcW w:w="0" w:type="auto"/>
          </w:tcPr>
          <w:p w14:paraId="3FD78D84" w14:textId="77777777" w:rsidR="00A1778A" w:rsidRDefault="00A1778A" w:rsidP="00F14AAD">
            <w:pPr>
              <w:pStyle w:val="Compact"/>
              <w:jc w:val="right"/>
            </w:pPr>
            <w:r>
              <w:t>16.09</w:t>
            </w:r>
          </w:p>
        </w:tc>
      </w:tr>
      <w:tr w:rsidR="00A1778A" w14:paraId="2E58D0C5" w14:textId="77777777" w:rsidTr="00F14AAD">
        <w:tc>
          <w:tcPr>
            <w:tcW w:w="0" w:type="auto"/>
          </w:tcPr>
          <w:p w14:paraId="45BAFE7A" w14:textId="77777777" w:rsidR="00A1778A" w:rsidRDefault="00A1778A" w:rsidP="00F14AAD">
            <w:pPr>
              <w:pStyle w:val="Compact"/>
              <w:jc w:val="right"/>
            </w:pPr>
            <w:r>
              <w:rPr>
                <w:b/>
              </w:rPr>
              <w:t>50000-99999</w:t>
            </w:r>
          </w:p>
        </w:tc>
        <w:tc>
          <w:tcPr>
            <w:tcW w:w="0" w:type="auto"/>
          </w:tcPr>
          <w:p w14:paraId="31C164F0" w14:textId="77777777" w:rsidR="00A1778A" w:rsidRDefault="00A1778A" w:rsidP="00F14AAD">
            <w:pPr>
              <w:pStyle w:val="Compact"/>
              <w:jc w:val="right"/>
            </w:pPr>
            <w:r>
              <w:t>56</w:t>
            </w:r>
          </w:p>
        </w:tc>
        <w:tc>
          <w:tcPr>
            <w:tcW w:w="0" w:type="auto"/>
          </w:tcPr>
          <w:p w14:paraId="634A2420" w14:textId="77777777" w:rsidR="00A1778A" w:rsidRDefault="00A1778A" w:rsidP="00F14AAD">
            <w:pPr>
              <w:pStyle w:val="Compact"/>
              <w:jc w:val="right"/>
            </w:pPr>
            <w:r>
              <w:t>9.69</w:t>
            </w:r>
          </w:p>
        </w:tc>
      </w:tr>
      <w:tr w:rsidR="00A1778A" w14:paraId="49283D9C" w14:textId="77777777" w:rsidTr="00F14AAD">
        <w:tc>
          <w:tcPr>
            <w:tcW w:w="0" w:type="auto"/>
          </w:tcPr>
          <w:p w14:paraId="204DD3AF" w14:textId="77777777" w:rsidR="00A1778A" w:rsidRDefault="00A1778A" w:rsidP="00F14AAD">
            <w:pPr>
              <w:pStyle w:val="Compact"/>
              <w:jc w:val="right"/>
            </w:pPr>
            <w:r>
              <w:rPr>
                <w:b/>
              </w:rPr>
              <w:t>100000-499999</w:t>
            </w:r>
          </w:p>
        </w:tc>
        <w:tc>
          <w:tcPr>
            <w:tcW w:w="0" w:type="auto"/>
          </w:tcPr>
          <w:p w14:paraId="64BEAA4D" w14:textId="77777777" w:rsidR="00A1778A" w:rsidRDefault="00A1778A" w:rsidP="00F14AAD">
            <w:pPr>
              <w:pStyle w:val="Compact"/>
              <w:jc w:val="right"/>
            </w:pPr>
            <w:r>
              <w:t>79</w:t>
            </w:r>
          </w:p>
        </w:tc>
        <w:tc>
          <w:tcPr>
            <w:tcW w:w="0" w:type="auto"/>
          </w:tcPr>
          <w:p w14:paraId="019841FD" w14:textId="77777777" w:rsidR="00A1778A" w:rsidRDefault="00A1778A" w:rsidP="00F14AAD">
            <w:pPr>
              <w:pStyle w:val="Compact"/>
              <w:jc w:val="right"/>
            </w:pPr>
            <w:r>
              <w:t>13.67</w:t>
            </w:r>
          </w:p>
        </w:tc>
      </w:tr>
      <w:tr w:rsidR="00A1778A" w14:paraId="54A344A9" w14:textId="77777777" w:rsidTr="00F14AAD">
        <w:tc>
          <w:tcPr>
            <w:tcW w:w="0" w:type="auto"/>
          </w:tcPr>
          <w:p w14:paraId="27D05414" w14:textId="77777777" w:rsidR="00A1778A" w:rsidRDefault="00A1778A" w:rsidP="00F14AAD">
            <w:pPr>
              <w:pStyle w:val="Compact"/>
              <w:jc w:val="right"/>
            </w:pPr>
            <w:r>
              <w:rPr>
                <w:b/>
              </w:rPr>
              <w:t>500000+</w:t>
            </w:r>
          </w:p>
        </w:tc>
        <w:tc>
          <w:tcPr>
            <w:tcW w:w="0" w:type="auto"/>
          </w:tcPr>
          <w:p w14:paraId="7E36505D" w14:textId="77777777" w:rsidR="00A1778A" w:rsidRDefault="00A1778A" w:rsidP="00F14AAD">
            <w:pPr>
              <w:pStyle w:val="Compact"/>
              <w:jc w:val="right"/>
            </w:pPr>
            <w:r>
              <w:t>41</w:t>
            </w:r>
          </w:p>
        </w:tc>
        <w:tc>
          <w:tcPr>
            <w:tcW w:w="0" w:type="auto"/>
          </w:tcPr>
          <w:p w14:paraId="04B5FC78" w14:textId="77777777" w:rsidR="00A1778A" w:rsidRDefault="00A1778A" w:rsidP="00F14AAD">
            <w:pPr>
              <w:pStyle w:val="Compact"/>
              <w:jc w:val="right"/>
            </w:pPr>
            <w:r>
              <w:t>7.09</w:t>
            </w:r>
          </w:p>
        </w:tc>
      </w:tr>
      <w:tr w:rsidR="00A1778A" w14:paraId="520775A0" w14:textId="77777777" w:rsidTr="00F14AAD">
        <w:tc>
          <w:tcPr>
            <w:tcW w:w="0" w:type="auto"/>
          </w:tcPr>
          <w:p w14:paraId="168DE2A9" w14:textId="77777777" w:rsidR="00A1778A" w:rsidRDefault="00A1778A" w:rsidP="00F14AAD">
            <w:pPr>
              <w:pStyle w:val="Compact"/>
              <w:jc w:val="right"/>
            </w:pPr>
            <w:r>
              <w:rPr>
                <w:b/>
              </w:rPr>
              <w:t>Total</w:t>
            </w:r>
          </w:p>
        </w:tc>
        <w:tc>
          <w:tcPr>
            <w:tcW w:w="0" w:type="auto"/>
          </w:tcPr>
          <w:p w14:paraId="5C3D2A03" w14:textId="77777777" w:rsidR="00A1778A" w:rsidRDefault="00A1778A" w:rsidP="00F14AAD">
            <w:pPr>
              <w:pStyle w:val="Compact"/>
              <w:jc w:val="right"/>
            </w:pPr>
            <w:r>
              <w:t>578</w:t>
            </w:r>
          </w:p>
        </w:tc>
        <w:tc>
          <w:tcPr>
            <w:tcW w:w="0" w:type="auto"/>
          </w:tcPr>
          <w:p w14:paraId="31818CE8" w14:textId="77777777" w:rsidR="00A1778A" w:rsidRDefault="00A1778A" w:rsidP="00F14AAD">
            <w:pPr>
              <w:pStyle w:val="Compact"/>
              <w:jc w:val="right"/>
            </w:pPr>
            <w:r>
              <w:t>100.00</w:t>
            </w:r>
          </w:p>
        </w:tc>
      </w:tr>
    </w:tbl>
    <w:p w14:paraId="033850B2" w14:textId="77777777" w:rsidR="00A1778A" w:rsidRDefault="00A1778A" w:rsidP="00A1778A">
      <w:pPr>
        <w:pStyle w:val="Heading2"/>
      </w:pPr>
      <w:bookmarkStart w:id="15" w:name="X9fc5746236968c9fc9675e069758aa33f3ed19a"/>
      <w:r>
        <w:t>Additional Plots: Variation in Policy Choices</w:t>
      </w:r>
      <w:bookmarkEnd w:id="15"/>
    </w:p>
    <w:p w14:paraId="227C80C7" w14:textId="77777777" w:rsidR="00A1778A" w:rsidRDefault="00A1778A" w:rsidP="00A1778A">
      <w:pPr>
        <w:pStyle w:val="FirstParagraph"/>
      </w:pPr>
      <w:r>
        <w:t>Here we consider variation across municipal population size, province, health unit and number of cases. Figure 8 shows the proportion of fully closed facilities (or emergency status declared) by province. The provinces are ordered by their average across all of the indicators; on average, Ontario appears to have the most aggressive response. We will return to this later with a more sophisticated modeling strategy. There does appear to be some structure in the data here - provinces closer to the top have municipalities which have, on average, closed more services than those toward the bottom.</w:t>
      </w:r>
    </w:p>
    <w:p w14:paraId="1D650A0B" w14:textId="77777777" w:rsidR="00A1778A" w:rsidRDefault="00A1778A" w:rsidP="00A1778A">
      <w:pPr>
        <w:pStyle w:val="BodyText"/>
      </w:pPr>
      <w:r>
        <w:t>Figure 9 shows policy implementation by city population category. The patterns here are interesting and provide context to the different ways in which policy adoption adapts to the particular municipal context. Here, parks and city hall closures and emergency status are slightly more likely to be invoked in municipalities with greater populations, but transit is more likely to be closed in municipalities with smaller populations - likely due to the necessity of having some public transit available to enable frontline workers to travel to their jobs in large metropolitan areas.</w:t>
      </w:r>
    </w:p>
    <w:p w14:paraId="483F17DF" w14:textId="77777777" w:rsidR="00A1778A" w:rsidRDefault="00A1778A" w:rsidP="00A1778A">
      <w:pPr>
        <w:pStyle w:val="CaptionedFigure"/>
      </w:pPr>
      <w:r>
        <w:rPr>
          <w:noProof/>
        </w:rPr>
        <w:lastRenderedPageBreak/>
        <w:drawing>
          <wp:inline distT="0" distB="0" distL="0" distR="0" wp14:anchorId="21C6C88B" wp14:editId="6208446D">
            <wp:extent cx="5334000" cy="8890000"/>
            <wp:effectExtent l="0" t="0" r="0" b="0"/>
            <wp:docPr id="8" name="Picture" descr="Figure 8: COVID-19 Response by Province"/>
            <wp:cNvGraphicFramePr/>
            <a:graphic xmlns:a="http://schemas.openxmlformats.org/drawingml/2006/main">
              <a:graphicData uri="http://schemas.openxmlformats.org/drawingml/2006/picture">
                <pic:pic xmlns:pic="http://schemas.openxmlformats.org/drawingml/2006/picture">
                  <pic:nvPicPr>
                    <pic:cNvPr id="0" name="Picture" descr="cmbcovid_version2u_files/figure-docx/provplot-1.png"/>
                    <pic:cNvPicPr>
                      <a:picLocks noChangeAspect="1" noChangeArrowheads="1"/>
                    </pic:cNvPicPr>
                  </pic:nvPicPr>
                  <pic:blipFill>
                    <a:blip r:embed="rId8"/>
                    <a:stretch>
                      <a:fillRect/>
                    </a:stretch>
                  </pic:blipFill>
                  <pic:spPr bwMode="auto">
                    <a:xfrm>
                      <a:off x="0" y="0"/>
                      <a:ext cx="5334000" cy="8890000"/>
                    </a:xfrm>
                    <a:prstGeom prst="rect">
                      <a:avLst/>
                    </a:prstGeom>
                    <a:noFill/>
                    <a:ln w="9525">
                      <a:noFill/>
                      <a:headEnd/>
                      <a:tailEnd/>
                    </a:ln>
                  </pic:spPr>
                </pic:pic>
              </a:graphicData>
            </a:graphic>
          </wp:inline>
        </w:drawing>
      </w:r>
    </w:p>
    <w:p w14:paraId="3783919D" w14:textId="77777777" w:rsidR="00A1778A" w:rsidRDefault="00A1778A" w:rsidP="00A1778A">
      <w:pPr>
        <w:pStyle w:val="ImageCaption"/>
      </w:pPr>
      <w:r>
        <w:lastRenderedPageBreak/>
        <w:t>Figure 8: COVID-19 Response by Province</w:t>
      </w:r>
    </w:p>
    <w:p w14:paraId="4D761870" w14:textId="77777777" w:rsidR="00A1778A" w:rsidRDefault="00A1778A" w:rsidP="00A1778A">
      <w:pPr>
        <w:pStyle w:val="CaptionedFigure"/>
      </w:pPr>
      <w:r>
        <w:rPr>
          <w:noProof/>
        </w:rPr>
        <w:drawing>
          <wp:inline distT="0" distB="0" distL="0" distR="0" wp14:anchorId="7235F1D2" wp14:editId="1A8AF888">
            <wp:extent cx="5334000" cy="5334000"/>
            <wp:effectExtent l="0" t="0" r="0" b="0"/>
            <wp:docPr id="9" name="Picture" descr="Figure 9: COVID-19 Response by Population"/>
            <wp:cNvGraphicFramePr/>
            <a:graphic xmlns:a="http://schemas.openxmlformats.org/drawingml/2006/main">
              <a:graphicData uri="http://schemas.openxmlformats.org/drawingml/2006/picture">
                <pic:pic xmlns:pic="http://schemas.openxmlformats.org/drawingml/2006/picture">
                  <pic:nvPicPr>
                    <pic:cNvPr id="0" name="Picture" descr="cmbcovid_version2u_files/figure-docx/popplot-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469469D0" w14:textId="77777777" w:rsidR="00A1778A" w:rsidRDefault="00A1778A" w:rsidP="00A1778A">
      <w:pPr>
        <w:pStyle w:val="ImageCaption"/>
      </w:pPr>
      <w:r>
        <w:t>Figure 9: COVID-19 Response by Population</w:t>
      </w:r>
    </w:p>
    <w:p w14:paraId="46AC2455" w14:textId="77777777" w:rsidR="00A1778A" w:rsidRDefault="00A1778A" w:rsidP="00A1778A">
      <w:pPr>
        <w:pStyle w:val="CaptionedFigure"/>
      </w:pPr>
      <w:r>
        <w:rPr>
          <w:noProof/>
        </w:rPr>
        <w:lastRenderedPageBreak/>
        <w:drawing>
          <wp:inline distT="0" distB="0" distL="0" distR="0" wp14:anchorId="606D3AF8" wp14:editId="597C1375">
            <wp:extent cx="5334000" cy="3556000"/>
            <wp:effectExtent l="0" t="0" r="0" b="0"/>
            <wp:docPr id="10" name="Picture" descr="Figure 10: COVID-19 Response by Perceived Aggressiveness of Response"/>
            <wp:cNvGraphicFramePr/>
            <a:graphic xmlns:a="http://schemas.openxmlformats.org/drawingml/2006/main">
              <a:graphicData uri="http://schemas.openxmlformats.org/drawingml/2006/picture">
                <pic:pic xmlns:pic="http://schemas.openxmlformats.org/drawingml/2006/picture">
                  <pic:nvPicPr>
                    <pic:cNvPr id="0" name="Picture" descr="cmbcovid_version2u_files/figure-docx/aggplot-1.png"/>
                    <pic:cNvPicPr>
                      <a:picLocks noChangeAspect="1" noChangeArrowheads="1"/>
                    </pic:cNvPicPr>
                  </pic:nvPicPr>
                  <pic:blipFill>
                    <a:blip r:embed="rId10"/>
                    <a:stretch>
                      <a:fillRect/>
                    </a:stretch>
                  </pic:blipFill>
                  <pic:spPr bwMode="auto">
                    <a:xfrm>
                      <a:off x="0" y="0"/>
                      <a:ext cx="5334000" cy="3556000"/>
                    </a:xfrm>
                    <a:prstGeom prst="rect">
                      <a:avLst/>
                    </a:prstGeom>
                    <a:noFill/>
                    <a:ln w="9525">
                      <a:noFill/>
                      <a:headEnd/>
                      <a:tailEnd/>
                    </a:ln>
                  </pic:spPr>
                </pic:pic>
              </a:graphicData>
            </a:graphic>
          </wp:inline>
        </w:drawing>
      </w:r>
    </w:p>
    <w:p w14:paraId="54FAAD90" w14:textId="77777777" w:rsidR="00A1778A" w:rsidRDefault="00A1778A" w:rsidP="00A1778A">
      <w:pPr>
        <w:pStyle w:val="ImageCaption"/>
      </w:pPr>
      <w:r>
        <w:t>Figure 10: COVID-19 Response by Perceived Aggressiveness of Response</w:t>
      </w:r>
    </w:p>
    <w:p w14:paraId="2FE1619A" w14:textId="77777777" w:rsidR="00A1778A" w:rsidRDefault="00A1778A" w:rsidP="00A1778A">
      <w:pPr>
        <w:pStyle w:val="Heading1"/>
      </w:pPr>
      <w:bookmarkStart w:id="16" w:name="technical-discussion-of-model"/>
      <w:r>
        <w:t>Technical Discussion of Model</w:t>
      </w:r>
      <w:bookmarkEnd w:id="16"/>
    </w:p>
    <w:p w14:paraId="746A272F" w14:textId="77777777" w:rsidR="00A1778A" w:rsidRDefault="00A1778A" w:rsidP="00A1778A">
      <w:pPr>
        <w:pStyle w:val="Heading2"/>
      </w:pPr>
      <w:bookmarkStart w:id="17" w:name="identification"/>
      <w:r>
        <w:t>Identification</w:t>
      </w:r>
      <w:bookmarkEnd w:id="17"/>
    </w:p>
    <w:p w14:paraId="276E38E7" w14:textId="77777777" w:rsidR="00A1778A" w:rsidRDefault="00A1778A" w:rsidP="00A1778A">
      <w:pPr>
        <w:pStyle w:val="FirstParagraph"/>
      </w:pPr>
      <w:r>
        <w:t>There are three common ways of identifying the statistical model. Identification is the process whereby we constrain the model just enough to ensure that there are not multiple equally good solutions. In our OLS models, the identifying restrictions that we put in place are that there are at least as many observations as there are variables in the model and that there is no perfect collinearity. In IRT models, more needs to be done to ensure that other solutions do not arise.</w:t>
      </w:r>
    </w:p>
    <w:p w14:paraId="4A89AF17" w14:textId="77777777" w:rsidR="00A1778A" w:rsidRDefault="00A1778A" w:rsidP="00A1778A">
      <w:pPr>
        <w:pStyle w:val="BodyText"/>
      </w:pPr>
      <w:r>
        <w:t>First, for any solution we come up with, there would be an equally good mirror-image solution. For example, if we estimated the discrimination parameter to be 2 and an ideal point to be 1 with a difficulty parameter of 0, then we could get exactly the same value by multiplying both the coefficients and ideal points by -1.</w:t>
      </w:r>
    </w:p>
    <w:p w14:paraId="1F0ECF89" w14:textId="77777777" w:rsidR="00A1778A" w:rsidRDefault="00A1778A" w:rsidP="00A1778A">
      <w:pPr>
        <w:pStyle w:val="BodyText"/>
      </w:pPr>
      <w:r>
        <w:t xml:space="preserve">Second, there is no information in the data about the scale (i.e., variance) of the latent variable. Just like above, since the coefficients and the latent variable are both unobserved, changes in the scale of one estimate can be compensated for by changes in the scale of the other. Both of these are issues that we have to solve to make sure that the </w:t>
      </w:r>
      <w:proofErr w:type="spellStart"/>
      <w:r>
        <w:t>markov</w:t>
      </w:r>
      <w:proofErr w:type="spellEnd"/>
      <w:r>
        <w:t xml:space="preserve"> chain is exploring a single posterior distribution.</w:t>
      </w:r>
    </w:p>
    <w:p w14:paraId="163C8DDE" w14:textId="77777777" w:rsidR="00A1778A" w:rsidRDefault="00A1778A" w:rsidP="00A1778A">
      <w:pPr>
        <w:pStyle w:val="BodyText"/>
      </w:pPr>
      <w:r>
        <w:lastRenderedPageBreak/>
        <w:t xml:space="preserve">There are three common ways to identify measurement models of this kind. The way we choose to do it is by setting a single coefficient to a fixed value. Any fixed value would work, but 1 is a sort of reasonable default. This actually solves both problems - fixing the scale of the coefficients and thus the latent variable. It also forces a direction on the coefficients and thus the latent variable, too - it prevents the </w:t>
      </w:r>
      <w:proofErr w:type="spellStart"/>
      <w:r>
        <w:t>markov</w:t>
      </w:r>
      <w:proofErr w:type="spellEnd"/>
      <w:r>
        <w:t xml:space="preserve"> chain from exploring a mirror image posterior distribution. Another common means for identification is to fix the scale of the latent variable in the model. For each iteration of the </w:t>
      </w:r>
      <w:proofErr w:type="spellStart"/>
      <w:r>
        <w:t>markov</w:t>
      </w:r>
      <w:proofErr w:type="spellEnd"/>
      <w:r>
        <w:t xml:space="preserve"> chain, the latent variable would be standardized to have mean zero and unit variance. We also have to set an additional sign constraint on at least one of the coefficients to prevent exploration of a mirror image solution. Another option is to only use sign constraints and then to post-process the chains after the fact to standardize the latent variable and adjust the model parameters accordingly. We choose the first way for simplicity and computational efficiency.</w:t>
      </w:r>
    </w:p>
    <w:p w14:paraId="2C1B41FC" w14:textId="77777777" w:rsidR="00A1778A" w:rsidRDefault="00A1778A" w:rsidP="00A1778A">
      <w:pPr>
        <w:pStyle w:val="Heading2"/>
      </w:pPr>
      <w:bookmarkStart w:id="18" w:name="priors"/>
      <w:r>
        <w:t>Priors</w:t>
      </w:r>
      <w:bookmarkEnd w:id="18"/>
    </w:p>
    <w:p w14:paraId="2CBF2D33" w14:textId="77777777" w:rsidR="00A1778A" w:rsidRDefault="00A1778A" w:rsidP="00A1778A">
      <w:pPr>
        <w:pStyle w:val="FirstParagraph"/>
      </w:pPr>
      <w:r>
        <w:t xml:space="preserve">The priors in the model may seem somewhat informative, but they are relatively conventional priors for these kinds of models. The latent variable has a prior of </w:t>
      </w:r>
      <m:oMath>
        <m:r>
          <m:rPr>
            <m:scr m:val="script"/>
            <m:sty m:val="p"/>
          </m:rPr>
          <w:rPr>
            <w:rFonts w:ascii="Cambria Math" w:hAnsi="Cambria Math"/>
          </w:rPr>
          <m:t>N</m:t>
        </m:r>
        <m:r>
          <w:rPr>
            <w:rFonts w:ascii="Cambria Math" w:hAnsi="Cambria Math"/>
          </w:rPr>
          <m:t>(0,1)</m:t>
        </m:r>
      </m:oMath>
      <w:r>
        <w:t xml:space="preserve">. Since one of the reliable items has a coefficient set to 1 for identification purposes, we would expect the ideal points to vary probably between </w:t>
      </w:r>
      <m:oMath>
        <m:sSup>
          <m:sSupPr>
            <m:ctrlPr>
              <w:rPr>
                <w:rFonts w:ascii="Cambria Math" w:hAnsi="Cambria Math"/>
              </w:rPr>
            </m:ctrlPr>
          </m:sSupPr>
          <m:e>
            <m:r>
              <w:rPr>
                <w:rFonts w:ascii="Cambria Math" w:hAnsi="Cambria Math"/>
              </w:rPr>
              <m:t>F</m:t>
            </m:r>
          </m:e>
          <m:sup>
            <m:r>
              <w:rPr>
                <w:rFonts w:ascii="Cambria Math" w:hAnsi="Cambria Math"/>
              </w:rPr>
              <m:t>-1</m:t>
            </m:r>
          </m:sup>
        </m:sSup>
        <m:r>
          <w:rPr>
            <w:rFonts w:ascii="Cambria Math" w:hAnsi="Cambria Math"/>
          </w:rPr>
          <m:t>(.05)=</m:t>
        </m:r>
      </m:oMath>
      <w:r>
        <w:t xml:space="preserve"> -2.94 and </w:t>
      </w:r>
      <m:oMath>
        <m:sSup>
          <m:sSupPr>
            <m:ctrlPr>
              <w:rPr>
                <w:rFonts w:ascii="Cambria Math" w:hAnsi="Cambria Math"/>
              </w:rPr>
            </m:ctrlPr>
          </m:sSupPr>
          <m:e>
            <m:r>
              <w:rPr>
                <w:rFonts w:ascii="Cambria Math" w:hAnsi="Cambria Math"/>
              </w:rPr>
              <m:t>F</m:t>
            </m:r>
          </m:e>
          <m:sup>
            <m:r>
              <w:rPr>
                <w:rFonts w:ascii="Cambria Math" w:hAnsi="Cambria Math"/>
              </w:rPr>
              <m:t>-1</m:t>
            </m:r>
          </m:sup>
        </m:sSup>
        <m:r>
          <w:rPr>
            <w:rFonts w:ascii="Cambria Math" w:hAnsi="Cambria Math"/>
          </w:rPr>
          <m:t>(.95)=</m:t>
        </m:r>
      </m:oMath>
      <w:r>
        <w:t xml:space="preserve"> 2.94where </w:t>
      </w:r>
      <m:oMath>
        <m:r>
          <w:rPr>
            <w:rFonts w:ascii="Cambria Math" w:hAnsi="Cambria Math"/>
          </w:rPr>
          <m:t>F(⋅)</m:t>
        </m:r>
      </m:oMath>
      <w:r>
        <w:t xml:space="preserve"> is the CDF of the logistic distribution. These values are not particularly unusual values for a </w:t>
      </w:r>
      <m:oMath>
        <m:r>
          <m:rPr>
            <m:scr m:val="script"/>
            <m:sty m:val="p"/>
          </m:rPr>
          <w:rPr>
            <w:rFonts w:ascii="Cambria Math" w:hAnsi="Cambria Math"/>
          </w:rPr>
          <m:t>N</m:t>
        </m:r>
        <m:r>
          <w:rPr>
            <w:rFonts w:ascii="Cambria Math" w:hAnsi="Cambria Math"/>
          </w:rPr>
          <m:t>(0,1)</m:t>
        </m:r>
      </m:oMath>
      <w:r>
        <w:t xml:space="preserve"> distribution. The coefficient priors are </w:t>
      </w:r>
      <m:oMath>
        <m:sSub>
          <m:sSubPr>
            <m:ctrlPr>
              <w:rPr>
                <w:rFonts w:ascii="Cambria Math" w:hAnsi="Cambria Math"/>
              </w:rPr>
            </m:ctrlPr>
          </m:sSubPr>
          <m:e>
            <m:r>
              <m:rPr>
                <m:scr m:val="script"/>
                <m:sty m:val="p"/>
              </m:rPr>
              <w:rPr>
                <w:rFonts w:ascii="Cambria Math" w:hAnsi="Cambria Math"/>
              </w:rPr>
              <m:t>N</m:t>
            </m:r>
          </m:e>
          <m:sub>
            <m:r>
              <w:rPr>
                <w:rFonts w:ascii="Cambria Math" w:hAnsi="Cambria Math"/>
              </w:rPr>
              <m:t>2</m:t>
            </m:r>
          </m:sub>
        </m:sSub>
        <m:r>
          <w:rPr>
            <w:rFonts w:ascii="Cambria Math" w:hAnsi="Cambria Math"/>
          </w:rPr>
          <m:t>(μ,Σ)</m:t>
        </m:r>
      </m:oMath>
      <w:r>
        <w:t xml:space="preserve"> with </w:t>
      </w:r>
      <m:oMath>
        <m:r>
          <w:rPr>
            <w:rFonts w:ascii="Cambria Math" w:hAnsi="Cambria Math"/>
          </w:rPr>
          <m:t>μ={0,0}</m:t>
        </m:r>
      </m:oMath>
      <w:r>
        <w:t xml:space="preserve"> and </w:t>
      </w:r>
      <m:oMath>
        <m:r>
          <w:rPr>
            <w:rFonts w:ascii="Cambria Math" w:hAnsi="Cambria Math"/>
          </w:rPr>
          <m:t>Σ=</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r>
                    <w:rPr>
                      <w:rFonts w:ascii="Cambria Math" w:hAnsi="Cambria Math"/>
                    </w:rPr>
                    <m:t>10</m:t>
                  </m:r>
                </m:e>
                <m:e>
                  <m:r>
                    <w:rPr>
                      <w:rFonts w:ascii="Cambria Math" w:hAnsi="Cambria Math"/>
                    </w:rPr>
                    <m:t>0</m:t>
                  </m:r>
                </m:e>
              </m:mr>
              <m:mr>
                <m:e>
                  <m:r>
                    <w:rPr>
                      <w:rFonts w:ascii="Cambria Math" w:hAnsi="Cambria Math"/>
                    </w:rPr>
                    <m:t>0</m:t>
                  </m:r>
                </m:e>
                <m:e>
                  <m:r>
                    <w:rPr>
                      <w:rFonts w:ascii="Cambria Math" w:hAnsi="Cambria Math"/>
                    </w:rPr>
                    <m:t>10</m:t>
                  </m:r>
                </m:e>
              </m:mr>
            </m:m>
          </m:e>
        </m:d>
      </m:oMath>
      <w:r>
        <w:t>. Given the scale of the other coefficient and the presumed scale of the latent variable, then we would expect the coefficients to be well within the range of a distribution with these characteristics.</w:t>
      </w:r>
    </w:p>
    <w:p w14:paraId="3D35D066" w14:textId="77777777" w:rsidR="00A1778A" w:rsidRDefault="00A1778A" w:rsidP="00A1778A">
      <w:pPr>
        <w:pStyle w:val="Heading2"/>
      </w:pPr>
      <w:bookmarkStart w:id="19" w:name="estimation"/>
      <w:r>
        <w:t>Estimation</w:t>
      </w:r>
      <w:bookmarkEnd w:id="19"/>
    </w:p>
    <w:p w14:paraId="5488AED9" w14:textId="77777777" w:rsidR="00A1778A" w:rsidRDefault="00A1778A" w:rsidP="00A1778A">
      <w:pPr>
        <w:pStyle w:val="FirstParagraph"/>
      </w:pPr>
      <w:r>
        <w:t xml:space="preserve">The model we discussed in the article was estimated with JAGS v4.3.0 (Plummer 2017) through R and the </w:t>
      </w:r>
      <w:proofErr w:type="spellStart"/>
      <w:r>
        <w:rPr>
          <w:rStyle w:val="VerbatimChar"/>
        </w:rPr>
        <w:t>rjags</w:t>
      </w:r>
      <w:proofErr w:type="spellEnd"/>
      <w:r>
        <w:t xml:space="preserve"> package (Plummer 2018). The code for the full and null models is below:</w:t>
      </w:r>
    </w:p>
    <w:p w14:paraId="1AA893D9" w14:textId="77777777" w:rsidR="00A1778A" w:rsidRDefault="00A1778A" w:rsidP="00A1778A">
      <w:pPr>
        <w:pStyle w:val="SourceCode"/>
      </w:pPr>
      <w:r>
        <w:rPr>
          <w:rStyle w:val="VerbatimChar"/>
        </w:rPr>
        <w:t>status.mod &lt;- "model{</w:t>
      </w:r>
      <w:r>
        <w:br/>
      </w:r>
      <w:r>
        <w:rPr>
          <w:rStyle w:val="VerbatimChar"/>
        </w:rPr>
        <w:t xml:space="preserve">  for(</w:t>
      </w:r>
      <w:proofErr w:type="spellStart"/>
      <w:r>
        <w:rPr>
          <w:rStyle w:val="VerbatimChar"/>
        </w:rPr>
        <w:t>i</w:t>
      </w:r>
      <w:proofErr w:type="spellEnd"/>
      <w:r>
        <w:rPr>
          <w:rStyle w:val="VerbatimChar"/>
        </w:rPr>
        <w:t xml:space="preserve"> in 1:n){</w:t>
      </w:r>
      <w:r>
        <w:br/>
      </w:r>
      <w:r>
        <w:rPr>
          <w:rStyle w:val="VerbatimChar"/>
        </w:rPr>
        <w:t xml:space="preserve">    </w:t>
      </w:r>
      <w:proofErr w:type="spellStart"/>
      <w:r>
        <w:rPr>
          <w:rStyle w:val="VerbatimChar"/>
        </w:rPr>
        <w:t>chstat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1])</w:t>
      </w:r>
      <w:r>
        <w:br/>
      </w:r>
      <w:r>
        <w:rPr>
          <w:rStyle w:val="VerbatimChar"/>
        </w:rPr>
        <w:t xml:space="preserve">    </w:t>
      </w:r>
      <w:proofErr w:type="spellStart"/>
      <w:r>
        <w:rPr>
          <w:rStyle w:val="VerbatimChar"/>
        </w:rPr>
        <w:t>parkstat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2])</w:t>
      </w:r>
      <w:r>
        <w:br/>
      </w:r>
      <w:r>
        <w:rPr>
          <w:rStyle w:val="VerbatimChar"/>
        </w:rPr>
        <w:t xml:space="preserve">    emergency[</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3])</w:t>
      </w:r>
      <w:r>
        <w:br/>
      </w:r>
      <w:r>
        <w:rPr>
          <w:rStyle w:val="VerbatimChar"/>
        </w:rPr>
        <w:t xml:space="preserve">    </w:t>
      </w:r>
      <w:proofErr w:type="spellStart"/>
      <w:r>
        <w:rPr>
          <w:rStyle w:val="VerbatimChar"/>
        </w:rPr>
        <w:t>transtat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dcat</w:t>
      </w:r>
      <w:proofErr w:type="spellEnd"/>
      <w:r>
        <w:rPr>
          <w:rStyle w:val="VerbatimChar"/>
        </w:rPr>
        <w:t>(p3[</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1:3])</w:t>
      </w:r>
      <w:r>
        <w:br/>
      </w:r>
      <w:r>
        <w:rPr>
          <w:rStyle w:val="VerbatimChar"/>
        </w:rPr>
        <w:t xml:space="preserve">  }</w:t>
      </w:r>
      <w:r>
        <w:br/>
      </w:r>
      <w:r>
        <w:rPr>
          <w:rStyle w:val="VerbatimChar"/>
        </w:rPr>
        <w:t xml:space="preserve">  for(</w:t>
      </w:r>
      <w:proofErr w:type="spellStart"/>
      <w:r>
        <w:rPr>
          <w:rStyle w:val="VerbatimChar"/>
        </w:rPr>
        <w:t>i</w:t>
      </w:r>
      <w:proofErr w:type="spellEnd"/>
      <w:r>
        <w:rPr>
          <w:rStyle w:val="VerbatimChar"/>
        </w:rPr>
        <w:t xml:space="preserve"> in 1:nm){</w:t>
      </w:r>
      <w:r>
        <w:br/>
      </w:r>
      <w:r>
        <w:rPr>
          <w:rStyle w:val="VerbatimChar"/>
        </w:rPr>
        <w:t xml:space="preserve">    logit(p[i,1]) &lt;- b[1,1] + b[1,2]*latent[</w:t>
      </w:r>
      <w:proofErr w:type="spellStart"/>
      <w:r>
        <w:rPr>
          <w:rStyle w:val="VerbatimChar"/>
        </w:rPr>
        <w:t>i</w:t>
      </w:r>
      <w:proofErr w:type="spellEnd"/>
      <w:r>
        <w:rPr>
          <w:rStyle w:val="VerbatimChar"/>
        </w:rPr>
        <w:t xml:space="preserve">] </w:t>
      </w:r>
      <w:r>
        <w:br/>
      </w:r>
      <w:r>
        <w:rPr>
          <w:rStyle w:val="VerbatimChar"/>
        </w:rPr>
        <w:t xml:space="preserve">    logit(p[i,2]) &lt;- b[2,1] + b[2,2]*latent[</w:t>
      </w:r>
      <w:proofErr w:type="spellStart"/>
      <w:r>
        <w:rPr>
          <w:rStyle w:val="VerbatimChar"/>
        </w:rPr>
        <w:t>i</w:t>
      </w:r>
      <w:proofErr w:type="spellEnd"/>
      <w:r>
        <w:rPr>
          <w:rStyle w:val="VerbatimChar"/>
        </w:rPr>
        <w:t xml:space="preserve">] </w:t>
      </w:r>
      <w:r>
        <w:br/>
      </w:r>
      <w:r>
        <w:rPr>
          <w:rStyle w:val="VerbatimChar"/>
        </w:rPr>
        <w:t xml:space="preserve">    logit(p[i,3]) &lt;- b[4,1] + b[4,2]*latent[</w:t>
      </w:r>
      <w:proofErr w:type="spellStart"/>
      <w:r>
        <w:rPr>
          <w:rStyle w:val="VerbatimChar"/>
        </w:rPr>
        <w:t>i</w:t>
      </w:r>
      <w:proofErr w:type="spellEnd"/>
      <w:r>
        <w:rPr>
          <w:rStyle w:val="VerbatimChar"/>
        </w:rPr>
        <w:t xml:space="preserve">] </w:t>
      </w:r>
      <w:r>
        <w:br/>
      </w:r>
      <w:r>
        <w:rPr>
          <w:rStyle w:val="VerbatimChar"/>
        </w:rPr>
        <w:t xml:space="preserve">    for(j in 1:2){</w:t>
      </w:r>
      <w:r>
        <w:br/>
      </w:r>
      <w:r>
        <w:rPr>
          <w:rStyle w:val="VerbatimChar"/>
        </w:rPr>
        <w:t xml:space="preserve">        logit(</w:t>
      </w:r>
      <w:proofErr w:type="spellStart"/>
      <w:r>
        <w:rPr>
          <w:rStyle w:val="VerbatimChar"/>
        </w:rPr>
        <w:t>q.trans</w:t>
      </w:r>
      <w:proofErr w:type="spellEnd"/>
      <w:r>
        <w:rPr>
          <w:rStyle w:val="VerbatimChar"/>
        </w:rPr>
        <w:t>[</w:t>
      </w:r>
      <w:proofErr w:type="spellStart"/>
      <w:r>
        <w:rPr>
          <w:rStyle w:val="VerbatimChar"/>
        </w:rPr>
        <w:t>i,j</w:t>
      </w:r>
      <w:proofErr w:type="spellEnd"/>
      <w:r>
        <w:rPr>
          <w:rStyle w:val="VerbatimChar"/>
        </w:rPr>
        <w:t>]) &lt;- kappa3[j] - b[5,2]*latent[</w:t>
      </w:r>
      <w:proofErr w:type="spellStart"/>
      <w:r>
        <w:rPr>
          <w:rStyle w:val="VerbatimChar"/>
        </w:rPr>
        <w:t>i</w:t>
      </w:r>
      <w:proofErr w:type="spellEnd"/>
      <w:r>
        <w:rPr>
          <w:rStyle w:val="VerbatimChar"/>
        </w:rPr>
        <w:t>]</w:t>
      </w:r>
      <w:r>
        <w:br/>
      </w:r>
      <w:r>
        <w:rPr>
          <w:rStyle w:val="VerbatimChar"/>
        </w:rPr>
        <w:t xml:space="preserve">    }</w:t>
      </w:r>
      <w:r>
        <w:br/>
      </w:r>
      <w:r>
        <w:rPr>
          <w:rStyle w:val="VerbatimChar"/>
        </w:rPr>
        <w:t xml:space="preserve">    p3[i,1] &lt;- </w:t>
      </w:r>
      <w:proofErr w:type="spellStart"/>
      <w:r>
        <w:rPr>
          <w:rStyle w:val="VerbatimChar"/>
        </w:rPr>
        <w:t>q.trans</w:t>
      </w:r>
      <w:proofErr w:type="spellEnd"/>
      <w:r>
        <w:rPr>
          <w:rStyle w:val="VerbatimChar"/>
        </w:rPr>
        <w:t>[i,1]</w:t>
      </w:r>
      <w:r>
        <w:br/>
      </w:r>
      <w:r>
        <w:rPr>
          <w:rStyle w:val="VerbatimChar"/>
        </w:rPr>
        <w:t xml:space="preserve">    p3[i,2] &lt;- </w:t>
      </w:r>
      <w:proofErr w:type="spellStart"/>
      <w:r>
        <w:rPr>
          <w:rStyle w:val="VerbatimChar"/>
        </w:rPr>
        <w:t>q.trans</w:t>
      </w:r>
      <w:proofErr w:type="spellEnd"/>
      <w:r>
        <w:rPr>
          <w:rStyle w:val="VerbatimChar"/>
        </w:rPr>
        <w:t xml:space="preserve">[i,2] - </w:t>
      </w:r>
      <w:proofErr w:type="spellStart"/>
      <w:r>
        <w:rPr>
          <w:rStyle w:val="VerbatimChar"/>
        </w:rPr>
        <w:t>q.trans</w:t>
      </w:r>
      <w:proofErr w:type="spellEnd"/>
      <w:r>
        <w:rPr>
          <w:rStyle w:val="VerbatimChar"/>
        </w:rPr>
        <w:t>[i,1]</w:t>
      </w:r>
      <w:r>
        <w:br/>
      </w:r>
      <w:r>
        <w:rPr>
          <w:rStyle w:val="VerbatimChar"/>
        </w:rPr>
        <w:t xml:space="preserve">    p3[i,3] &lt;- 1-q.trans[i,2]</w:t>
      </w:r>
      <w:r>
        <w:br/>
      </w:r>
      <w:r>
        <w:rPr>
          <w:rStyle w:val="VerbatimChar"/>
        </w:rPr>
        <w:t xml:space="preserve">    latent[</w:t>
      </w:r>
      <w:proofErr w:type="spellStart"/>
      <w:r>
        <w:rPr>
          <w:rStyle w:val="VerbatimChar"/>
        </w:rPr>
        <w:t>i</w:t>
      </w:r>
      <w:proofErr w:type="spellEnd"/>
      <w:r>
        <w:rPr>
          <w:rStyle w:val="VerbatimChar"/>
        </w:rPr>
        <w:t xml:space="preserve">] ~ </w:t>
      </w:r>
      <w:proofErr w:type="spellStart"/>
      <w:r>
        <w:rPr>
          <w:rStyle w:val="VerbatimChar"/>
        </w:rPr>
        <w:t>dnorm</w:t>
      </w:r>
      <w:proofErr w:type="spellEnd"/>
      <w:r>
        <w:rPr>
          <w:rStyle w:val="VerbatimChar"/>
        </w:rPr>
        <w:t>(0,1)</w:t>
      </w:r>
      <w:r>
        <w:br/>
      </w:r>
      <w:r>
        <w:rPr>
          <w:rStyle w:val="VerbatimChar"/>
        </w:rPr>
        <w:lastRenderedPageBreak/>
        <w:t xml:space="preserve">  }</w:t>
      </w:r>
      <w:r>
        <w:br/>
      </w:r>
      <w:r>
        <w:rPr>
          <w:rStyle w:val="VerbatimChar"/>
        </w:rPr>
        <w:t xml:space="preserve">  for(j in 2:5){</w:t>
      </w:r>
      <w:r>
        <w:br/>
      </w:r>
      <w:r>
        <w:rPr>
          <w:rStyle w:val="VerbatimChar"/>
        </w:rPr>
        <w:t xml:space="preserve">    b[j, 1:2] ~ </w:t>
      </w:r>
      <w:proofErr w:type="spellStart"/>
      <w:r>
        <w:rPr>
          <w:rStyle w:val="VerbatimChar"/>
        </w:rPr>
        <w:t>dmnorm</w:t>
      </w:r>
      <w:proofErr w:type="spellEnd"/>
      <w:r>
        <w:rPr>
          <w:rStyle w:val="VerbatimChar"/>
        </w:rPr>
        <w:t>(b0[1:2], B0[1:2,1:2])</w:t>
      </w:r>
      <w:r>
        <w:br/>
      </w:r>
      <w:r>
        <w:rPr>
          <w:rStyle w:val="VerbatimChar"/>
        </w:rPr>
        <w:t xml:space="preserve">  }</w:t>
      </w:r>
      <w:r>
        <w:br/>
      </w:r>
      <w:r>
        <w:rPr>
          <w:rStyle w:val="VerbatimChar"/>
        </w:rPr>
        <w:t xml:space="preserve">  k[1:2] ~ </w:t>
      </w:r>
      <w:proofErr w:type="spellStart"/>
      <w:r>
        <w:rPr>
          <w:rStyle w:val="VerbatimChar"/>
        </w:rPr>
        <w:t>dmnorm</w:t>
      </w:r>
      <w:proofErr w:type="spellEnd"/>
      <w:r>
        <w:rPr>
          <w:rStyle w:val="VerbatimChar"/>
        </w:rPr>
        <w:t>(b0[1:2], B0[1:2,1:2])</w:t>
      </w:r>
      <w:r>
        <w:br/>
      </w:r>
      <w:r>
        <w:rPr>
          <w:rStyle w:val="VerbatimChar"/>
        </w:rPr>
        <w:t xml:space="preserve">  kappa3[1:2] &lt;- sort(k[1:2])</w:t>
      </w:r>
      <w:r>
        <w:br/>
      </w:r>
      <w:r>
        <w:rPr>
          <w:rStyle w:val="VerbatimChar"/>
        </w:rPr>
        <w:t>}</w:t>
      </w:r>
      <w:r>
        <w:br/>
      </w:r>
      <w:r>
        <w:rPr>
          <w:rStyle w:val="VerbatimChar"/>
        </w:rPr>
        <w:t>"</w:t>
      </w:r>
      <w:r>
        <w:br/>
      </w:r>
      <w:r>
        <w:br/>
      </w:r>
      <w:r>
        <w:rPr>
          <w:rStyle w:val="VerbatimChar"/>
        </w:rPr>
        <w:t>null.mod &lt;- "model{</w:t>
      </w:r>
      <w:r>
        <w:br/>
      </w:r>
      <w:r>
        <w:rPr>
          <w:rStyle w:val="VerbatimChar"/>
        </w:rPr>
        <w:t xml:space="preserve">  for(</w:t>
      </w:r>
      <w:proofErr w:type="spellStart"/>
      <w:r>
        <w:rPr>
          <w:rStyle w:val="VerbatimChar"/>
        </w:rPr>
        <w:t>i</w:t>
      </w:r>
      <w:proofErr w:type="spellEnd"/>
      <w:r>
        <w:rPr>
          <w:rStyle w:val="VerbatimChar"/>
        </w:rPr>
        <w:t xml:space="preserve"> in 1:n){</w:t>
      </w:r>
      <w:r>
        <w:br/>
      </w:r>
      <w:r>
        <w:rPr>
          <w:rStyle w:val="VerbatimChar"/>
        </w:rPr>
        <w:t xml:space="preserve">    </w:t>
      </w:r>
      <w:proofErr w:type="spellStart"/>
      <w:r>
        <w:rPr>
          <w:rStyle w:val="VerbatimChar"/>
        </w:rPr>
        <w:t>chstat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1])</w:t>
      </w:r>
      <w:r>
        <w:br/>
      </w:r>
      <w:r>
        <w:rPr>
          <w:rStyle w:val="VerbatimChar"/>
        </w:rPr>
        <w:t xml:space="preserve">    </w:t>
      </w:r>
      <w:proofErr w:type="spellStart"/>
      <w:r>
        <w:rPr>
          <w:rStyle w:val="VerbatimChar"/>
        </w:rPr>
        <w:t>parkstat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2])</w:t>
      </w:r>
      <w:r>
        <w:br/>
      </w:r>
      <w:r>
        <w:rPr>
          <w:rStyle w:val="VerbatimChar"/>
        </w:rPr>
        <w:t xml:space="preserve">    emergency[</w:t>
      </w:r>
      <w:proofErr w:type="spellStart"/>
      <w:r>
        <w:rPr>
          <w:rStyle w:val="VerbatimChar"/>
        </w:rPr>
        <w:t>i</w:t>
      </w:r>
      <w:proofErr w:type="spellEnd"/>
      <w:r>
        <w:rPr>
          <w:rStyle w:val="VerbatimChar"/>
        </w:rPr>
        <w:t xml:space="preserve">] ~ </w:t>
      </w:r>
      <w:proofErr w:type="spellStart"/>
      <w:r>
        <w:rPr>
          <w:rStyle w:val="VerbatimChar"/>
        </w:rPr>
        <w:t>dbern</w:t>
      </w:r>
      <w:proofErr w:type="spellEnd"/>
      <w:r>
        <w:rPr>
          <w:rStyle w:val="VerbatimChar"/>
        </w:rPr>
        <w:t>(p[</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3])</w:t>
      </w:r>
      <w:r>
        <w:br/>
      </w:r>
      <w:r>
        <w:rPr>
          <w:rStyle w:val="VerbatimChar"/>
        </w:rPr>
        <w:t xml:space="preserve">    </w:t>
      </w:r>
      <w:proofErr w:type="spellStart"/>
      <w:r>
        <w:rPr>
          <w:rStyle w:val="VerbatimChar"/>
        </w:rPr>
        <w:t>transtat</w:t>
      </w:r>
      <w:proofErr w:type="spellEnd"/>
      <w:r>
        <w:rPr>
          <w:rStyle w:val="VerbatimChar"/>
        </w:rPr>
        <w:t>[</w:t>
      </w:r>
      <w:proofErr w:type="spellStart"/>
      <w:r>
        <w:rPr>
          <w:rStyle w:val="VerbatimChar"/>
        </w:rPr>
        <w:t>i</w:t>
      </w:r>
      <w:proofErr w:type="spellEnd"/>
      <w:r>
        <w:rPr>
          <w:rStyle w:val="VerbatimChar"/>
        </w:rPr>
        <w:t xml:space="preserve">] ~ </w:t>
      </w:r>
      <w:proofErr w:type="spellStart"/>
      <w:r>
        <w:rPr>
          <w:rStyle w:val="VerbatimChar"/>
        </w:rPr>
        <w:t>dcat</w:t>
      </w:r>
      <w:proofErr w:type="spellEnd"/>
      <w:r>
        <w:rPr>
          <w:rStyle w:val="VerbatimChar"/>
        </w:rPr>
        <w:t>(p3[</w:t>
      </w:r>
      <w:proofErr w:type="spellStart"/>
      <w:r>
        <w:rPr>
          <w:rStyle w:val="VerbatimChar"/>
        </w:rPr>
        <w:t>munid</w:t>
      </w:r>
      <w:proofErr w:type="spellEnd"/>
      <w:r>
        <w:rPr>
          <w:rStyle w:val="VerbatimChar"/>
        </w:rPr>
        <w:t>[</w:t>
      </w:r>
      <w:proofErr w:type="spellStart"/>
      <w:r>
        <w:rPr>
          <w:rStyle w:val="VerbatimChar"/>
        </w:rPr>
        <w:t>i</w:t>
      </w:r>
      <w:proofErr w:type="spellEnd"/>
      <w:r>
        <w:rPr>
          <w:rStyle w:val="VerbatimChar"/>
        </w:rPr>
        <w:t>], 1:3])</w:t>
      </w:r>
      <w:r>
        <w:br/>
      </w:r>
      <w:r>
        <w:rPr>
          <w:rStyle w:val="VerbatimChar"/>
        </w:rPr>
        <w:t xml:space="preserve">  }</w:t>
      </w:r>
      <w:r>
        <w:br/>
      </w:r>
      <w:r>
        <w:rPr>
          <w:rStyle w:val="VerbatimChar"/>
        </w:rPr>
        <w:t xml:space="preserve">  for(</w:t>
      </w:r>
      <w:proofErr w:type="spellStart"/>
      <w:r>
        <w:rPr>
          <w:rStyle w:val="VerbatimChar"/>
        </w:rPr>
        <w:t>i</w:t>
      </w:r>
      <w:proofErr w:type="spellEnd"/>
      <w:r>
        <w:rPr>
          <w:rStyle w:val="VerbatimChar"/>
        </w:rPr>
        <w:t xml:space="preserve"> in 1:nm){</w:t>
      </w:r>
      <w:r>
        <w:br/>
      </w:r>
      <w:r>
        <w:rPr>
          <w:rStyle w:val="VerbatimChar"/>
        </w:rPr>
        <w:t xml:space="preserve">    logit(p[i,1]) &lt;- b[1,1] </w:t>
      </w:r>
      <w:r>
        <w:br/>
      </w:r>
      <w:r>
        <w:rPr>
          <w:rStyle w:val="VerbatimChar"/>
        </w:rPr>
        <w:t xml:space="preserve">    logit(p[i,2]) &lt;- b[2,1] </w:t>
      </w:r>
      <w:r>
        <w:br/>
      </w:r>
      <w:r>
        <w:rPr>
          <w:rStyle w:val="VerbatimChar"/>
        </w:rPr>
        <w:t xml:space="preserve">    logit(p[i,3]) &lt;- b[4,1] </w:t>
      </w:r>
      <w:r>
        <w:br/>
      </w:r>
      <w:r>
        <w:rPr>
          <w:rStyle w:val="VerbatimChar"/>
        </w:rPr>
        <w:t xml:space="preserve">    for(j in 1:2){</w:t>
      </w:r>
      <w:r>
        <w:br/>
      </w:r>
      <w:r>
        <w:rPr>
          <w:rStyle w:val="VerbatimChar"/>
        </w:rPr>
        <w:t xml:space="preserve">        logit(</w:t>
      </w:r>
      <w:proofErr w:type="spellStart"/>
      <w:r>
        <w:rPr>
          <w:rStyle w:val="VerbatimChar"/>
        </w:rPr>
        <w:t>q.trans</w:t>
      </w:r>
      <w:proofErr w:type="spellEnd"/>
      <w:r>
        <w:rPr>
          <w:rStyle w:val="VerbatimChar"/>
        </w:rPr>
        <w:t>[</w:t>
      </w:r>
      <w:proofErr w:type="spellStart"/>
      <w:r>
        <w:rPr>
          <w:rStyle w:val="VerbatimChar"/>
        </w:rPr>
        <w:t>i,j</w:t>
      </w:r>
      <w:proofErr w:type="spellEnd"/>
      <w:r>
        <w:rPr>
          <w:rStyle w:val="VerbatimChar"/>
        </w:rPr>
        <w:t xml:space="preserve">]) &lt;- kappa3[j] </w:t>
      </w:r>
      <w:r>
        <w:br/>
      </w:r>
      <w:r>
        <w:rPr>
          <w:rStyle w:val="VerbatimChar"/>
        </w:rPr>
        <w:t xml:space="preserve">    }</w:t>
      </w:r>
      <w:r>
        <w:br/>
      </w:r>
      <w:r>
        <w:rPr>
          <w:rStyle w:val="VerbatimChar"/>
        </w:rPr>
        <w:t xml:space="preserve">    p3[i,1] &lt;- </w:t>
      </w:r>
      <w:proofErr w:type="spellStart"/>
      <w:r>
        <w:rPr>
          <w:rStyle w:val="VerbatimChar"/>
        </w:rPr>
        <w:t>q.trans</w:t>
      </w:r>
      <w:proofErr w:type="spellEnd"/>
      <w:r>
        <w:rPr>
          <w:rStyle w:val="VerbatimChar"/>
        </w:rPr>
        <w:t>[i,1]</w:t>
      </w:r>
      <w:r>
        <w:br/>
      </w:r>
      <w:r>
        <w:rPr>
          <w:rStyle w:val="VerbatimChar"/>
        </w:rPr>
        <w:t xml:space="preserve">    p3[i,2] &lt;- </w:t>
      </w:r>
      <w:proofErr w:type="spellStart"/>
      <w:r>
        <w:rPr>
          <w:rStyle w:val="VerbatimChar"/>
        </w:rPr>
        <w:t>q.trans</w:t>
      </w:r>
      <w:proofErr w:type="spellEnd"/>
      <w:r>
        <w:rPr>
          <w:rStyle w:val="VerbatimChar"/>
        </w:rPr>
        <w:t xml:space="preserve">[i,2] - </w:t>
      </w:r>
      <w:proofErr w:type="spellStart"/>
      <w:r>
        <w:rPr>
          <w:rStyle w:val="VerbatimChar"/>
        </w:rPr>
        <w:t>q.trans</w:t>
      </w:r>
      <w:proofErr w:type="spellEnd"/>
      <w:r>
        <w:rPr>
          <w:rStyle w:val="VerbatimChar"/>
        </w:rPr>
        <w:t>[i,1]</w:t>
      </w:r>
      <w:r>
        <w:br/>
      </w:r>
      <w:r>
        <w:rPr>
          <w:rStyle w:val="VerbatimChar"/>
        </w:rPr>
        <w:t xml:space="preserve">    p3[i,3] &lt;- 1-q.trans[i,2]</w:t>
      </w:r>
      <w:r>
        <w:br/>
      </w:r>
      <w:r>
        <w:rPr>
          <w:rStyle w:val="VerbatimChar"/>
        </w:rPr>
        <w:t xml:space="preserve">    latent[</w:t>
      </w:r>
      <w:proofErr w:type="spellStart"/>
      <w:r>
        <w:rPr>
          <w:rStyle w:val="VerbatimChar"/>
        </w:rPr>
        <w:t>i</w:t>
      </w:r>
      <w:proofErr w:type="spellEnd"/>
      <w:r>
        <w:rPr>
          <w:rStyle w:val="VerbatimChar"/>
        </w:rPr>
        <w:t xml:space="preserve">] ~ </w:t>
      </w:r>
      <w:proofErr w:type="spellStart"/>
      <w:r>
        <w:rPr>
          <w:rStyle w:val="VerbatimChar"/>
        </w:rPr>
        <w:t>dnorm</w:t>
      </w:r>
      <w:proofErr w:type="spellEnd"/>
      <w:r>
        <w:rPr>
          <w:rStyle w:val="VerbatimChar"/>
        </w:rPr>
        <w:t>(0,1)</w:t>
      </w:r>
      <w:r>
        <w:br/>
      </w:r>
      <w:r>
        <w:rPr>
          <w:rStyle w:val="VerbatimChar"/>
        </w:rPr>
        <w:t xml:space="preserve">  }</w:t>
      </w:r>
      <w:r>
        <w:br/>
      </w:r>
      <w:r>
        <w:rPr>
          <w:rStyle w:val="VerbatimChar"/>
        </w:rPr>
        <w:t xml:space="preserve">  for(j in 2:5){</w:t>
      </w:r>
      <w:r>
        <w:br/>
      </w:r>
      <w:r>
        <w:rPr>
          <w:rStyle w:val="VerbatimChar"/>
        </w:rPr>
        <w:t xml:space="preserve">    b[j, 1:2] ~ </w:t>
      </w:r>
      <w:proofErr w:type="spellStart"/>
      <w:r>
        <w:rPr>
          <w:rStyle w:val="VerbatimChar"/>
        </w:rPr>
        <w:t>dmnorm</w:t>
      </w:r>
      <w:proofErr w:type="spellEnd"/>
      <w:r>
        <w:rPr>
          <w:rStyle w:val="VerbatimChar"/>
        </w:rPr>
        <w:t>(b0[1:2], B0[1:2,1:2])</w:t>
      </w:r>
      <w:r>
        <w:br/>
      </w:r>
      <w:r>
        <w:rPr>
          <w:rStyle w:val="VerbatimChar"/>
        </w:rPr>
        <w:t xml:space="preserve">  }</w:t>
      </w:r>
      <w:r>
        <w:br/>
      </w:r>
      <w:r>
        <w:rPr>
          <w:rStyle w:val="VerbatimChar"/>
        </w:rPr>
        <w:t xml:space="preserve">  k[1:2] ~ </w:t>
      </w:r>
      <w:proofErr w:type="spellStart"/>
      <w:r>
        <w:rPr>
          <w:rStyle w:val="VerbatimChar"/>
        </w:rPr>
        <w:t>dmnorm</w:t>
      </w:r>
      <w:proofErr w:type="spellEnd"/>
      <w:r>
        <w:rPr>
          <w:rStyle w:val="VerbatimChar"/>
        </w:rPr>
        <w:t>(b0[1:2], B0[1:2,1:2])</w:t>
      </w:r>
      <w:r>
        <w:br/>
      </w:r>
      <w:r>
        <w:rPr>
          <w:rStyle w:val="VerbatimChar"/>
        </w:rPr>
        <w:t xml:space="preserve">  kappa3[1:2] &lt;- sort(k[1:2])</w:t>
      </w:r>
      <w:r>
        <w:br/>
      </w:r>
      <w:r>
        <w:rPr>
          <w:rStyle w:val="VerbatimChar"/>
        </w:rPr>
        <w:t>}</w:t>
      </w:r>
      <w:r>
        <w:br/>
      </w:r>
      <w:r>
        <w:rPr>
          <w:rStyle w:val="VerbatimChar"/>
        </w:rPr>
        <w:t>"</w:t>
      </w:r>
    </w:p>
    <w:p w14:paraId="503CBD94" w14:textId="77777777" w:rsidR="00A1778A" w:rsidRDefault="00A1778A" w:rsidP="00A1778A">
      <w:pPr>
        <w:pStyle w:val="FirstParagraph"/>
      </w:pPr>
      <w:r>
        <w:t xml:space="preserve">In these models, </w:t>
      </w:r>
      <w:proofErr w:type="spellStart"/>
      <w:r>
        <w:rPr>
          <w:rStyle w:val="VerbatimChar"/>
        </w:rPr>
        <w:t>munid</w:t>
      </w:r>
      <w:proofErr w:type="spellEnd"/>
      <w:r>
        <w:t xml:space="preserve"> is a municipal id counter that goes from 1-306, identifying each municipality. Even though there are multiple respondents in each </w:t>
      </w:r>
      <w:proofErr w:type="spellStart"/>
      <w:r>
        <w:t>municiaplity</w:t>
      </w:r>
      <w:proofErr w:type="spellEnd"/>
      <w:r>
        <w:t>, we are estimating a single ideal point for each municipality.</w:t>
      </w:r>
    </w:p>
    <w:p w14:paraId="4541B720" w14:textId="77777777" w:rsidR="00A1778A" w:rsidRDefault="00A1778A" w:rsidP="00A1778A">
      <w:pPr>
        <w:pStyle w:val="Heading2"/>
      </w:pPr>
      <w:bookmarkStart w:id="20" w:name="convergence-and-model-comparison"/>
      <w:r>
        <w:t>Convergence and Model Comparison</w:t>
      </w:r>
      <w:bookmarkEnd w:id="20"/>
    </w:p>
    <w:p w14:paraId="051B10BC" w14:textId="77777777" w:rsidR="00A1778A" w:rsidRDefault="00A1778A" w:rsidP="00A1778A">
      <w:pPr>
        <w:pStyle w:val="FirstParagraph"/>
      </w:pPr>
      <w:r>
        <w:t xml:space="preserve">We tune the adaptive rejection sampler for 2500 iterations, then burn-in the model for 10,000 iterations and sample 2,500 iterations from each of two chains that we </w:t>
      </w:r>
      <w:proofErr w:type="spellStart"/>
      <w:r>
        <w:t>summarise</w:t>
      </w:r>
      <w:proofErr w:type="spellEnd"/>
      <w:r>
        <w:t xml:space="preserve"> below. The model appears to have converged. The multivariate PSRF for the full model is 1.14 and the upper bound of the biggest individual PSRF was only approximately 1.1 with 318 model parameters. The </w:t>
      </w:r>
      <w:proofErr w:type="spellStart"/>
      <w:r>
        <w:t>Geweke</w:t>
      </w:r>
      <w:proofErr w:type="spellEnd"/>
      <w:r>
        <w:t xml:space="preserve"> diagnostic also shows generally good results with the </w:t>
      </w:r>
      <m:oMath>
        <m:r>
          <w:rPr>
            <w:rFonts w:ascii="Cambria Math" w:hAnsi="Cambria Math"/>
          </w:rPr>
          <m:t>z</m:t>
        </m:r>
      </m:oMath>
      <w:r>
        <w:t>-statistics generally falling within the confidence bounds of the standard normal distribution.</w:t>
      </w:r>
    </w:p>
    <w:p w14:paraId="7A5DA20F" w14:textId="77777777" w:rsidR="00A1778A" w:rsidRDefault="00A1778A" w:rsidP="00A1778A">
      <w:pPr>
        <w:pStyle w:val="BodyText"/>
      </w:pPr>
      <w:r>
        <w:lastRenderedPageBreak/>
        <w:t>The model also seems to provide some predictive power. In addition to the model described above, we also estimated a null model - one with only intercept(s) for the indicators. Comparing the deviance information criterion (DIC) values for the null and full model gives us a sense of the value added that the latent variable provides. The DIC for the null model is 2741.235 and for the full model it is 2555.081. As with other information criterion comparisons, smaller values are better. The difference in the DIC values of 186.154 favors the full model indicating that a unidimensional structure model fits better than one that assumes no underlying structure.</w:t>
      </w:r>
    </w:p>
    <w:p w14:paraId="751F0844" w14:textId="77777777" w:rsidR="00A1778A" w:rsidRDefault="00A1778A" w:rsidP="00A1778A">
      <w:pPr>
        <w:pStyle w:val="Heading1"/>
      </w:pPr>
      <w:bookmarkStart w:id="21" w:name="X1564846f2766313bf860a4113a1a2245ae7c462"/>
      <w:r>
        <w:t>Predictive Models with Monte Carlo Integration.</w:t>
      </w:r>
      <w:bookmarkEnd w:id="21"/>
    </w:p>
    <w:p w14:paraId="428D0B6B" w14:textId="77777777" w:rsidR="00A1778A" w:rsidRDefault="00A1778A" w:rsidP="00A1778A">
      <w:pPr>
        <w:pStyle w:val="FirstParagraph"/>
      </w:pPr>
      <w:r>
        <w:t>In the results above, we employ two different kinds of models - an Item Response Theory model to identify the dependent variable and a set of bivariate predictive models to help understand the correlates of policy responsiveness. One way of handling this would be to simply build a full Bayesian structural equation model. This would allow us to incorporate both kinds of models into one. However, in this case, we would need several different SEMs to deal with the different predictors mentioned in the article. In each of these, the incorporation of predictors of the latent trait would change the latent traits values, even if only slightly. Instead of doing this, we opt for the Monte Carlo integration approach.</w:t>
      </w:r>
    </w:p>
    <w:p w14:paraId="37FBE54F" w14:textId="77777777" w:rsidR="00A1778A" w:rsidRDefault="00A1778A" w:rsidP="00A1778A">
      <w:pPr>
        <w:pStyle w:val="BodyText"/>
      </w:pPr>
      <w:r>
        <w:t>The Monte Carlo integration approach takes the following steps.</w:t>
      </w:r>
    </w:p>
    <w:p w14:paraId="5598CE95" w14:textId="77777777" w:rsidR="00A1778A" w:rsidRDefault="00A1778A" w:rsidP="00A1778A">
      <w:pPr>
        <w:pStyle w:val="Compact"/>
        <w:numPr>
          <w:ilvl w:val="0"/>
          <w:numId w:val="1"/>
        </w:numPr>
      </w:pPr>
      <w:r>
        <w:t xml:space="preserve">Take the first iteration of the Markov Chain for the latent variable and call these </w:t>
      </w:r>
      <m:oMath>
        <m:sSup>
          <m:sSupPr>
            <m:ctrlPr>
              <w:rPr>
                <w:rFonts w:ascii="Cambria Math" w:hAnsi="Cambria Math"/>
              </w:rPr>
            </m:ctrlPr>
          </m:sSupPr>
          <m:e>
            <m:r>
              <m:rPr>
                <m:nor/>
              </m:rPr>
              <m:t>latent</m:t>
            </m:r>
          </m:e>
          <m:sup>
            <m:r>
              <w:rPr>
                <w:rFonts w:ascii="Cambria Math" w:hAnsi="Cambria Math"/>
              </w:rPr>
              <m:t>(1)</m:t>
            </m:r>
          </m:sup>
        </m:sSup>
      </m:oMath>
      <w:r>
        <w:t>.</w:t>
      </w:r>
      <w:r>
        <w:br/>
      </w:r>
    </w:p>
    <w:p w14:paraId="6239FD86" w14:textId="77777777" w:rsidR="00A1778A" w:rsidRDefault="00A1778A" w:rsidP="00A1778A">
      <w:pPr>
        <w:pStyle w:val="Compact"/>
        <w:numPr>
          <w:ilvl w:val="0"/>
          <w:numId w:val="1"/>
        </w:numPr>
      </w:pPr>
      <w:r>
        <w:t xml:space="preserve">Estimate the following model: </w:t>
      </w:r>
      <m:oMath>
        <m:sSup>
          <m:sSupPr>
            <m:ctrlPr>
              <w:rPr>
                <w:rFonts w:ascii="Cambria Math" w:hAnsi="Cambria Math"/>
              </w:rPr>
            </m:ctrlPr>
          </m:sSupPr>
          <m:e>
            <m:r>
              <m:rPr>
                <m:nor/>
              </m:rPr>
              <m:t>latent</m:t>
            </m:r>
          </m:e>
          <m:sup>
            <m:r>
              <w:rPr>
                <w:rFonts w:ascii="Cambria Math" w:hAnsi="Cambria Math"/>
              </w:rPr>
              <m:t>(1)</m:t>
            </m:r>
          </m:sup>
        </m:sSup>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x+e</m:t>
        </m:r>
      </m:oMath>
      <w:r>
        <w:t>.</w:t>
      </w:r>
    </w:p>
    <w:p w14:paraId="65BFDDE3" w14:textId="77777777" w:rsidR="00A1778A" w:rsidRDefault="00A1778A" w:rsidP="00A1778A">
      <w:pPr>
        <w:pStyle w:val="Compact"/>
        <w:numPr>
          <w:ilvl w:val="0"/>
          <w:numId w:val="1"/>
        </w:numPr>
      </w:pPr>
      <w:r>
        <w:t xml:space="preserve">Take a single draw from the distribution </w:t>
      </w:r>
      <m:oMath>
        <m:sSub>
          <m:sSubPr>
            <m:ctrlPr>
              <w:rPr>
                <w:rFonts w:ascii="Cambria Math" w:hAnsi="Cambria Math"/>
              </w:rPr>
            </m:ctrlPr>
          </m:sSubPr>
          <m:e>
            <m:r>
              <m:rPr>
                <m:scr m:val="script"/>
                <m:sty m:val="p"/>
              </m:rPr>
              <w:rPr>
                <w:rFonts w:ascii="Cambria Math" w:hAnsi="Cambria Math"/>
              </w:rPr>
              <m:t>N</m:t>
            </m:r>
          </m:e>
          <m:sub>
            <m:r>
              <w:rPr>
                <w:rFonts w:ascii="Cambria Math" w:hAnsi="Cambria Math"/>
              </w:rPr>
              <m:t>2</m:t>
            </m:r>
          </m:sub>
        </m:sSub>
        <m:r>
          <w:rPr>
            <w:rFonts w:ascii="Cambria Math" w:hAnsi="Cambria Math"/>
          </w:rPr>
          <m:t>(B,</m:t>
        </m:r>
        <m:acc>
          <m:accPr>
            <m:ctrlPr>
              <w:rPr>
                <w:rFonts w:ascii="Cambria Math" w:hAnsi="Cambria Math"/>
              </w:rPr>
            </m:ctrlPr>
          </m:accPr>
          <m:e>
            <m:r>
              <w:rPr>
                <w:rFonts w:ascii="Cambria Math" w:hAnsi="Cambria Math"/>
              </w:rPr>
              <m:t>V</m:t>
            </m:r>
          </m:e>
        </m:acc>
        <m:r>
          <w:rPr>
            <w:rFonts w:ascii="Cambria Math" w:hAnsi="Cambria Math"/>
          </w:rPr>
          <m:t>(B))</m:t>
        </m:r>
      </m:oMath>
      <w:r>
        <w:t xml:space="preserve">, where </w:t>
      </w:r>
      <m:oMath>
        <m:r>
          <w:rPr>
            <w:rFonts w:ascii="Cambria Math" w:hAnsi="Cambria Math"/>
          </w:rPr>
          <m:t>B={</m:t>
        </m:r>
        <m:sSub>
          <m:sSubPr>
            <m:ctrlPr>
              <w:rPr>
                <w:rFonts w:ascii="Cambria Math" w:hAnsi="Cambria Math"/>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m:t>
        </m:r>
      </m:oMath>
      <w:r>
        <w:t xml:space="preserve"> and </w:t>
      </w:r>
      <m:oMath>
        <m:acc>
          <m:accPr>
            <m:ctrlPr>
              <w:rPr>
                <w:rFonts w:ascii="Cambria Math" w:hAnsi="Cambria Math"/>
              </w:rPr>
            </m:ctrlPr>
          </m:accPr>
          <m:e>
            <m:r>
              <w:rPr>
                <w:rFonts w:ascii="Cambria Math" w:hAnsi="Cambria Math"/>
              </w:rPr>
              <m:t>V</m:t>
            </m:r>
          </m:e>
        </m:acc>
        <m:r>
          <w:rPr>
            <w:rFonts w:ascii="Cambria Math" w:hAnsi="Cambria Math"/>
          </w:rPr>
          <m:t>(B)</m:t>
        </m:r>
      </m:oMath>
      <w:r>
        <w:t xml:space="preserve"> is the variance-covariance matrix of the estimators. We store this single draw from the bivariate normal distribution as the first row of </w:t>
      </w:r>
      <m:oMath>
        <m:r>
          <w:rPr>
            <w:rFonts w:ascii="Cambria Math" w:hAnsi="Cambria Math"/>
          </w:rPr>
          <m:t>β</m:t>
        </m:r>
      </m:oMath>
      <w:r>
        <w:t xml:space="preserve">. 4. Repeat by replacing with </w:t>
      </w:r>
      <m:oMath>
        <m:sSup>
          <m:sSupPr>
            <m:ctrlPr>
              <w:rPr>
                <w:rFonts w:ascii="Cambria Math" w:hAnsi="Cambria Math"/>
              </w:rPr>
            </m:ctrlPr>
          </m:sSupPr>
          <m:e>
            <m:r>
              <m:rPr>
                <m:nor/>
              </m:rPr>
              <m:t>latent</m:t>
            </m:r>
          </m:e>
          <m:sup>
            <m:r>
              <w:rPr>
                <w:rFonts w:ascii="Cambria Math" w:hAnsi="Cambria Math"/>
              </w:rPr>
              <m:t>(1)</m:t>
            </m:r>
          </m:sup>
        </m:sSup>
      </m:oMath>
      <w:r>
        <w:t xml:space="preserve"> with </w:t>
      </w:r>
      <m:oMath>
        <m:sSup>
          <m:sSupPr>
            <m:ctrlPr>
              <w:rPr>
                <w:rFonts w:ascii="Cambria Math" w:hAnsi="Cambria Math"/>
              </w:rPr>
            </m:ctrlPr>
          </m:sSupPr>
          <m:e>
            <m:r>
              <m:rPr>
                <m:nor/>
              </m:rPr>
              <m:t>latent</m:t>
            </m:r>
          </m:e>
          <m:sup>
            <m:r>
              <w:rPr>
                <w:rFonts w:ascii="Cambria Math" w:hAnsi="Cambria Math"/>
              </w:rPr>
              <m:t>(t)</m:t>
            </m:r>
          </m:sup>
        </m:sSup>
      </m:oMath>
      <w:r>
        <w:t xml:space="preserve"> for </w:t>
      </w:r>
      <m:oMath>
        <m:r>
          <w:rPr>
            <w:rFonts w:ascii="Cambria Math" w:hAnsi="Cambria Math"/>
          </w:rPr>
          <m:t>t=1,…,#</m:t>
        </m:r>
        <m:r>
          <m:rPr>
            <m:nor/>
          </m:rPr>
          <m:t>Iterations</m:t>
        </m:r>
      </m:oMath>
      <w:r>
        <w:t>.</w:t>
      </w:r>
    </w:p>
    <w:p w14:paraId="0CB03000" w14:textId="77777777" w:rsidR="00A1778A" w:rsidRDefault="00A1778A" w:rsidP="00A1778A">
      <w:pPr>
        <w:pStyle w:val="FirstParagraph"/>
      </w:pPr>
      <w:r>
        <w:t xml:space="preserve">At the end of this process, we </w:t>
      </w:r>
      <w:proofErr w:type="spellStart"/>
      <w:r>
        <w:t>withh</w:t>
      </w:r>
      <w:proofErr w:type="spellEnd"/>
      <w:r>
        <w:t xml:space="preserve"> have a </w:t>
      </w:r>
      <m:oMath>
        <m:r>
          <w:rPr>
            <w:rFonts w:ascii="Cambria Math" w:hAnsi="Cambria Math"/>
          </w:rPr>
          <m:t>#Iterations×2</m:t>
        </m:r>
      </m:oMath>
      <w:r>
        <w:t xml:space="preserve"> posterior distribution of coefficients from the model above. We can summarise that distribution, particularly looking for the posterior probability of being above or below zero. This posterior probability amounts to someth</w:t>
      </w:r>
      <w:proofErr w:type="spellStart"/>
      <w:r>
        <w:t>ing</w:t>
      </w:r>
      <w:proofErr w:type="spellEnd"/>
      <w:r>
        <w:t xml:space="preserve"> like a Bayesian </w:t>
      </w:r>
      <m:oMath>
        <m:r>
          <w:rPr>
            <w:rFonts w:ascii="Cambria Math" w:hAnsi="Cambria Math"/>
          </w:rPr>
          <m:t>p</m:t>
        </m:r>
      </m:oMath>
      <w:r>
        <w:t xml:space="preserve">-value. If a large proportion of the posterior distribution is above (or below) zero, say 95%, then we could say that the result is statistically reliable. Note that we don’t say significant here becaus significance carries with </w:t>
      </w:r>
      <w:proofErr w:type="gramStart"/>
      <w:r>
        <w:t>it</w:t>
      </w:r>
      <w:proofErr w:type="gramEnd"/>
      <w:r>
        <w:t xml:space="preserve"> fr</w:t>
      </w:r>
      <w:proofErr w:type="spellStart"/>
      <w:r>
        <w:t>equentist</w:t>
      </w:r>
      <w:proofErr w:type="spellEnd"/>
      <w:r>
        <w:t xml:space="preserve"> baggage - it particularly identifies a result relative to a null hypothesis in the frequentist inferential paradigm.</w:t>
      </w:r>
    </w:p>
    <w:p w14:paraId="5E2E1E01" w14:textId="77777777" w:rsidR="00A1778A" w:rsidRDefault="00A1778A" w:rsidP="00A1778A">
      <w:pPr>
        <w:pStyle w:val="BodyText"/>
      </w:pPr>
      <w:r>
        <w:t xml:space="preserve">All of the models we estimate are simple OLS models, except for the one with conservative vote choice. Here, we estimate a second-degree local polynomial regression model with span = .75; we use the </w:t>
      </w:r>
      <w:proofErr w:type="gramStart"/>
      <w:r>
        <w:rPr>
          <w:rStyle w:val="VerbatimChar"/>
        </w:rPr>
        <w:t>loess(</w:t>
      </w:r>
      <w:proofErr w:type="gramEnd"/>
      <w:r>
        <w:rPr>
          <w:rStyle w:val="VerbatimChar"/>
        </w:rPr>
        <w:t>)</w:t>
      </w:r>
      <w:r>
        <w:t xml:space="preserve"> function in R to accomplish this. The inferences we make are based on predictions from this model. We follow the same Monte Carlo integration method described above, but instead of coefficients, we do it with predictions. Here, we draw each prediction from its own univariate normal distribution. To evaluate differences in the linear and non-linear </w:t>
      </w:r>
      <w:r>
        <w:lastRenderedPageBreak/>
        <w:t xml:space="preserve">models, we look at the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We calculate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for each iteration of the Monte Carlo s</w:t>
      </w:r>
      <w:proofErr w:type="spellStart"/>
      <w:r>
        <w:t>imulation</w:t>
      </w:r>
      <w:proofErr w:type="spellEnd"/>
      <w:r>
        <w:t xml:space="preserve"> and then compare the posterior distribution of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values across the two models.</w:t>
      </w:r>
    </w:p>
    <w:p w14:paraId="2A41FA6F" w14:textId="77777777" w:rsidR="00A1778A" w:rsidRDefault="00A1778A" w:rsidP="00A1778A">
      <w:pPr>
        <w:pStyle w:val="BodyText"/>
      </w:pPr>
      <w:r>
        <w:t xml:space="preserve">While this model is generally a bivariate model, we can control for another variable by </w:t>
      </w:r>
      <w:proofErr w:type="spellStart"/>
      <w:r>
        <w:t>residualization</w:t>
      </w:r>
      <w:proofErr w:type="spellEnd"/>
      <w:r>
        <w:t>. In particular, we first estimate these two models:</w:t>
      </w:r>
    </w:p>
    <w:p w14:paraId="403147A5" w14:textId="77777777" w:rsidR="00A1778A" w:rsidRDefault="00A1778A" w:rsidP="00A1778A">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m:rPr>
                    <m:nor/>
                  </m:rPr>
                  <m:t>Latent</m:t>
                </m:r>
              </m:e>
              <m:e>
                <m:r>
                  <w:rPr>
                    <w:rFonts w:ascii="Cambria Math" w:hAnsi="Cambria Math"/>
                  </w:rPr>
                  <m:t>=θ</m:t>
                </m:r>
                <m:r>
                  <m:rPr>
                    <m:nor/>
                  </m:rPr>
                  <m:t>Province Dummies</m:t>
                </m:r>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r>
                      <m:rPr>
                        <m:nor/>
                      </m:rPr>
                      <m:t>latent</m:t>
                    </m:r>
                    <m:r>
                      <w:rPr>
                        <w:rFonts w:ascii="Cambria Math" w:hAnsi="Cambria Math"/>
                      </w:rPr>
                      <m:t>)</m:t>
                    </m:r>
                  </m:sup>
                </m:sSup>
              </m:e>
            </m:mr>
            <m:mr>
              <m:e>
                <m:r>
                  <m:rPr>
                    <m:nor/>
                  </m:rPr>
                  <m:t>Conservative Vote</m:t>
                </m:r>
              </m:e>
              <m:e>
                <m:r>
                  <w:rPr>
                    <w:rFonts w:ascii="Cambria Math" w:hAnsi="Cambria Math"/>
                  </w:rPr>
                  <m:t>=</m:t>
                </m:r>
                <m:sSup>
                  <m:sSupPr>
                    <m:ctrlPr>
                      <w:rPr>
                        <w:rFonts w:ascii="Cambria Math" w:hAnsi="Cambria Math"/>
                      </w:rPr>
                    </m:ctrlPr>
                  </m:sSupPr>
                  <m:e>
                    <m:r>
                      <w:rPr>
                        <w:rFonts w:ascii="Cambria Math" w:hAnsi="Cambria Math"/>
                      </w:rPr>
                      <m:t>θ</m:t>
                    </m:r>
                  </m:e>
                  <m:sup>
                    <m:r>
                      <w:rPr>
                        <w:rFonts w:ascii="Cambria Math" w:hAnsi="Cambria Math"/>
                      </w:rPr>
                      <m:t>*</m:t>
                    </m:r>
                  </m:sup>
                </m:sSup>
                <m:r>
                  <m:rPr>
                    <m:nor/>
                  </m:rPr>
                  <m:t>Province Dummies</m:t>
                </m:r>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r>
                      <m:rPr>
                        <m:nor/>
                      </m:rPr>
                      <m:t>cons vote</m:t>
                    </m:r>
                    <m:r>
                      <w:rPr>
                        <w:rFonts w:ascii="Cambria Math" w:hAnsi="Cambria Math"/>
                      </w:rPr>
                      <m:t>)</m:t>
                    </m:r>
                  </m:sup>
                </m:sSup>
              </m:e>
            </m:mr>
          </m:m>
        </m:oMath>
      </m:oMathPara>
    </w:p>
    <w:p w14:paraId="3D965E2E" w14:textId="77777777" w:rsidR="00A1778A" w:rsidRDefault="00A1778A" w:rsidP="00A1778A">
      <w:pPr>
        <w:pStyle w:val="FirstParagraph"/>
      </w:pPr>
      <w:r>
        <w:t xml:space="preserve">where </w:t>
      </w:r>
      <m:oMath>
        <m:r>
          <w:rPr>
            <w:rFonts w:ascii="Cambria Math" w:hAnsi="Cambria Math"/>
          </w:rPr>
          <m:t>θ</m:t>
        </m:r>
      </m:oMath>
      <w:r>
        <w:t xml:space="preserve"> and </w:t>
      </w:r>
      <m:oMath>
        <m:sSup>
          <m:sSupPr>
            <m:ctrlPr>
              <w:rPr>
                <w:rFonts w:ascii="Cambria Math" w:hAnsi="Cambria Math"/>
              </w:rPr>
            </m:ctrlPr>
          </m:sSupPr>
          <m:e>
            <m:r>
              <w:rPr>
                <w:rFonts w:ascii="Cambria Math" w:hAnsi="Cambria Math"/>
              </w:rPr>
              <m:t>θ</m:t>
            </m:r>
          </m:e>
          <m:sup>
            <m:r>
              <w:rPr>
                <w:rFonts w:ascii="Cambria Math" w:hAnsi="Cambria Math"/>
              </w:rPr>
              <m:t>*</m:t>
            </m:r>
          </m:sup>
        </m:sSup>
      </m:oMath>
      <w:r>
        <w:t xml:space="preserve"> are both vectors of coefficients attached to the provincial dummy variables. Then, we estimate a loess regression of </w:t>
      </w:r>
      <m:oMath>
        <m:sSup>
          <m:sSupPr>
            <m:ctrlPr>
              <w:rPr>
                <w:rFonts w:ascii="Cambria Math" w:hAnsi="Cambria Math"/>
              </w:rPr>
            </m:ctrlPr>
          </m:sSupPr>
          <m:e>
            <m:r>
              <w:rPr>
                <w:rFonts w:ascii="Cambria Math" w:hAnsi="Cambria Math"/>
              </w:rPr>
              <m:t>e</m:t>
            </m:r>
          </m:e>
          <m:sup>
            <m:r>
              <w:rPr>
                <w:rFonts w:ascii="Cambria Math" w:hAnsi="Cambria Math"/>
              </w:rPr>
              <m:t>(</m:t>
            </m:r>
            <m:r>
              <m:rPr>
                <m:nor/>
              </m:rPr>
              <m:t>latent</m:t>
            </m:r>
            <m:r>
              <w:rPr>
                <w:rFonts w:ascii="Cambria Math" w:hAnsi="Cambria Math"/>
              </w:rPr>
              <m:t>)</m:t>
            </m:r>
          </m:sup>
        </m:sSup>
      </m:oMath>
      <w:r>
        <w:t xml:space="preserve"> on </w:t>
      </w:r>
      <m:oMath>
        <m:sSup>
          <m:sSupPr>
            <m:ctrlPr>
              <w:rPr>
                <w:rFonts w:ascii="Cambria Math" w:hAnsi="Cambria Math"/>
              </w:rPr>
            </m:ctrlPr>
          </m:sSupPr>
          <m:e>
            <m:r>
              <w:rPr>
                <w:rFonts w:ascii="Cambria Math" w:hAnsi="Cambria Math"/>
              </w:rPr>
              <m:t>e</m:t>
            </m:r>
          </m:e>
          <m:sup>
            <m:r>
              <w:rPr>
                <w:rFonts w:ascii="Cambria Math" w:hAnsi="Cambria Math"/>
              </w:rPr>
              <m:t>(</m:t>
            </m:r>
            <m:r>
              <m:rPr>
                <m:nor/>
              </m:rPr>
              <m:t>cons vote</m:t>
            </m:r>
            <m:r>
              <w:rPr>
                <w:rFonts w:ascii="Cambria Math" w:hAnsi="Cambria Math"/>
              </w:rPr>
              <m:t>)</m:t>
            </m:r>
          </m:sup>
        </m:sSup>
      </m:oMath>
      <w:r>
        <w:t>.</w:t>
      </w:r>
    </w:p>
    <w:p w14:paraId="4CA7F15D" w14:textId="77777777" w:rsidR="00A1778A" w:rsidRDefault="00A1778A" w:rsidP="00A1778A">
      <w:pPr>
        <w:pStyle w:val="Heading1"/>
      </w:pPr>
      <w:bookmarkStart w:id="22" w:name="perceived-and-measured-aggressiveness"/>
      <w:r>
        <w:t>Perceived and Measured Aggressiveness</w:t>
      </w:r>
      <w:bookmarkEnd w:id="22"/>
    </w:p>
    <w:p w14:paraId="61E350C7" w14:textId="77777777" w:rsidR="00A1778A" w:rsidRDefault="00A1778A" w:rsidP="00A1778A">
      <w:pPr>
        <w:pStyle w:val="FirstParagraph"/>
      </w:pPr>
      <w:r>
        <w:t>We asked CMB respondents to describe the aggressiveness of their municipality’s response to COVID-19. Interestingly, as the boxplot in figure 11 shows, these perceptions are almost completely unrelated to our measure of municipal aggressiveness.</w:t>
      </w:r>
    </w:p>
    <w:p w14:paraId="689ED3E2" w14:textId="77777777" w:rsidR="00A1778A" w:rsidRDefault="00A1778A" w:rsidP="00A1778A">
      <w:pPr>
        <w:pStyle w:val="CaptionedFigure"/>
      </w:pPr>
      <w:r>
        <w:rPr>
          <w:noProof/>
        </w:rPr>
        <w:drawing>
          <wp:inline distT="0" distB="0" distL="0" distR="0" wp14:anchorId="080367C4" wp14:editId="05B09223">
            <wp:extent cx="5334000" cy="4445000"/>
            <wp:effectExtent l="0" t="0" r="0" b="0"/>
            <wp:docPr id="11" name="Picture" descr="Figure 11: Municipal Policy Aggressiveness by COVID-19 Cases"/>
            <wp:cNvGraphicFramePr/>
            <a:graphic xmlns:a="http://schemas.openxmlformats.org/drawingml/2006/main">
              <a:graphicData uri="http://schemas.openxmlformats.org/drawingml/2006/picture">
                <pic:pic xmlns:pic="http://schemas.openxmlformats.org/drawingml/2006/picture">
                  <pic:nvPicPr>
                    <pic:cNvPr id="0" name="Picture" descr="cmbcovid_version2u_files/figure-docx/aggressiveness-1.png"/>
                    <pic:cNvPicPr>
                      <a:picLocks noChangeAspect="1" noChangeArrowheads="1"/>
                    </pic:cNvPicPr>
                  </pic:nvPicPr>
                  <pic:blipFill>
                    <a:blip r:embed="rId11"/>
                    <a:stretch>
                      <a:fillRect/>
                    </a:stretch>
                  </pic:blipFill>
                  <pic:spPr bwMode="auto">
                    <a:xfrm>
                      <a:off x="0" y="0"/>
                      <a:ext cx="5334000" cy="4445000"/>
                    </a:xfrm>
                    <a:prstGeom prst="rect">
                      <a:avLst/>
                    </a:prstGeom>
                    <a:noFill/>
                    <a:ln w="9525">
                      <a:noFill/>
                      <a:headEnd/>
                      <a:tailEnd/>
                    </a:ln>
                  </pic:spPr>
                </pic:pic>
              </a:graphicData>
            </a:graphic>
          </wp:inline>
        </w:drawing>
      </w:r>
    </w:p>
    <w:p w14:paraId="30336D07" w14:textId="77777777" w:rsidR="00A1778A" w:rsidRDefault="00A1778A" w:rsidP="00A1778A">
      <w:pPr>
        <w:pStyle w:val="ImageCaption"/>
      </w:pPr>
      <w:r>
        <w:t>Figure 11: Municipal Policy Aggressiveness by COVID-19 Cases</w:t>
      </w:r>
    </w:p>
    <w:p w14:paraId="3FEA7CE9" w14:textId="77777777" w:rsidR="00A1778A" w:rsidRDefault="00A1778A" w:rsidP="00A1778A">
      <w:pPr>
        <w:pStyle w:val="BodyText"/>
      </w:pPr>
      <w:r>
        <w:lastRenderedPageBreak/>
        <w:t>Why do we see this absence of any relationship between measured and perceived aggressiveness? We cannot fully explore the answer here, but the answer does not appear to be that we are missing some essential indicator from our measure, since all existing evidence suggests that other indicators, such as social distancing enforcement measures, are strongly correlated with the indicators we use here.</w:t>
      </w:r>
      <w:r>
        <w:rPr>
          <w:rStyle w:val="FootnoteReference"/>
        </w:rPr>
        <w:footnoteReference w:id="1"/>
      </w:r>
      <w:r>
        <w:t xml:space="preserve"> Nor do we see clear patterns of perceived aggressiveness across provinces, case totals, or municipal population size. Perceived aggressiveness might therefore be more closely related to a respondent’s local environment and comparisons with </w:t>
      </w:r>
      <w:proofErr w:type="spellStart"/>
      <w:r>
        <w:t>neighbouring</w:t>
      </w:r>
      <w:proofErr w:type="spellEnd"/>
      <w:r>
        <w:t xml:space="preserve"> municipalities or regions.</w:t>
      </w:r>
    </w:p>
    <w:p w14:paraId="39C9FF1D" w14:textId="77777777" w:rsidR="009C1105" w:rsidRDefault="00B02E93"/>
    <w:sectPr w:rsidR="009C11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39BD" w14:textId="77777777" w:rsidR="00B02E93" w:rsidRDefault="00B02E93" w:rsidP="00A1778A">
      <w:pPr>
        <w:spacing w:after="0"/>
      </w:pPr>
      <w:r>
        <w:separator/>
      </w:r>
    </w:p>
  </w:endnote>
  <w:endnote w:type="continuationSeparator" w:id="0">
    <w:p w14:paraId="5DA4FF71" w14:textId="77777777" w:rsidR="00B02E93" w:rsidRDefault="00B02E93" w:rsidP="00A17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B7E97" w14:textId="77777777" w:rsidR="00B02E93" w:rsidRDefault="00B02E93" w:rsidP="00A1778A">
      <w:pPr>
        <w:spacing w:after="0"/>
      </w:pPr>
      <w:r>
        <w:separator/>
      </w:r>
    </w:p>
  </w:footnote>
  <w:footnote w:type="continuationSeparator" w:id="0">
    <w:p w14:paraId="7817C5C8" w14:textId="77777777" w:rsidR="00B02E93" w:rsidRDefault="00B02E93" w:rsidP="00A1778A">
      <w:pPr>
        <w:spacing w:after="0"/>
      </w:pPr>
      <w:r>
        <w:continuationSeparator/>
      </w:r>
    </w:p>
  </w:footnote>
  <w:footnote w:id="1">
    <w:p w14:paraId="61E30A93" w14:textId="77777777" w:rsidR="00A1778A" w:rsidRDefault="00A1778A" w:rsidP="00A1778A">
      <w:pPr>
        <w:pStyle w:val="FootnoteText"/>
      </w:pPr>
      <w:r>
        <w:rPr>
          <w:rStyle w:val="FootnoteReference"/>
        </w:rPr>
        <w:footnoteRef/>
      </w:r>
      <w:r>
        <w:t xml:space="preserve"> </w:t>
      </w:r>
      <w:hyperlink r:id="rId1">
        <w:r>
          <w:rPr>
            <w:rStyle w:val="Hyperlink"/>
          </w:rPr>
          <w:t>https://citywatchcanada.ca/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4FB445B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8A"/>
    <w:rsid w:val="00623099"/>
    <w:rsid w:val="008D383E"/>
    <w:rsid w:val="00A1778A"/>
    <w:rsid w:val="00B02E93"/>
    <w:rsid w:val="00B76D54"/>
    <w:rsid w:val="00E37E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CB2AC2"/>
  <w15:chartTrackingRefBased/>
  <w15:docId w15:val="{D97AD0B5-C433-5D45-9EC2-0A8E4409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8A"/>
    <w:pPr>
      <w:spacing w:after="200"/>
    </w:pPr>
    <w:rPr>
      <w:lang w:val="en-US"/>
    </w:rPr>
  </w:style>
  <w:style w:type="paragraph" w:styleId="Heading1">
    <w:name w:val="heading 1"/>
    <w:basedOn w:val="Normal"/>
    <w:next w:val="BodyText"/>
    <w:link w:val="Heading1Char"/>
    <w:uiPriority w:val="9"/>
    <w:qFormat/>
    <w:rsid w:val="00A1778A"/>
    <w:pPr>
      <w:keepNext/>
      <w:keepLines/>
      <w:spacing w:before="480" w:after="0"/>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A1778A"/>
    <w:pPr>
      <w:keepNext/>
      <w:keepLines/>
      <w:spacing w:before="200" w:after="0"/>
      <w:outlineLvl w:val="1"/>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A1778A"/>
    <w:pPr>
      <w:keepNext/>
      <w:keepLines/>
      <w:spacing w:before="200" w:after="0"/>
      <w:outlineLvl w:val="3"/>
    </w:pPr>
    <w:rPr>
      <w:rFonts w:asciiTheme="majorHAnsi" w:eastAsiaTheme="majorEastAsia" w:hAnsiTheme="majorHAnsi" w:cstheme="majorBidi"/>
      <w:bCs/>
      <w: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8A"/>
    <w:rPr>
      <w:rFonts w:asciiTheme="majorHAnsi" w:eastAsiaTheme="majorEastAsia" w:hAnsiTheme="majorHAnsi" w:cstheme="majorBidi"/>
      <w:b/>
      <w:bCs/>
      <w:color w:val="4472C4" w:themeColor="accent1"/>
      <w:sz w:val="32"/>
      <w:szCs w:val="32"/>
      <w:lang w:val="en-US"/>
    </w:rPr>
  </w:style>
  <w:style w:type="character" w:customStyle="1" w:styleId="Heading2Char">
    <w:name w:val="Heading 2 Char"/>
    <w:basedOn w:val="DefaultParagraphFont"/>
    <w:link w:val="Heading2"/>
    <w:uiPriority w:val="9"/>
    <w:rsid w:val="00A1778A"/>
    <w:rPr>
      <w:rFonts w:asciiTheme="majorHAnsi" w:eastAsiaTheme="majorEastAsia" w:hAnsiTheme="majorHAnsi" w:cstheme="majorBidi"/>
      <w:b/>
      <w:bCs/>
      <w:color w:val="4472C4" w:themeColor="accent1"/>
      <w:sz w:val="28"/>
      <w:szCs w:val="28"/>
      <w:lang w:val="en-US"/>
    </w:rPr>
  </w:style>
  <w:style w:type="character" w:customStyle="1" w:styleId="Heading4Char">
    <w:name w:val="Heading 4 Char"/>
    <w:basedOn w:val="DefaultParagraphFont"/>
    <w:link w:val="Heading4"/>
    <w:uiPriority w:val="9"/>
    <w:rsid w:val="00A1778A"/>
    <w:rPr>
      <w:rFonts w:asciiTheme="majorHAnsi" w:eastAsiaTheme="majorEastAsia" w:hAnsiTheme="majorHAnsi" w:cstheme="majorBidi"/>
      <w:bCs/>
      <w:i/>
      <w:color w:val="4472C4" w:themeColor="accent1"/>
      <w:lang w:val="en-US"/>
    </w:rPr>
  </w:style>
  <w:style w:type="paragraph" w:styleId="BodyText">
    <w:name w:val="Body Text"/>
    <w:basedOn w:val="Normal"/>
    <w:link w:val="BodyTextChar"/>
    <w:qFormat/>
    <w:rsid w:val="00A1778A"/>
    <w:pPr>
      <w:spacing w:before="180" w:after="180"/>
    </w:pPr>
  </w:style>
  <w:style w:type="character" w:customStyle="1" w:styleId="BodyTextChar">
    <w:name w:val="Body Text Char"/>
    <w:basedOn w:val="DefaultParagraphFont"/>
    <w:link w:val="BodyText"/>
    <w:rsid w:val="00A1778A"/>
    <w:rPr>
      <w:lang w:val="en-US"/>
    </w:rPr>
  </w:style>
  <w:style w:type="paragraph" w:customStyle="1" w:styleId="FirstParagraph">
    <w:name w:val="First Paragraph"/>
    <w:basedOn w:val="BodyText"/>
    <w:next w:val="BodyText"/>
    <w:qFormat/>
    <w:rsid w:val="00A1778A"/>
  </w:style>
  <w:style w:type="paragraph" w:customStyle="1" w:styleId="Compact">
    <w:name w:val="Compact"/>
    <w:basedOn w:val="BodyText"/>
    <w:qFormat/>
    <w:rsid w:val="00A1778A"/>
    <w:pPr>
      <w:spacing w:before="36" w:after="36"/>
    </w:pPr>
  </w:style>
  <w:style w:type="paragraph" w:styleId="FootnoteText">
    <w:name w:val="footnote text"/>
    <w:basedOn w:val="Normal"/>
    <w:link w:val="FootnoteTextChar"/>
    <w:uiPriority w:val="9"/>
    <w:unhideWhenUsed/>
    <w:qFormat/>
    <w:rsid w:val="00A1778A"/>
  </w:style>
  <w:style w:type="character" w:customStyle="1" w:styleId="FootnoteTextChar">
    <w:name w:val="Footnote Text Char"/>
    <w:basedOn w:val="DefaultParagraphFont"/>
    <w:link w:val="FootnoteText"/>
    <w:uiPriority w:val="9"/>
    <w:rsid w:val="00A1778A"/>
    <w:rPr>
      <w:lang w:val="en-US"/>
    </w:rPr>
  </w:style>
  <w:style w:type="table" w:customStyle="1" w:styleId="Table">
    <w:name w:val="Table"/>
    <w:semiHidden/>
    <w:unhideWhenUsed/>
    <w:qFormat/>
    <w:rsid w:val="00A1778A"/>
    <w:pPr>
      <w:spacing w:after="200"/>
    </w:pPr>
    <w:rPr>
      <w:lang w:val="en-US"/>
    </w:rPr>
    <w:tblPr>
      <w:tblInd w:w="0" w:type="dxa"/>
      <w:tblCellMar>
        <w:top w:w="0" w:type="dxa"/>
        <w:left w:w="108" w:type="dxa"/>
        <w:bottom w:w="0" w:type="dxa"/>
        <w:right w:w="108" w:type="dxa"/>
      </w:tblCellMar>
    </w:tblPr>
  </w:style>
  <w:style w:type="paragraph" w:customStyle="1" w:styleId="ImageCaption">
    <w:name w:val="Image Caption"/>
    <w:basedOn w:val="Caption"/>
    <w:rsid w:val="00A1778A"/>
    <w:pPr>
      <w:spacing w:after="120"/>
    </w:pPr>
    <w:rPr>
      <w:iCs w:val="0"/>
      <w:color w:val="auto"/>
      <w:sz w:val="24"/>
      <w:szCs w:val="24"/>
    </w:rPr>
  </w:style>
  <w:style w:type="paragraph" w:customStyle="1" w:styleId="CaptionedFigure">
    <w:name w:val="Captioned Figure"/>
    <w:basedOn w:val="Normal"/>
    <w:rsid w:val="00A1778A"/>
    <w:pPr>
      <w:keepNext/>
    </w:pPr>
  </w:style>
  <w:style w:type="character" w:customStyle="1" w:styleId="VerbatimChar">
    <w:name w:val="Verbatim Char"/>
    <w:basedOn w:val="DefaultParagraphFont"/>
    <w:link w:val="SourceCode"/>
    <w:rsid w:val="00A1778A"/>
    <w:rPr>
      <w:rFonts w:ascii="Consolas" w:hAnsi="Consolas"/>
      <w:sz w:val="22"/>
      <w:shd w:val="clear" w:color="auto" w:fill="F8F8F8"/>
    </w:rPr>
  </w:style>
  <w:style w:type="character" w:styleId="FootnoteReference">
    <w:name w:val="footnote reference"/>
    <w:basedOn w:val="DefaultParagraphFont"/>
    <w:rsid w:val="00A1778A"/>
    <w:rPr>
      <w:vertAlign w:val="superscript"/>
    </w:rPr>
  </w:style>
  <w:style w:type="character" w:styleId="Hyperlink">
    <w:name w:val="Hyperlink"/>
    <w:basedOn w:val="DefaultParagraphFont"/>
    <w:rsid w:val="00A1778A"/>
    <w:rPr>
      <w:color w:val="4472C4" w:themeColor="accent1"/>
    </w:rPr>
  </w:style>
  <w:style w:type="paragraph" w:customStyle="1" w:styleId="SourceCode">
    <w:name w:val="Source Code"/>
    <w:basedOn w:val="Normal"/>
    <w:link w:val="VerbatimChar"/>
    <w:rsid w:val="00A1778A"/>
    <w:pPr>
      <w:shd w:val="clear" w:color="auto" w:fill="F8F8F8"/>
      <w:wordWrap w:val="0"/>
    </w:pPr>
    <w:rPr>
      <w:rFonts w:ascii="Consolas" w:hAnsi="Consolas"/>
      <w:sz w:val="22"/>
      <w:lang w:val="en-CA"/>
    </w:rPr>
  </w:style>
  <w:style w:type="paragraph" w:styleId="Caption">
    <w:name w:val="caption"/>
    <w:basedOn w:val="Normal"/>
    <w:next w:val="Normal"/>
    <w:uiPriority w:val="35"/>
    <w:semiHidden/>
    <w:unhideWhenUsed/>
    <w:qFormat/>
    <w:rsid w:val="00A1778A"/>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683/SP2/KIX0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itywatch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2701</Words>
  <Characters>15184</Characters>
  <Application>Microsoft Office Word</Application>
  <DocSecurity>0</DocSecurity>
  <Lines>323</Lines>
  <Paragraphs>170</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Pando</dc:creator>
  <cp:keywords/>
  <dc:description/>
  <cp:lastModifiedBy>Elizabeth Pando</cp:lastModifiedBy>
  <cp:revision>1</cp:revision>
  <dcterms:created xsi:type="dcterms:W3CDTF">2020-05-04T22:55:00Z</dcterms:created>
  <dcterms:modified xsi:type="dcterms:W3CDTF">2020-05-04T22:57:00Z</dcterms:modified>
</cp:coreProperties>
</file>