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88" w:rsidRPr="00882961" w:rsidRDefault="00E60288" w:rsidP="00E60288">
      <w:pPr>
        <w:pStyle w:val="Corps"/>
        <w:spacing w:after="120" w:line="360" w:lineRule="auto"/>
        <w:ind w:left="567" w:hanging="567"/>
        <w:jc w:val="both"/>
        <w:outlineLvl w:val="0"/>
        <w:rPr>
          <w:rFonts w:asciiTheme="majorHAnsi" w:hAnsiTheme="majorHAnsi"/>
          <w:b/>
          <w:sz w:val="28"/>
          <w:lang w:val="en-CA"/>
        </w:rPr>
      </w:pPr>
      <w:r w:rsidRPr="00882961">
        <w:rPr>
          <w:rFonts w:asciiTheme="majorHAnsi" w:hAnsiTheme="majorHAnsi"/>
          <w:b/>
          <w:sz w:val="28"/>
          <w:lang w:val="en-CA"/>
        </w:rPr>
        <w:t>Appendix I</w:t>
      </w:r>
      <w:r>
        <w:rPr>
          <w:rFonts w:asciiTheme="majorHAnsi" w:hAnsiTheme="majorHAnsi"/>
          <w:b/>
          <w:sz w:val="28"/>
          <w:lang w:val="en-CA"/>
        </w:rPr>
        <w:t>: Figures excluding USSR federated entities</w:t>
      </w:r>
    </w:p>
    <w:p w:rsidR="00E60288" w:rsidRPr="006A6A49" w:rsidRDefault="00E60288" w:rsidP="00E60288">
      <w:pPr>
        <w:spacing w:after="120"/>
        <w:jc w:val="both"/>
        <w:rPr>
          <w:rFonts w:asciiTheme="majorHAnsi" w:hAnsiTheme="majorHAnsi" w:cs="Calibri"/>
          <w:b/>
          <w:color w:val="000000" w:themeColor="text1"/>
          <w:lang w:val="en-CA"/>
        </w:rPr>
      </w:pP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Figure 1B. Number of IEAs </w:t>
      </w:r>
      <w:r w:rsidR="00996BCC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that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>includ</w:t>
      </w:r>
      <w:r w:rsidR="00996BCC">
        <w:rPr>
          <w:rFonts w:asciiTheme="majorHAnsi" w:eastAsia="Arial" w:hAnsiTheme="majorHAnsi" w:cs="Calibri"/>
          <w:b/>
          <w:color w:val="000000" w:themeColor="text1"/>
          <w:lang w:val="en-CA"/>
        </w:rPr>
        <w:t>e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 federated entities among </w:t>
      </w:r>
      <w:r w:rsidR="00996BCC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their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signatories and number of IEAs </w:t>
      </w:r>
      <w:r w:rsidR="00996BCC">
        <w:rPr>
          <w:rFonts w:asciiTheme="majorHAnsi" w:eastAsia="Arial" w:hAnsiTheme="majorHAnsi" w:cs="Calibri"/>
          <w:b/>
          <w:color w:val="000000" w:themeColor="text1"/>
          <w:lang w:val="en-CA"/>
        </w:rPr>
        <w:t>with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 at least one of the 3 types of provisions relat</w:t>
      </w:r>
      <w:r w:rsidR="00116C1D">
        <w:rPr>
          <w:rFonts w:asciiTheme="majorHAnsi" w:eastAsia="Arial" w:hAnsiTheme="majorHAnsi" w:cs="Calibri"/>
          <w:b/>
          <w:color w:val="000000" w:themeColor="text1"/>
          <w:lang w:val="en-CA"/>
        </w:rPr>
        <w:t>ing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 to federated entities. 1945-2015 (Moving Average ± 2 Years)</w:t>
      </w:r>
      <w:r w:rsidRPr="006A6A49">
        <w:rPr>
          <w:rFonts w:asciiTheme="majorHAnsi" w:hAnsiTheme="majorHAnsi" w:cs="Calibri"/>
          <w:b/>
          <w:color w:val="000000" w:themeColor="text1"/>
          <w:lang w:val="en-CA"/>
        </w:rPr>
        <w:t xml:space="preserve"> (Excluding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>IEAs signed by USSR federated entities)</w:t>
      </w:r>
    </w:p>
    <w:p w:rsidR="00E60288" w:rsidRPr="00882961" w:rsidRDefault="00E60288" w:rsidP="00E60288">
      <w:pPr>
        <w:spacing w:after="120" w:line="360" w:lineRule="auto"/>
        <w:jc w:val="both"/>
        <w:rPr>
          <w:rFonts w:ascii="Calibri" w:hAnsi="Calibri" w:cs="Calibri"/>
          <w:lang w:val="en-CA"/>
        </w:rPr>
      </w:pPr>
      <w:r w:rsidRPr="00882961">
        <w:rPr>
          <w:noProof/>
          <w:lang w:val="en-CA"/>
        </w:rPr>
        <w:drawing>
          <wp:inline distT="0" distB="0" distL="0" distR="0" wp14:anchorId="0B2DF1C9" wp14:editId="7CA15C32">
            <wp:extent cx="5486400" cy="314515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88" w:rsidRPr="00882961" w:rsidRDefault="00E60288" w:rsidP="00E60288">
      <w:pPr>
        <w:spacing w:after="120" w:line="360" w:lineRule="auto"/>
        <w:jc w:val="both"/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Figure 1B excludes all a</w:t>
      </w:r>
      <w:r w:rsidRPr="00882961">
        <w:rPr>
          <w:rFonts w:ascii="Calibri" w:hAnsi="Calibri" w:cs="Calibri"/>
          <w:lang w:val="en-CA"/>
        </w:rPr>
        <w:t xml:space="preserve">greements signed by </w:t>
      </w:r>
      <w:r w:rsidR="003C13B8">
        <w:rPr>
          <w:rFonts w:ascii="Calibri" w:hAnsi="Calibri" w:cs="Calibri"/>
          <w:lang w:val="en-CA"/>
        </w:rPr>
        <w:t xml:space="preserve">a </w:t>
      </w:r>
      <w:r w:rsidR="003C13B8" w:rsidRPr="00882961">
        <w:rPr>
          <w:rFonts w:ascii="Calibri" w:hAnsi="Calibri" w:cs="Calibri"/>
          <w:lang w:val="en-CA"/>
        </w:rPr>
        <w:t>USSR</w:t>
      </w:r>
      <w:r w:rsidRPr="00882961">
        <w:rPr>
          <w:rFonts w:ascii="Calibri" w:hAnsi="Calibri" w:cs="Calibri"/>
          <w:lang w:val="en-CA"/>
        </w:rPr>
        <w:t xml:space="preserve"> federated entit</w:t>
      </w:r>
      <w:r w:rsidR="003C13B8">
        <w:rPr>
          <w:rFonts w:ascii="Calibri" w:hAnsi="Calibri" w:cs="Calibri"/>
          <w:lang w:val="en-CA"/>
        </w:rPr>
        <w:t>y</w:t>
      </w:r>
      <w:r w:rsidRPr="00882961">
        <w:rPr>
          <w:rFonts w:ascii="Calibri" w:hAnsi="Calibri" w:cs="Calibri"/>
          <w:lang w:val="en-CA"/>
        </w:rPr>
        <w:t xml:space="preserve">. However, </w:t>
      </w:r>
      <w:r w:rsidR="00996BCC">
        <w:rPr>
          <w:rFonts w:ascii="Calibri" w:hAnsi="Calibri" w:cs="Calibri"/>
          <w:lang w:val="en-CA"/>
        </w:rPr>
        <w:t xml:space="preserve">all but one of </w:t>
      </w:r>
      <w:r w:rsidRPr="00882961">
        <w:rPr>
          <w:rFonts w:ascii="Calibri" w:hAnsi="Calibri" w:cs="Calibri"/>
          <w:lang w:val="en-CA"/>
        </w:rPr>
        <w:t>the</w:t>
      </w:r>
      <w:r>
        <w:rPr>
          <w:rFonts w:ascii="Calibri" w:hAnsi="Calibri" w:cs="Calibri"/>
          <w:lang w:val="en-CA"/>
        </w:rPr>
        <w:t>se agreements</w:t>
      </w:r>
      <w:r w:rsidRPr="00882961">
        <w:rPr>
          <w:rFonts w:ascii="Calibri" w:hAnsi="Calibri" w:cs="Calibri"/>
          <w:lang w:val="en-CA"/>
        </w:rPr>
        <w:t xml:space="preserve"> d</w:t>
      </w:r>
      <w:r w:rsidR="00996BCC">
        <w:rPr>
          <w:rFonts w:ascii="Calibri" w:hAnsi="Calibri" w:cs="Calibri"/>
          <w:lang w:val="en-CA"/>
        </w:rPr>
        <w:t>id</w:t>
      </w:r>
      <w:r w:rsidRPr="00882961">
        <w:rPr>
          <w:rFonts w:ascii="Calibri" w:hAnsi="Calibri" w:cs="Calibri"/>
          <w:lang w:val="en-CA"/>
        </w:rPr>
        <w:t xml:space="preserve"> not include provision</w:t>
      </w:r>
      <w:r w:rsidR="003C13B8">
        <w:rPr>
          <w:rFonts w:ascii="Calibri" w:hAnsi="Calibri" w:cs="Calibri"/>
          <w:lang w:val="en-CA"/>
        </w:rPr>
        <w:t>s</w:t>
      </w:r>
      <w:r w:rsidRPr="00882961">
        <w:rPr>
          <w:rFonts w:ascii="Calibri" w:hAnsi="Calibri" w:cs="Calibri"/>
          <w:lang w:val="en-CA"/>
        </w:rPr>
        <w:t xml:space="preserve"> from types 1 to 3. This explains why the black line in Figure 1</w:t>
      </w:r>
      <w:r>
        <w:rPr>
          <w:rFonts w:ascii="Calibri" w:hAnsi="Calibri" w:cs="Calibri"/>
          <w:lang w:val="en-CA"/>
        </w:rPr>
        <w:t>B</w:t>
      </w:r>
      <w:r w:rsidRPr="00882961">
        <w:rPr>
          <w:rFonts w:ascii="Calibri" w:hAnsi="Calibri" w:cs="Calibri"/>
          <w:lang w:val="en-CA"/>
        </w:rPr>
        <w:t xml:space="preserve"> is similar to the one in Figure 1. </w:t>
      </w:r>
      <w:r w:rsidR="00116C1D">
        <w:rPr>
          <w:rFonts w:ascii="Calibri" w:hAnsi="Calibri" w:cs="Calibri"/>
          <w:lang w:val="en-CA"/>
        </w:rPr>
        <w:t>F</w:t>
      </w:r>
      <w:r>
        <w:rPr>
          <w:rFonts w:ascii="Calibri" w:hAnsi="Calibri" w:cs="Calibri"/>
          <w:lang w:val="en-CA"/>
        </w:rPr>
        <w:t xml:space="preserve">igure </w:t>
      </w:r>
      <w:r w:rsidR="00116C1D">
        <w:rPr>
          <w:rFonts w:ascii="Calibri" w:hAnsi="Calibri" w:cs="Calibri"/>
          <w:lang w:val="en-CA"/>
        </w:rPr>
        <w:t xml:space="preserve">1B </w:t>
      </w:r>
      <w:r>
        <w:rPr>
          <w:rFonts w:ascii="Calibri" w:hAnsi="Calibri" w:cs="Calibri"/>
          <w:lang w:val="en-CA"/>
        </w:rPr>
        <w:t>suggests</w:t>
      </w:r>
      <w:r w:rsidRPr="00882961">
        <w:rPr>
          <w:rFonts w:ascii="Calibri" w:hAnsi="Calibri" w:cs="Calibri"/>
          <w:lang w:val="en-CA"/>
        </w:rPr>
        <w:t xml:space="preserve"> that </w:t>
      </w:r>
      <w:r w:rsidR="003C13B8">
        <w:rPr>
          <w:rFonts w:ascii="Calibri" w:hAnsi="Calibri" w:cs="Calibri"/>
          <w:lang w:val="en-CA"/>
        </w:rPr>
        <w:t xml:space="preserve">treaty </w:t>
      </w:r>
      <w:r w:rsidRPr="00882961">
        <w:rPr>
          <w:rFonts w:ascii="Calibri" w:hAnsi="Calibri" w:cs="Calibri"/>
          <w:lang w:val="en-CA"/>
        </w:rPr>
        <w:t xml:space="preserve">provisions </w:t>
      </w:r>
      <w:r w:rsidR="003C13B8">
        <w:rPr>
          <w:rFonts w:ascii="Calibri" w:hAnsi="Calibri" w:cs="Calibri"/>
          <w:lang w:val="en-CA"/>
        </w:rPr>
        <w:t>relating to</w:t>
      </w:r>
      <w:r w:rsidRPr="00882961">
        <w:rPr>
          <w:rFonts w:ascii="Calibri" w:hAnsi="Calibri" w:cs="Calibri"/>
          <w:lang w:val="en-CA"/>
        </w:rPr>
        <w:t xml:space="preserve"> federated entities are </w:t>
      </w:r>
      <w:r w:rsidR="00E47146">
        <w:rPr>
          <w:rFonts w:ascii="Calibri" w:hAnsi="Calibri" w:cs="Calibri"/>
          <w:lang w:val="en-CA"/>
        </w:rPr>
        <w:t xml:space="preserve">neither </w:t>
      </w:r>
      <w:r>
        <w:rPr>
          <w:rFonts w:ascii="Calibri" w:hAnsi="Calibri" w:cs="Calibri"/>
          <w:lang w:val="en-CA"/>
        </w:rPr>
        <w:t xml:space="preserve">a </w:t>
      </w:r>
      <w:r w:rsidRPr="00882961">
        <w:rPr>
          <w:rFonts w:ascii="Calibri" w:hAnsi="Calibri" w:cs="Calibri"/>
          <w:lang w:val="en-CA"/>
        </w:rPr>
        <w:t>recent</w:t>
      </w:r>
      <w:r w:rsidR="00E47146">
        <w:rPr>
          <w:rFonts w:ascii="Calibri" w:hAnsi="Calibri" w:cs="Calibri"/>
          <w:lang w:val="en-CA"/>
        </w:rPr>
        <w:t>,</w:t>
      </w:r>
      <w:r w:rsidRPr="00882961">
        <w:rPr>
          <w:rFonts w:ascii="Calibri" w:hAnsi="Calibri" w:cs="Calibri"/>
          <w:lang w:val="en-CA"/>
        </w:rPr>
        <w:t xml:space="preserve"> </w:t>
      </w:r>
      <w:r w:rsidR="00E47146">
        <w:rPr>
          <w:rFonts w:ascii="Calibri" w:hAnsi="Calibri" w:cs="Calibri"/>
          <w:lang w:val="en-CA"/>
        </w:rPr>
        <w:t>n</w:t>
      </w:r>
      <w:r w:rsidR="003C13B8">
        <w:rPr>
          <w:rFonts w:ascii="Calibri" w:hAnsi="Calibri" w:cs="Calibri"/>
          <w:lang w:val="en-CA"/>
        </w:rPr>
        <w:t xml:space="preserve">or an increasingly </w:t>
      </w:r>
      <w:r w:rsidR="00116C1D">
        <w:rPr>
          <w:rFonts w:ascii="Calibri" w:hAnsi="Calibri" w:cs="Calibri"/>
          <w:lang w:val="en-CA"/>
        </w:rPr>
        <w:t>common</w:t>
      </w:r>
      <w:r w:rsidR="003C13B8">
        <w:rPr>
          <w:rFonts w:ascii="Calibri" w:hAnsi="Calibri" w:cs="Calibri"/>
          <w:lang w:val="en-CA"/>
        </w:rPr>
        <w:t xml:space="preserve"> </w:t>
      </w:r>
      <w:r w:rsidR="003C13B8">
        <w:rPr>
          <w:rFonts w:ascii="Calibri" w:hAnsi="Calibri" w:cs="Calibri"/>
          <w:lang w:val="en-CA"/>
        </w:rPr>
        <w:t>phenomenon</w:t>
      </w:r>
      <w:r>
        <w:rPr>
          <w:rFonts w:ascii="Calibri" w:hAnsi="Calibri" w:cs="Calibri"/>
          <w:lang w:val="en-CA"/>
        </w:rPr>
        <w:t xml:space="preserve">. </w:t>
      </w:r>
      <w:r w:rsidR="003C13B8">
        <w:rPr>
          <w:rFonts w:ascii="Calibri" w:hAnsi="Calibri" w:cs="Calibri"/>
          <w:lang w:val="en-CA"/>
        </w:rPr>
        <w:t>The figure</w:t>
      </w:r>
      <w:r w:rsidRPr="00882961">
        <w:rPr>
          <w:rFonts w:ascii="Calibri" w:hAnsi="Calibri" w:cs="Calibri"/>
          <w:lang w:val="en-CA"/>
        </w:rPr>
        <w:t xml:space="preserve"> does show an increase in the number of signatories in the early 1990s.</w:t>
      </w:r>
    </w:p>
    <w:p w:rsidR="00E60288" w:rsidRPr="006A6A49" w:rsidRDefault="00E60288" w:rsidP="00E60288">
      <w:pPr>
        <w:jc w:val="both"/>
        <w:rPr>
          <w:rFonts w:asciiTheme="majorHAnsi" w:hAnsiTheme="majorHAnsi" w:cs="Calibri"/>
          <w:b/>
          <w:color w:val="000000" w:themeColor="text1"/>
          <w:lang w:val="en-CA"/>
        </w:rPr>
      </w:pPr>
      <w:r w:rsidRPr="006A6A49">
        <w:rPr>
          <w:rFonts w:asciiTheme="majorHAnsi" w:hAnsiTheme="majorHAnsi" w:cs="Calibri"/>
          <w:b/>
          <w:color w:val="000000" w:themeColor="text1"/>
          <w:lang w:val="en-CA"/>
        </w:rPr>
        <w:t xml:space="preserve">Figure 2B.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Number of IEAs </w:t>
      </w:r>
      <w:r w:rsidR="003C13B8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that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>includ</w:t>
      </w:r>
      <w:r w:rsidR="003C13B8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e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federated entities among </w:t>
      </w:r>
      <w:r w:rsidR="00E47146">
        <w:rPr>
          <w:rFonts w:asciiTheme="majorHAnsi" w:eastAsia="Arial" w:hAnsiTheme="majorHAnsi" w:cs="Calibri"/>
          <w:b/>
          <w:color w:val="000000" w:themeColor="text1"/>
          <w:lang w:val="en-CA"/>
        </w:rPr>
        <w:t>their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 signatories or at least one of the 3 types of provisions relat</w:t>
      </w:r>
      <w:r w:rsidR="00116C1D">
        <w:rPr>
          <w:rFonts w:asciiTheme="majorHAnsi" w:eastAsia="Arial" w:hAnsiTheme="majorHAnsi" w:cs="Calibri"/>
          <w:b/>
          <w:color w:val="000000" w:themeColor="text1"/>
          <w:lang w:val="en-CA"/>
        </w:rPr>
        <w:t>ing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 xml:space="preserve"> to federated entities, divided by the total number of environmental agreements for that year (moving average ± 2 years) (</w:t>
      </w:r>
      <w:r w:rsidRPr="006A6A49">
        <w:rPr>
          <w:rFonts w:asciiTheme="majorHAnsi" w:hAnsiTheme="majorHAnsi" w:cs="Calibri"/>
          <w:b/>
          <w:color w:val="000000" w:themeColor="text1"/>
          <w:lang w:val="en-CA"/>
        </w:rPr>
        <w:t xml:space="preserve">Excluding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>IEAs signed by USSR federated entities</w:t>
      </w:r>
      <w:r w:rsidRPr="006A6A49">
        <w:rPr>
          <w:rFonts w:asciiTheme="majorHAnsi" w:hAnsiTheme="majorHAnsi" w:cs="Calibri"/>
          <w:b/>
          <w:color w:val="000000" w:themeColor="text1"/>
          <w:lang w:val="en-CA"/>
        </w:rPr>
        <w:t>)</w:t>
      </w:r>
    </w:p>
    <w:p w:rsidR="00E60288" w:rsidRPr="00882961" w:rsidRDefault="00E60288" w:rsidP="00E60288">
      <w:pPr>
        <w:spacing w:after="120" w:line="360" w:lineRule="auto"/>
        <w:jc w:val="both"/>
        <w:rPr>
          <w:rFonts w:ascii="Calibri" w:hAnsi="Calibri" w:cs="Calibri"/>
          <w:lang w:val="en-CA"/>
        </w:rPr>
      </w:pPr>
      <w:r w:rsidRPr="00882961">
        <w:rPr>
          <w:noProof/>
          <w:lang w:val="en-CA"/>
        </w:rPr>
        <w:lastRenderedPageBreak/>
        <w:drawing>
          <wp:inline distT="0" distB="0" distL="0" distR="0" wp14:anchorId="555AE27F" wp14:editId="1AB0178D">
            <wp:extent cx="5486400" cy="3215005"/>
            <wp:effectExtent l="0" t="0" r="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88" w:rsidRPr="00882961" w:rsidRDefault="00E60288" w:rsidP="00E60288">
      <w:pPr>
        <w:spacing w:after="120" w:line="360" w:lineRule="auto"/>
        <w:jc w:val="both"/>
        <w:rPr>
          <w:rFonts w:ascii="Calibri" w:hAnsi="Calibri" w:cs="Calibri"/>
          <w:color w:val="000000" w:themeColor="text1"/>
          <w:lang w:val="en-CA"/>
        </w:rPr>
      </w:pPr>
      <w:r>
        <w:rPr>
          <w:rFonts w:ascii="Calibri" w:hAnsi="Calibri" w:cs="Calibri"/>
          <w:color w:val="000000" w:themeColor="text1"/>
          <w:lang w:val="en-CA"/>
        </w:rPr>
        <w:t>Figure 2B</w:t>
      </w:r>
      <w:r w:rsidR="003C13B8">
        <w:rPr>
          <w:rFonts w:ascii="Calibri" w:hAnsi="Calibri" w:cs="Calibri"/>
          <w:color w:val="000000" w:themeColor="text1"/>
          <w:lang w:val="en-CA"/>
        </w:rPr>
        <w:t xml:space="preserve"> </w:t>
      </w:r>
      <w:r w:rsidRPr="00882961">
        <w:rPr>
          <w:rFonts w:ascii="Calibri" w:hAnsi="Calibri" w:cs="Calibri"/>
          <w:color w:val="000000" w:themeColor="text1"/>
          <w:lang w:val="en-CA"/>
        </w:rPr>
        <w:t>exclud</w:t>
      </w:r>
      <w:r>
        <w:rPr>
          <w:rFonts w:ascii="Calibri" w:hAnsi="Calibri" w:cs="Calibri"/>
          <w:color w:val="000000" w:themeColor="text1"/>
          <w:lang w:val="en-CA"/>
        </w:rPr>
        <w:t>es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 USSR federated entities as signatories</w:t>
      </w:r>
      <w:r w:rsidR="003C13B8">
        <w:rPr>
          <w:rFonts w:ascii="Calibri" w:hAnsi="Calibri" w:cs="Calibri"/>
          <w:color w:val="000000" w:themeColor="text1"/>
          <w:lang w:val="en-CA"/>
        </w:rPr>
        <w:t xml:space="preserve">. It 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is </w:t>
      </w:r>
      <w:r>
        <w:rPr>
          <w:rFonts w:ascii="Calibri" w:hAnsi="Calibri" w:cs="Calibri"/>
          <w:color w:val="000000" w:themeColor="text1"/>
          <w:lang w:val="en-CA"/>
        </w:rPr>
        <w:t>quite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 different from </w:t>
      </w:r>
      <w:r>
        <w:rPr>
          <w:rFonts w:ascii="Calibri" w:hAnsi="Calibri" w:cs="Calibri"/>
          <w:color w:val="000000" w:themeColor="text1"/>
          <w:lang w:val="en-CA"/>
        </w:rPr>
        <w:t>Figure 2,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 </w:t>
      </w:r>
      <w:r w:rsidR="003C13B8">
        <w:rPr>
          <w:rFonts w:ascii="Calibri" w:hAnsi="Calibri" w:cs="Calibri"/>
          <w:color w:val="000000" w:themeColor="text1"/>
          <w:lang w:val="en-CA"/>
        </w:rPr>
        <w:t xml:space="preserve">which </w:t>
      </w:r>
      <w:r w:rsidRPr="00882961">
        <w:rPr>
          <w:rFonts w:ascii="Calibri" w:hAnsi="Calibri" w:cs="Calibri"/>
          <w:color w:val="000000" w:themeColor="text1"/>
          <w:lang w:val="en-CA"/>
        </w:rPr>
        <w:t>includ</w:t>
      </w:r>
      <w:r w:rsidR="003C13B8">
        <w:rPr>
          <w:rFonts w:ascii="Calibri" w:hAnsi="Calibri" w:cs="Calibri"/>
          <w:color w:val="000000" w:themeColor="text1"/>
          <w:lang w:val="en-CA"/>
        </w:rPr>
        <w:t>es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 all </w:t>
      </w:r>
      <w:r>
        <w:rPr>
          <w:rFonts w:ascii="Calibri" w:hAnsi="Calibri" w:cs="Calibri"/>
          <w:color w:val="000000" w:themeColor="text1"/>
          <w:lang w:val="en-CA"/>
        </w:rPr>
        <w:t>federated entities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. </w:t>
      </w:r>
      <w:r w:rsidR="003C13B8">
        <w:rPr>
          <w:rFonts w:ascii="Calibri" w:hAnsi="Calibri" w:cs="Calibri"/>
          <w:color w:val="000000" w:themeColor="text1"/>
          <w:lang w:val="en-CA"/>
        </w:rPr>
        <w:t xml:space="preserve">Yet, </w:t>
      </w:r>
      <w:r>
        <w:rPr>
          <w:rFonts w:ascii="Calibri" w:hAnsi="Calibri" w:cs="Calibri"/>
          <w:color w:val="000000" w:themeColor="text1"/>
          <w:lang w:val="en-CA"/>
        </w:rPr>
        <w:t xml:space="preserve">Figure 2B still </w:t>
      </w:r>
      <w:r w:rsidRPr="00882961">
        <w:rPr>
          <w:rFonts w:ascii="Calibri" w:hAnsi="Calibri" w:cs="Calibri"/>
          <w:color w:val="000000" w:themeColor="text1"/>
          <w:lang w:val="en-CA"/>
        </w:rPr>
        <w:t>supports the finding</w:t>
      </w:r>
      <w:r>
        <w:rPr>
          <w:rFonts w:ascii="Calibri" w:hAnsi="Calibri" w:cs="Calibri"/>
          <w:color w:val="000000" w:themeColor="text1"/>
          <w:lang w:val="en-CA"/>
        </w:rPr>
        <w:t xml:space="preserve"> 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that </w:t>
      </w:r>
      <w:r w:rsidR="003C13B8">
        <w:rPr>
          <w:rFonts w:ascii="Calibri" w:hAnsi="Calibri" w:cs="Calibri"/>
          <w:color w:val="000000" w:themeColor="text1"/>
          <w:lang w:val="en-CA"/>
        </w:rPr>
        <w:t xml:space="preserve">the 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involvement of federated entities </w:t>
      </w:r>
      <w:r w:rsidR="00E47146">
        <w:rPr>
          <w:rFonts w:ascii="Calibri" w:hAnsi="Calibri" w:cs="Calibri"/>
          <w:color w:val="000000" w:themeColor="text1"/>
          <w:lang w:val="en-CA"/>
        </w:rPr>
        <w:t xml:space="preserve">in IEAs 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is not strictly a recent phenomenon. Despite the less prominent variation of the line, increases </w:t>
      </w:r>
      <w:r w:rsidR="003C13B8">
        <w:rPr>
          <w:rFonts w:ascii="Calibri" w:hAnsi="Calibri" w:cs="Calibri"/>
          <w:color w:val="000000" w:themeColor="text1"/>
          <w:lang w:val="en-CA"/>
        </w:rPr>
        <w:t xml:space="preserve">are apparent 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in the 1950s, the 1970s and </w:t>
      </w:r>
      <w:r w:rsidR="003C13B8">
        <w:rPr>
          <w:rFonts w:ascii="Calibri" w:hAnsi="Calibri" w:cs="Calibri"/>
          <w:color w:val="000000" w:themeColor="text1"/>
          <w:lang w:val="en-CA"/>
        </w:rPr>
        <w:t>after</w:t>
      </w:r>
      <w:r w:rsidRPr="00882961">
        <w:rPr>
          <w:rFonts w:ascii="Calibri" w:hAnsi="Calibri" w:cs="Calibri"/>
          <w:color w:val="000000" w:themeColor="text1"/>
          <w:lang w:val="en-CA"/>
        </w:rPr>
        <w:t xml:space="preserve"> the mid-2000s. </w:t>
      </w:r>
    </w:p>
    <w:p w:rsidR="00E60288" w:rsidRPr="006A6A49" w:rsidRDefault="00E60288" w:rsidP="00E60288">
      <w:pPr>
        <w:jc w:val="both"/>
        <w:rPr>
          <w:rFonts w:asciiTheme="majorHAnsi" w:hAnsiTheme="majorHAnsi" w:cs="Calibri"/>
          <w:b/>
          <w:color w:val="000000" w:themeColor="text1"/>
          <w:lang w:val="en-CA"/>
        </w:rPr>
      </w:pPr>
      <w:r w:rsidRPr="006A6A49">
        <w:rPr>
          <w:rFonts w:asciiTheme="majorHAnsi" w:hAnsiTheme="majorHAnsi" w:cs="Calibri"/>
          <w:b/>
          <w:color w:val="000000" w:themeColor="text1"/>
          <w:lang w:val="en-CA"/>
        </w:rPr>
        <w:t xml:space="preserve">Figure 4B. Number of IEAs </w:t>
      </w:r>
      <w:r w:rsidR="00E47146">
        <w:rPr>
          <w:rFonts w:asciiTheme="majorHAnsi" w:hAnsiTheme="majorHAnsi" w:cs="Calibri"/>
          <w:b/>
          <w:color w:val="000000" w:themeColor="text1"/>
          <w:lang w:val="en-CA"/>
        </w:rPr>
        <w:t xml:space="preserve">that were </w:t>
      </w:r>
      <w:r w:rsidRPr="006A6A49">
        <w:rPr>
          <w:rFonts w:asciiTheme="majorHAnsi" w:hAnsiTheme="majorHAnsi" w:cs="Calibri"/>
          <w:b/>
          <w:color w:val="000000" w:themeColor="text1"/>
          <w:lang w:val="en-CA"/>
        </w:rPr>
        <w:t xml:space="preserve">either signed by or refer to federated entities (including at least one type of provision) by issue-area (Excluding </w:t>
      </w:r>
      <w:r w:rsidRPr="006A6A49">
        <w:rPr>
          <w:rFonts w:asciiTheme="majorHAnsi" w:eastAsia="Arial" w:hAnsiTheme="majorHAnsi" w:cs="Calibri"/>
          <w:b/>
          <w:color w:val="000000" w:themeColor="text1"/>
          <w:lang w:val="en-CA"/>
        </w:rPr>
        <w:t>IEAs signed by USSR federated entities</w:t>
      </w:r>
      <w:r w:rsidRPr="006A6A49">
        <w:rPr>
          <w:rFonts w:asciiTheme="majorHAnsi" w:hAnsiTheme="majorHAnsi" w:cs="Calibri"/>
          <w:b/>
          <w:color w:val="000000" w:themeColor="text1"/>
          <w:lang w:val="en-CA"/>
        </w:rPr>
        <w:t>)</w:t>
      </w:r>
    </w:p>
    <w:p w:rsidR="00E60288" w:rsidRPr="00882961" w:rsidRDefault="00E60288" w:rsidP="00E60288">
      <w:pPr>
        <w:spacing w:after="120" w:line="360" w:lineRule="auto"/>
        <w:jc w:val="both"/>
        <w:rPr>
          <w:rFonts w:ascii="Calibri" w:hAnsi="Calibri" w:cs="Calibri"/>
          <w:lang w:val="en-CA"/>
        </w:rPr>
      </w:pPr>
      <w:r w:rsidRPr="00882961">
        <w:rPr>
          <w:noProof/>
          <w:lang w:val="en-CA"/>
        </w:rPr>
        <w:drawing>
          <wp:inline distT="0" distB="0" distL="0" distR="0" wp14:anchorId="708447E6" wp14:editId="1DC72DEE">
            <wp:extent cx="5419725" cy="3200400"/>
            <wp:effectExtent l="0" t="0" r="9525" b="0"/>
            <wp:docPr id="15" name="Graphique 15">
              <a:extLst xmlns:a="http://schemas.openxmlformats.org/drawingml/2006/main">
                <a:ext uri="{FF2B5EF4-FFF2-40B4-BE49-F238E27FC236}">
                  <a16:creationId xmlns:a16="http://schemas.microsoft.com/office/drawing/2014/main" id="{416EDE27-1DBA-4BA8-9233-4917B21C72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0288" w:rsidRPr="00882961" w:rsidRDefault="00E60288" w:rsidP="00E60288">
      <w:pPr>
        <w:spacing w:after="120" w:line="360" w:lineRule="auto"/>
        <w:jc w:val="both"/>
        <w:rPr>
          <w:rFonts w:ascii="Calibri" w:hAnsi="Calibri" w:cs="Calibri"/>
          <w:lang w:val="en-CA"/>
        </w:rPr>
      </w:pPr>
      <w:r w:rsidRPr="00882961">
        <w:rPr>
          <w:rFonts w:ascii="Calibri" w:hAnsi="Calibri" w:cs="Calibri"/>
          <w:lang w:val="en-CA"/>
        </w:rPr>
        <w:lastRenderedPageBreak/>
        <w:t xml:space="preserve">In accordance with </w:t>
      </w:r>
      <w:r>
        <w:rPr>
          <w:rFonts w:ascii="Calibri" w:hAnsi="Calibri" w:cs="Calibri"/>
          <w:lang w:val="en-CA"/>
        </w:rPr>
        <w:t>Figure 4</w:t>
      </w:r>
      <w:r w:rsidR="003C13B8">
        <w:rPr>
          <w:rFonts w:ascii="Calibri" w:hAnsi="Calibri" w:cs="Calibri"/>
          <w:lang w:val="en-CA"/>
        </w:rPr>
        <w:t>,</w:t>
      </w:r>
      <w:r w:rsidRPr="00882961">
        <w:rPr>
          <w:rFonts w:ascii="Calibri" w:hAnsi="Calibri" w:cs="Calibri"/>
          <w:lang w:val="en-CA"/>
        </w:rPr>
        <w:t xml:space="preserve"> </w:t>
      </w:r>
      <w:r w:rsidR="003C13B8">
        <w:rPr>
          <w:rFonts w:ascii="Calibri" w:hAnsi="Calibri" w:cs="Calibri"/>
          <w:lang w:val="en-CA"/>
        </w:rPr>
        <w:t>which</w:t>
      </w:r>
      <w:r w:rsidRPr="00882961">
        <w:rPr>
          <w:rFonts w:ascii="Calibri" w:hAnsi="Calibri" w:cs="Calibri"/>
          <w:lang w:val="en-CA"/>
        </w:rPr>
        <w:t xml:space="preserve"> includes federated entities from </w:t>
      </w:r>
      <w:r w:rsidR="003C13B8">
        <w:rPr>
          <w:rFonts w:ascii="Calibri" w:hAnsi="Calibri" w:cs="Calibri"/>
          <w:lang w:val="en-CA"/>
        </w:rPr>
        <w:t xml:space="preserve">the </w:t>
      </w:r>
      <w:r w:rsidRPr="00882961">
        <w:rPr>
          <w:rFonts w:ascii="Calibri" w:hAnsi="Calibri" w:cs="Calibri"/>
          <w:lang w:val="en-CA"/>
        </w:rPr>
        <w:t xml:space="preserve">USSR, this </w:t>
      </w:r>
      <w:r>
        <w:rPr>
          <w:rFonts w:ascii="Calibri" w:hAnsi="Calibri" w:cs="Calibri"/>
          <w:lang w:val="en-CA"/>
        </w:rPr>
        <w:t>figure</w:t>
      </w:r>
      <w:r w:rsidRPr="00882961">
        <w:rPr>
          <w:rFonts w:ascii="Calibri" w:hAnsi="Calibri" w:cs="Calibri"/>
          <w:lang w:val="en-CA"/>
        </w:rPr>
        <w:t xml:space="preserve"> </w:t>
      </w:r>
      <w:r>
        <w:rPr>
          <w:rFonts w:ascii="Calibri" w:hAnsi="Calibri" w:cs="Calibri"/>
          <w:lang w:val="en-CA"/>
        </w:rPr>
        <w:t xml:space="preserve">shows </w:t>
      </w:r>
      <w:r w:rsidRPr="00882961">
        <w:rPr>
          <w:rFonts w:ascii="Calibri" w:hAnsi="Calibri" w:cs="Calibri"/>
          <w:lang w:val="en-CA"/>
        </w:rPr>
        <w:t xml:space="preserve">that the main </w:t>
      </w:r>
      <w:r w:rsidR="003C13B8">
        <w:rPr>
          <w:rFonts w:ascii="Calibri" w:hAnsi="Calibri" w:cs="Calibri"/>
          <w:lang w:val="en-CA"/>
        </w:rPr>
        <w:t>issue-areas covered by</w:t>
      </w:r>
      <w:r w:rsidRPr="00882961">
        <w:rPr>
          <w:rFonts w:ascii="Calibri" w:hAnsi="Calibri" w:cs="Calibri"/>
          <w:lang w:val="en-CA"/>
        </w:rPr>
        <w:t xml:space="preserve"> agreements </w:t>
      </w:r>
      <w:r w:rsidR="00E47146">
        <w:rPr>
          <w:rFonts w:ascii="Calibri" w:hAnsi="Calibri" w:cs="Calibri"/>
          <w:lang w:val="en-CA"/>
        </w:rPr>
        <w:t>involving</w:t>
      </w:r>
      <w:r w:rsidRPr="00882961">
        <w:rPr>
          <w:rFonts w:ascii="Calibri" w:hAnsi="Calibri" w:cs="Calibri"/>
          <w:lang w:val="en-CA"/>
        </w:rPr>
        <w:t xml:space="preserve"> a federated entity are fisheries and freshwater. </w:t>
      </w:r>
    </w:p>
    <w:p w:rsidR="00060D04" w:rsidRPr="00E60288" w:rsidRDefault="00B353AB">
      <w:pPr>
        <w:rPr>
          <w:lang w:val="en-CA"/>
        </w:rPr>
      </w:pPr>
      <w:bookmarkStart w:id="0" w:name="_GoBack"/>
      <w:bookmarkEnd w:id="0"/>
    </w:p>
    <w:sectPr w:rsidR="00060D04" w:rsidRPr="00E60288" w:rsidSect="00D33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3AB" w:rsidRDefault="00B353AB">
      <w:r>
        <w:separator/>
      </w:r>
    </w:p>
  </w:endnote>
  <w:endnote w:type="continuationSeparator" w:id="0">
    <w:p w:rsidR="00B353AB" w:rsidRDefault="00B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51" w:rsidRDefault="00B353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370690782"/>
      <w:docPartObj>
        <w:docPartGallery w:val="Page Numbers (Bottom of Page)"/>
        <w:docPartUnique/>
      </w:docPartObj>
    </w:sdtPr>
    <w:sdtEndPr/>
    <w:sdtContent>
      <w:p w:rsidR="00683351" w:rsidRPr="009A5108" w:rsidRDefault="00E60288">
        <w:pPr>
          <w:pStyle w:val="Pieddepage"/>
          <w:jc w:val="center"/>
          <w:rPr>
            <w:sz w:val="20"/>
            <w:szCs w:val="20"/>
          </w:rPr>
        </w:pPr>
        <w:r w:rsidRPr="009A5108">
          <w:rPr>
            <w:sz w:val="20"/>
            <w:szCs w:val="20"/>
          </w:rPr>
          <w:fldChar w:fldCharType="begin"/>
        </w:r>
        <w:r w:rsidRPr="009A5108">
          <w:rPr>
            <w:sz w:val="20"/>
            <w:szCs w:val="20"/>
          </w:rPr>
          <w:instrText>PAGE   \* MERGEFORMAT</w:instrText>
        </w:r>
        <w:r w:rsidRPr="009A5108">
          <w:rPr>
            <w:sz w:val="20"/>
            <w:szCs w:val="20"/>
          </w:rPr>
          <w:fldChar w:fldCharType="separate"/>
        </w:r>
        <w:r w:rsidRPr="009A5108">
          <w:rPr>
            <w:sz w:val="20"/>
            <w:szCs w:val="20"/>
          </w:rPr>
          <w:t>2</w:t>
        </w:r>
        <w:r w:rsidRPr="009A5108">
          <w:rPr>
            <w:sz w:val="20"/>
            <w:szCs w:val="20"/>
          </w:rPr>
          <w:fldChar w:fldCharType="end"/>
        </w:r>
      </w:p>
    </w:sdtContent>
  </w:sdt>
  <w:p w:rsidR="00683351" w:rsidRDefault="00B353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51" w:rsidRDefault="00B35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3AB" w:rsidRDefault="00B353AB">
      <w:r>
        <w:separator/>
      </w:r>
    </w:p>
  </w:footnote>
  <w:footnote w:type="continuationSeparator" w:id="0">
    <w:p w:rsidR="00B353AB" w:rsidRDefault="00B3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51" w:rsidRDefault="00B353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51" w:rsidRDefault="00B353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51" w:rsidRDefault="00B353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88"/>
    <w:rsid w:val="00116C1D"/>
    <w:rsid w:val="002B74FF"/>
    <w:rsid w:val="003C13B8"/>
    <w:rsid w:val="00447FA2"/>
    <w:rsid w:val="00454716"/>
    <w:rsid w:val="00553B5C"/>
    <w:rsid w:val="006513DA"/>
    <w:rsid w:val="00893924"/>
    <w:rsid w:val="00996BCC"/>
    <w:rsid w:val="00B353AB"/>
    <w:rsid w:val="00E47146"/>
    <w:rsid w:val="00E60288"/>
    <w:rsid w:val="00F2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53E2"/>
  <w15:chartTrackingRefBased/>
  <w15:docId w15:val="{12472897-911E-44A2-9A4F-BA7248C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028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E60288"/>
    <w:rPr>
      <w:rFonts w:eastAsiaTheme="minorEastAsi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6028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60288"/>
    <w:rPr>
      <w:rFonts w:eastAsiaTheme="minorEastAsia"/>
      <w:sz w:val="24"/>
      <w:szCs w:val="24"/>
      <w:lang w:val="fr-FR" w:eastAsia="fr-FR"/>
    </w:rPr>
  </w:style>
  <w:style w:type="paragraph" w:customStyle="1" w:styleId="Corps">
    <w:name w:val="Corps"/>
    <w:rsid w:val="00E602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vefou16\Dropbox\Subnational%20entities\Graphiques\Graphs%20for%20reviewed%20and%20resubmit%20version\Number%20of%20agreements%20by%20Subject_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'[1]Bar plot No USSR'!$D$9:$D$16</c:f>
              <c:strCache>
                <c:ptCount val="8"/>
                <c:pt idx="0">
                  <c:v>Agriculture</c:v>
                </c:pt>
                <c:pt idx="1">
                  <c:v>Biodiversity</c:v>
                </c:pt>
                <c:pt idx="2">
                  <c:v>Energy</c:v>
                </c:pt>
                <c:pt idx="3">
                  <c:v>Fisheries</c:v>
                </c:pt>
                <c:pt idx="4">
                  <c:v>Freshwater</c:v>
                </c:pt>
                <c:pt idx="5">
                  <c:v>Gen. env. cooperation</c:v>
                </c:pt>
                <c:pt idx="6">
                  <c:v>Habitat and ocean</c:v>
                </c:pt>
                <c:pt idx="7">
                  <c:v>Pollution</c:v>
                </c:pt>
              </c:strCache>
            </c:strRef>
          </c:cat>
          <c:val>
            <c:numRef>
              <c:f>'[1]Bar plot No USSR'!$E$9:$E$16</c:f>
              <c:numCache>
                <c:formatCode>General</c:formatCode>
                <c:ptCount val="8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14</c:v>
                </c:pt>
                <c:pt idx="4">
                  <c:v>22</c:v>
                </c:pt>
                <c:pt idx="5">
                  <c:v>15</c:v>
                </c:pt>
                <c:pt idx="6">
                  <c:v>10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4-4CFF-9582-D9FB6D033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438577128"/>
        <c:axId val="438571880"/>
      </c:barChart>
      <c:catAx>
        <c:axId val="438577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00" b="0"/>
                  <a:t>Issue-areas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8571880"/>
        <c:crosses val="autoZero"/>
        <c:auto val="1"/>
        <c:lblAlgn val="ctr"/>
        <c:lblOffset val="100"/>
        <c:tickMarkSkip val="1"/>
        <c:noMultiLvlLbl val="0"/>
      </c:catAx>
      <c:valAx>
        <c:axId val="438571880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00" b="0"/>
                  <a:t>Number of agreements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385771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2021-08-02T15:15:00Z</dcterms:created>
  <dcterms:modified xsi:type="dcterms:W3CDTF">2021-08-04T06:49:00Z</dcterms:modified>
</cp:coreProperties>
</file>