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BA0986" w14:textId="7FD1C31F" w:rsidR="002A5234" w:rsidRDefault="002A5234" w:rsidP="005A4CB2">
      <w:pPr>
        <w:spacing w:after="0" w:line="240" w:lineRule="auto"/>
        <w:contextualSpacing/>
        <w:rPr>
          <w:rFonts w:ascii="Cambria" w:hAnsi="Cambria"/>
          <w:b/>
          <w:sz w:val="24"/>
          <w:szCs w:val="24"/>
          <w:lang w:val="en-CA"/>
        </w:rPr>
      </w:pPr>
    </w:p>
    <w:p w14:paraId="18F6B428" w14:textId="61D5E7F8" w:rsidR="00385D9D" w:rsidRPr="00BE48B6" w:rsidRDefault="00385D9D" w:rsidP="005A4CB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contextualSpacing/>
        <w:jc w:val="center"/>
        <w:rPr>
          <w:rFonts w:ascii="Palatino Linotype" w:eastAsia="Calibri" w:hAnsi="Palatino Linotype" w:cs="Times New Roman"/>
          <w:color w:val="000000"/>
          <w:sz w:val="60"/>
          <w:szCs w:val="60"/>
          <w:lang w:val="en-CA"/>
        </w:rPr>
      </w:pPr>
    </w:p>
    <w:p w14:paraId="4381525E" w14:textId="5D56DD5C" w:rsidR="00385D9D" w:rsidRPr="00BE48B6" w:rsidRDefault="004E3F8D" w:rsidP="005A4CB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contextualSpacing/>
        <w:jc w:val="center"/>
        <w:rPr>
          <w:rFonts w:ascii="Palatino Linotype" w:eastAsia="Calibri" w:hAnsi="Palatino Linotype" w:cs="Times New Roman"/>
          <w:color w:val="000000"/>
          <w:sz w:val="60"/>
          <w:szCs w:val="60"/>
          <w:lang w:val="en-CA"/>
        </w:rPr>
      </w:pPr>
      <w:r w:rsidRPr="00BE48B6">
        <w:rPr>
          <w:rFonts w:ascii="Palatino Linotype" w:eastAsia="Calibri" w:hAnsi="Palatino Linotype" w:cs="Times New Roman"/>
          <w:color w:val="000000"/>
          <w:sz w:val="60"/>
          <w:szCs w:val="60"/>
          <w:lang w:val="en-CA"/>
        </w:rPr>
        <w:t xml:space="preserve">Federated Entities </w:t>
      </w:r>
      <w:r w:rsidR="00034503" w:rsidRPr="00BE48B6">
        <w:rPr>
          <w:rFonts w:ascii="Palatino Linotype" w:eastAsia="Calibri" w:hAnsi="Palatino Linotype" w:cs="Times New Roman"/>
          <w:color w:val="000000"/>
          <w:sz w:val="60"/>
          <w:szCs w:val="60"/>
          <w:lang w:val="en-CA"/>
        </w:rPr>
        <w:t>in</w:t>
      </w:r>
      <w:r w:rsidRPr="00BE48B6">
        <w:rPr>
          <w:rFonts w:ascii="Palatino Linotype" w:eastAsia="Calibri" w:hAnsi="Palatino Linotype" w:cs="Times New Roman"/>
          <w:color w:val="000000"/>
          <w:sz w:val="60"/>
          <w:szCs w:val="60"/>
          <w:lang w:val="en-CA"/>
        </w:rPr>
        <w:t xml:space="preserve"> Environmental Law</w:t>
      </w:r>
    </w:p>
    <w:p w14:paraId="1BF90B8A" w14:textId="77777777" w:rsidR="00385D9D" w:rsidRPr="00BE48B6" w:rsidRDefault="00385D9D" w:rsidP="005A4CB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contextualSpacing/>
        <w:jc w:val="right"/>
        <w:rPr>
          <w:rFonts w:ascii="Cambria" w:eastAsia="Calibri" w:hAnsi="Cambria" w:cs="Times New Roman"/>
          <w:color w:val="000000"/>
          <w:sz w:val="60"/>
          <w:szCs w:val="60"/>
          <w:lang w:val="en-CA"/>
        </w:rPr>
      </w:pPr>
    </w:p>
    <w:p w14:paraId="77EABD72" w14:textId="0501A1E4" w:rsidR="00385D9D" w:rsidRPr="00BE48B6" w:rsidRDefault="004E3F8D" w:rsidP="005A4CB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contextualSpacing/>
        <w:jc w:val="center"/>
        <w:rPr>
          <w:rFonts w:ascii="Palatino Linotype" w:eastAsia="Calibri" w:hAnsi="Palatino Linotype" w:cs="Times New Roman"/>
          <w:color w:val="000000"/>
          <w:sz w:val="60"/>
          <w:szCs w:val="60"/>
          <w:lang w:val="en-CA"/>
        </w:rPr>
      </w:pPr>
      <w:r w:rsidRPr="00BE48B6">
        <w:rPr>
          <w:rFonts w:ascii="Palatino Linotype" w:eastAsia="Calibri" w:hAnsi="Palatino Linotype" w:cs="Times New Roman"/>
          <w:color w:val="000000"/>
          <w:sz w:val="60"/>
          <w:szCs w:val="60"/>
          <w:lang w:val="en-CA"/>
        </w:rPr>
        <w:t>Codebook</w:t>
      </w:r>
    </w:p>
    <w:p w14:paraId="645521BA" w14:textId="77777777" w:rsidR="00385D9D" w:rsidRDefault="00385D9D" w:rsidP="005A4CB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contextualSpacing/>
        <w:jc w:val="center"/>
        <w:rPr>
          <w:rFonts w:ascii="Cambria" w:eastAsia="Calibri" w:hAnsi="Cambria" w:cs="Times New Roman"/>
          <w:color w:val="000000"/>
          <w:sz w:val="32"/>
          <w:szCs w:val="32"/>
          <w:lang w:val="en-CA"/>
        </w:rPr>
      </w:pPr>
    </w:p>
    <w:p w14:paraId="0801D7E4" w14:textId="77777777" w:rsidR="00385D9D" w:rsidRDefault="00385D9D" w:rsidP="005A4CB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contextualSpacing/>
        <w:jc w:val="center"/>
        <w:rPr>
          <w:rFonts w:ascii="Cambria" w:eastAsia="Calibri" w:hAnsi="Cambria" w:cs="Times New Roman"/>
          <w:color w:val="000000"/>
          <w:sz w:val="32"/>
          <w:szCs w:val="32"/>
          <w:lang w:val="en-CA"/>
        </w:rPr>
      </w:pPr>
    </w:p>
    <w:p w14:paraId="00B85A8F" w14:textId="77777777" w:rsidR="00385D9D" w:rsidRDefault="00385D9D" w:rsidP="005A4CB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contextualSpacing/>
        <w:jc w:val="center"/>
        <w:rPr>
          <w:rFonts w:ascii="Cambria" w:eastAsia="Calibri" w:hAnsi="Cambria" w:cs="Times New Roman"/>
          <w:color w:val="000000"/>
          <w:sz w:val="32"/>
          <w:szCs w:val="32"/>
          <w:lang w:val="en-CA"/>
        </w:rPr>
      </w:pPr>
    </w:p>
    <w:p w14:paraId="5AA4F6BB" w14:textId="77777777" w:rsidR="00385D9D" w:rsidRDefault="00385D9D" w:rsidP="005A4CB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contextualSpacing/>
        <w:jc w:val="center"/>
        <w:rPr>
          <w:rFonts w:ascii="Cambria" w:eastAsia="Calibri" w:hAnsi="Cambria" w:cs="Times New Roman"/>
          <w:color w:val="000000"/>
          <w:sz w:val="32"/>
          <w:szCs w:val="32"/>
          <w:lang w:val="en-CA"/>
        </w:rPr>
      </w:pPr>
    </w:p>
    <w:p w14:paraId="0D7C55D9" w14:textId="77777777" w:rsidR="00385D9D" w:rsidRDefault="00385D9D" w:rsidP="005A4CB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contextualSpacing/>
        <w:jc w:val="center"/>
        <w:rPr>
          <w:rFonts w:ascii="Cambria" w:eastAsia="Calibri" w:hAnsi="Cambria" w:cs="Times New Roman"/>
          <w:color w:val="000000"/>
          <w:sz w:val="32"/>
          <w:szCs w:val="32"/>
          <w:lang w:val="en-CA"/>
        </w:rPr>
      </w:pPr>
    </w:p>
    <w:p w14:paraId="6637CCEC" w14:textId="77777777" w:rsidR="00663638" w:rsidRDefault="00663638" w:rsidP="005A4CB2">
      <w:pPr>
        <w:pStyle w:val="titrenorme"/>
        <w:numPr>
          <w:ilvl w:val="0"/>
          <w:numId w:val="0"/>
        </w:numPr>
        <w:jc w:val="center"/>
        <w:rPr>
          <w:sz w:val="24"/>
        </w:rPr>
      </w:pPr>
      <w:bookmarkStart w:id="0" w:name="_Toc501098279"/>
    </w:p>
    <w:p w14:paraId="4C27B578" w14:textId="77777777" w:rsidR="00663638" w:rsidRDefault="00663638" w:rsidP="005A4CB2">
      <w:pPr>
        <w:pStyle w:val="titrenorme"/>
        <w:numPr>
          <w:ilvl w:val="0"/>
          <w:numId w:val="0"/>
        </w:numPr>
        <w:jc w:val="center"/>
        <w:rPr>
          <w:sz w:val="24"/>
        </w:rPr>
      </w:pPr>
    </w:p>
    <w:p w14:paraId="3BCEB082" w14:textId="2F9B1FBE" w:rsidR="00172A04" w:rsidRDefault="00172A04" w:rsidP="00A57C70">
      <w:pPr>
        <w:spacing w:after="0" w:line="240" w:lineRule="auto"/>
        <w:contextualSpacing/>
        <w:rPr>
          <w:sz w:val="24"/>
          <w:lang w:val="en-CA"/>
        </w:rPr>
      </w:pPr>
    </w:p>
    <w:p w14:paraId="6D1D87B3" w14:textId="77777777" w:rsidR="00A57C70" w:rsidRDefault="00A57C70" w:rsidP="00A57C70">
      <w:pPr>
        <w:spacing w:after="0" w:line="240" w:lineRule="auto"/>
        <w:contextualSpacing/>
        <w:rPr>
          <w:rFonts w:ascii="Palatino Linotype" w:hAnsi="Palatino Linotype" w:cs="Times New Roman"/>
          <w:b/>
          <w:color w:val="000000" w:themeColor="text1"/>
          <w:sz w:val="24"/>
          <w:szCs w:val="24"/>
          <w:lang w:val="en-CA"/>
        </w:rPr>
      </w:pPr>
    </w:p>
    <w:bookmarkEnd w:id="0"/>
    <w:p w14:paraId="6CCD4160" w14:textId="77777777" w:rsidR="00663638" w:rsidRPr="003833D6" w:rsidRDefault="00663638" w:rsidP="005A4CB2">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ind w:left="1068"/>
        <w:contextualSpacing/>
        <w:jc w:val="both"/>
        <w:rPr>
          <w:rFonts w:ascii="Palatino Linotype" w:hAnsi="Palatino Linotype"/>
          <w:lang w:val="en-CA"/>
        </w:rPr>
      </w:pPr>
    </w:p>
    <w:p w14:paraId="66699366" w14:textId="77777777" w:rsidR="00A57C70" w:rsidRDefault="00A57C70">
      <w:pPr>
        <w:rPr>
          <w:rFonts w:ascii="Palatino Linotype" w:hAnsi="Palatino Linotype"/>
          <w:b/>
          <w:szCs w:val="20"/>
          <w:lang w:val="en-CA"/>
        </w:rPr>
      </w:pPr>
      <w:bookmarkStart w:id="1" w:name="_Toc507158503"/>
      <w:bookmarkStart w:id="2" w:name="_Toc64659192"/>
      <w:r w:rsidRPr="00BE48B6">
        <w:rPr>
          <w:lang w:val="en-CA"/>
        </w:rPr>
        <w:br w:type="page"/>
      </w:r>
    </w:p>
    <w:p w14:paraId="59D486C2" w14:textId="15653331" w:rsidR="005A4CB2" w:rsidRPr="00ED1F4A" w:rsidRDefault="005A4CB2" w:rsidP="005A4CB2">
      <w:pPr>
        <w:pStyle w:val="Titre3"/>
        <w:numPr>
          <w:ilvl w:val="0"/>
          <w:numId w:val="0"/>
        </w:numPr>
        <w:spacing w:after="0"/>
        <w:ind w:left="576" w:hanging="576"/>
        <w:contextualSpacing/>
      </w:pPr>
      <w:r w:rsidRPr="00ED1F4A">
        <w:lastRenderedPageBreak/>
        <w:t>ID</w:t>
      </w:r>
      <w:bookmarkEnd w:id="1"/>
      <w:bookmarkEnd w:id="2"/>
    </w:p>
    <w:p w14:paraId="4942A1F5" w14:textId="50E86936" w:rsidR="005A4CB2" w:rsidRDefault="005A4CB2" w:rsidP="005A4CB2">
      <w:pPr>
        <w:spacing w:after="0" w:line="240" w:lineRule="auto"/>
        <w:contextualSpacing/>
        <w:jc w:val="both"/>
        <w:rPr>
          <w:rFonts w:ascii="Garamond" w:hAnsi="Garamond" w:cs="Arial"/>
          <w:sz w:val="24"/>
          <w:szCs w:val="24"/>
          <w:lang w:val="en-CA"/>
        </w:rPr>
      </w:pPr>
      <w:r>
        <w:rPr>
          <w:rFonts w:ascii="Garamond" w:hAnsi="Garamond"/>
          <w:sz w:val="24"/>
          <w:lang w:val="en-CA"/>
        </w:rPr>
        <w:t>Most agreements were found in the International Environmental Agreements Database (EADB) Project</w:t>
      </w:r>
      <w:r>
        <w:rPr>
          <w:rStyle w:val="Appelnotedebasdep"/>
          <w:rFonts w:ascii="Garamond" w:hAnsi="Garamond"/>
          <w:sz w:val="24"/>
          <w:lang w:val="en-CA"/>
        </w:rPr>
        <w:footnoteReference w:id="1"/>
      </w:r>
      <w:r>
        <w:rPr>
          <w:rFonts w:ascii="Garamond" w:hAnsi="Garamond"/>
          <w:sz w:val="24"/>
          <w:lang w:val="en-CA"/>
        </w:rPr>
        <w:t xml:space="preserve">. </w:t>
      </w:r>
      <w:r w:rsidRPr="00ED1F4A">
        <w:rPr>
          <w:rFonts w:ascii="Garamond" w:hAnsi="Garamond" w:cs="Arial"/>
          <w:sz w:val="24"/>
          <w:szCs w:val="24"/>
          <w:lang w:val="en-CA"/>
        </w:rPr>
        <w:t>The identification numbers given by IEA</w:t>
      </w:r>
      <w:r>
        <w:rPr>
          <w:rFonts w:ascii="Garamond" w:hAnsi="Garamond" w:cs="Arial"/>
          <w:sz w:val="24"/>
          <w:szCs w:val="24"/>
          <w:lang w:val="en-CA"/>
        </w:rPr>
        <w:t>DB</w:t>
      </w:r>
      <w:r w:rsidRPr="00ED1F4A">
        <w:rPr>
          <w:rFonts w:ascii="Garamond" w:hAnsi="Garamond" w:cs="Arial"/>
          <w:sz w:val="24"/>
          <w:szCs w:val="24"/>
          <w:lang w:val="en-CA"/>
        </w:rPr>
        <w:t xml:space="preserve"> were kept. </w:t>
      </w:r>
    </w:p>
    <w:p w14:paraId="2E4FCE17" w14:textId="7F190D59" w:rsidR="005A4CB2" w:rsidRPr="005A4CB2" w:rsidRDefault="005A4CB2" w:rsidP="005A4CB2">
      <w:pPr>
        <w:pStyle w:val="Paragraphedeliste"/>
        <w:numPr>
          <w:ilvl w:val="0"/>
          <w:numId w:val="28"/>
        </w:numPr>
        <w:spacing w:after="0" w:line="240" w:lineRule="auto"/>
        <w:jc w:val="both"/>
        <w:rPr>
          <w:rFonts w:ascii="Garamond" w:hAnsi="Garamond"/>
          <w:sz w:val="24"/>
          <w:lang w:val="en-CA"/>
        </w:rPr>
      </w:pPr>
      <w:r w:rsidRPr="005A4CB2">
        <w:rPr>
          <w:rFonts w:ascii="Garamond" w:hAnsi="Garamond"/>
          <w:sz w:val="24"/>
          <w:lang w:val="en-CA"/>
        </w:rPr>
        <w:t>#1 to #5999 were from the International Environmental Agreements (IEA) Database Project.</w:t>
      </w:r>
    </w:p>
    <w:p w14:paraId="46A215C2" w14:textId="77777777" w:rsidR="005A4CB2" w:rsidRPr="005A4CB2" w:rsidRDefault="005A4CB2" w:rsidP="005A4CB2">
      <w:pPr>
        <w:pStyle w:val="Paragraphedeliste"/>
        <w:numPr>
          <w:ilvl w:val="0"/>
          <w:numId w:val="28"/>
        </w:numPr>
        <w:spacing w:after="0" w:line="240" w:lineRule="auto"/>
        <w:jc w:val="both"/>
        <w:rPr>
          <w:rFonts w:ascii="Garamond" w:hAnsi="Garamond"/>
          <w:sz w:val="24"/>
          <w:lang w:val="en-CA"/>
        </w:rPr>
      </w:pPr>
      <w:r w:rsidRPr="005A4CB2">
        <w:rPr>
          <w:rFonts w:ascii="Garamond" w:hAnsi="Garamond"/>
          <w:sz w:val="24"/>
          <w:lang w:val="en-CA"/>
        </w:rPr>
        <w:t xml:space="preserve">#6000 to #7000 were from James </w:t>
      </w:r>
      <w:proofErr w:type="spellStart"/>
      <w:r w:rsidRPr="005A4CB2">
        <w:rPr>
          <w:rFonts w:ascii="Garamond" w:hAnsi="Garamond"/>
          <w:sz w:val="24"/>
          <w:lang w:val="en-CA"/>
        </w:rPr>
        <w:t>Hollway’s</w:t>
      </w:r>
      <w:proofErr w:type="spellEnd"/>
      <w:r w:rsidRPr="005A4CB2">
        <w:rPr>
          <w:rFonts w:ascii="Garamond" w:hAnsi="Garamond"/>
          <w:sz w:val="24"/>
          <w:lang w:val="en-CA"/>
        </w:rPr>
        <w:t xml:space="preserve"> Database </w:t>
      </w:r>
    </w:p>
    <w:p w14:paraId="53297F4E" w14:textId="77777777" w:rsidR="005A4CB2" w:rsidRPr="005A4CB2" w:rsidRDefault="005A4CB2" w:rsidP="005A4CB2">
      <w:pPr>
        <w:pStyle w:val="Paragraphedeliste"/>
        <w:numPr>
          <w:ilvl w:val="0"/>
          <w:numId w:val="28"/>
        </w:numPr>
        <w:spacing w:after="0" w:line="240" w:lineRule="auto"/>
        <w:jc w:val="both"/>
        <w:rPr>
          <w:rFonts w:ascii="Garamond" w:hAnsi="Garamond"/>
          <w:sz w:val="24"/>
          <w:lang w:val="en-CA"/>
        </w:rPr>
      </w:pPr>
      <w:r w:rsidRPr="005A4CB2">
        <w:rPr>
          <w:rFonts w:ascii="Garamond" w:hAnsi="Garamond"/>
          <w:sz w:val="24"/>
          <w:lang w:val="en-CA"/>
        </w:rPr>
        <w:t>#7001 to #7500 are from UNTC</w:t>
      </w:r>
    </w:p>
    <w:p w14:paraId="7A05A647" w14:textId="77777777" w:rsidR="005A4CB2" w:rsidRPr="005A4CB2" w:rsidRDefault="005A4CB2" w:rsidP="005A4CB2">
      <w:pPr>
        <w:pStyle w:val="Paragraphedeliste"/>
        <w:numPr>
          <w:ilvl w:val="0"/>
          <w:numId w:val="28"/>
        </w:numPr>
        <w:spacing w:after="0" w:line="240" w:lineRule="auto"/>
        <w:jc w:val="both"/>
        <w:rPr>
          <w:rFonts w:ascii="Garamond" w:hAnsi="Garamond"/>
          <w:sz w:val="24"/>
          <w:lang w:val="en-CA"/>
        </w:rPr>
      </w:pPr>
      <w:r w:rsidRPr="005A4CB2">
        <w:rPr>
          <w:rFonts w:ascii="Garamond" w:hAnsi="Garamond"/>
          <w:sz w:val="24"/>
          <w:lang w:val="en-CA"/>
        </w:rPr>
        <w:t>#7501 to #7800 are from FAOLEX</w:t>
      </w:r>
    </w:p>
    <w:p w14:paraId="45C8F4EB" w14:textId="77777777" w:rsidR="005A4CB2" w:rsidRPr="005A4CB2" w:rsidRDefault="005A4CB2" w:rsidP="005A4CB2">
      <w:pPr>
        <w:pStyle w:val="Paragraphedeliste"/>
        <w:numPr>
          <w:ilvl w:val="0"/>
          <w:numId w:val="28"/>
        </w:numPr>
        <w:spacing w:after="0" w:line="240" w:lineRule="auto"/>
        <w:jc w:val="both"/>
        <w:rPr>
          <w:rFonts w:ascii="Garamond" w:hAnsi="Garamond"/>
          <w:sz w:val="24"/>
          <w:lang w:val="en-CA"/>
        </w:rPr>
      </w:pPr>
      <w:r w:rsidRPr="005A4CB2">
        <w:rPr>
          <w:rFonts w:ascii="Garamond" w:hAnsi="Garamond"/>
          <w:sz w:val="24"/>
          <w:lang w:val="en-CA"/>
        </w:rPr>
        <w:t>#7801 to #8200 are from ECOLEX</w:t>
      </w:r>
    </w:p>
    <w:p w14:paraId="4968B06A" w14:textId="77777777" w:rsidR="005A4CB2" w:rsidRPr="005A4CB2" w:rsidRDefault="005A4CB2" w:rsidP="005A4CB2">
      <w:pPr>
        <w:pStyle w:val="Paragraphedeliste"/>
        <w:numPr>
          <w:ilvl w:val="0"/>
          <w:numId w:val="28"/>
        </w:numPr>
        <w:spacing w:after="0" w:line="240" w:lineRule="auto"/>
        <w:jc w:val="both"/>
        <w:rPr>
          <w:rFonts w:ascii="Garamond" w:hAnsi="Garamond"/>
          <w:sz w:val="24"/>
          <w:lang w:val="en-CA"/>
        </w:rPr>
      </w:pPr>
      <w:r w:rsidRPr="005A4CB2">
        <w:rPr>
          <w:rFonts w:ascii="Garamond" w:hAnsi="Garamond"/>
          <w:sz w:val="24"/>
          <w:lang w:val="en-CA"/>
        </w:rPr>
        <w:t xml:space="preserve">#8201 to #8400 are from national sources </w:t>
      </w:r>
    </w:p>
    <w:p w14:paraId="4D03F7C4" w14:textId="4C27E887" w:rsidR="00B20FD9" w:rsidRPr="00A57C70" w:rsidRDefault="005A4CB2" w:rsidP="005A4CB2">
      <w:pPr>
        <w:pStyle w:val="Paragraphedeliste"/>
        <w:numPr>
          <w:ilvl w:val="0"/>
          <w:numId w:val="28"/>
        </w:numPr>
        <w:spacing w:after="0" w:line="240" w:lineRule="auto"/>
        <w:jc w:val="both"/>
        <w:rPr>
          <w:rFonts w:ascii="Garamond" w:hAnsi="Garamond"/>
          <w:sz w:val="24"/>
          <w:lang w:val="en-CA"/>
        </w:rPr>
      </w:pPr>
      <w:r w:rsidRPr="005A4CB2">
        <w:rPr>
          <w:rFonts w:ascii="Garamond" w:hAnsi="Garamond"/>
          <w:sz w:val="24"/>
          <w:lang w:val="en-CA"/>
        </w:rPr>
        <w:t>#8401 to #8600 are from a database developed by Aaron Wolf</w:t>
      </w:r>
      <w:bookmarkStart w:id="4" w:name="_Toc507158499"/>
    </w:p>
    <w:p w14:paraId="4D2117DE" w14:textId="77777777" w:rsidR="005A4CB2" w:rsidRPr="00CF08DB" w:rsidRDefault="005A4CB2" w:rsidP="005A4CB2">
      <w:pPr>
        <w:spacing w:after="0" w:line="240" w:lineRule="auto"/>
        <w:contextualSpacing/>
        <w:jc w:val="both"/>
        <w:rPr>
          <w:rFonts w:ascii="Garamond" w:hAnsi="Garamond" w:cs="Arial"/>
          <w:sz w:val="24"/>
          <w:szCs w:val="24"/>
          <w:lang w:val="en-CA"/>
        </w:rPr>
      </w:pPr>
      <w:bookmarkStart w:id="5" w:name="_Toc507158506"/>
      <w:bookmarkStart w:id="6" w:name="_Toc507158504"/>
      <w:bookmarkEnd w:id="4"/>
    </w:p>
    <w:p w14:paraId="65755388" w14:textId="51A3095B" w:rsidR="00CC0224" w:rsidRPr="00BA4FD7" w:rsidRDefault="00CC0224" w:rsidP="00295F18">
      <w:pPr>
        <w:pStyle w:val="Titre3"/>
        <w:numPr>
          <w:ilvl w:val="0"/>
          <w:numId w:val="0"/>
        </w:numPr>
        <w:spacing w:after="0"/>
        <w:ind w:left="576" w:hanging="576"/>
        <w:contextualSpacing/>
      </w:pPr>
      <w:bookmarkStart w:id="7" w:name="_Toc64659193"/>
      <w:r>
        <w:t>Name of the agreement</w:t>
      </w:r>
      <w:bookmarkEnd w:id="5"/>
      <w:bookmarkEnd w:id="7"/>
      <w:r>
        <w:t xml:space="preserve"> </w:t>
      </w:r>
    </w:p>
    <w:p w14:paraId="6112731A" w14:textId="119E1DFB" w:rsidR="00CC0224" w:rsidRDefault="00CC0224" w:rsidP="005A4CB2">
      <w:pPr>
        <w:spacing w:after="0" w:line="240" w:lineRule="auto"/>
        <w:contextualSpacing/>
        <w:jc w:val="both"/>
        <w:rPr>
          <w:rFonts w:ascii="Garamond" w:hAnsi="Garamond"/>
          <w:sz w:val="24"/>
          <w:szCs w:val="24"/>
          <w:lang w:val="en-CA"/>
        </w:rPr>
      </w:pPr>
      <w:r>
        <w:rPr>
          <w:rFonts w:ascii="Garamond" w:hAnsi="Garamond" w:cs="Arial"/>
          <w:sz w:val="24"/>
          <w:szCs w:val="24"/>
          <w:lang w:val="en-CA"/>
        </w:rPr>
        <w:t>This column indicates the f</w:t>
      </w:r>
      <w:r w:rsidRPr="00495897">
        <w:rPr>
          <w:rFonts w:ascii="Garamond" w:hAnsi="Garamond" w:cs="Arial"/>
          <w:sz w:val="24"/>
          <w:szCs w:val="24"/>
          <w:lang w:val="en-CA"/>
        </w:rPr>
        <w:t xml:space="preserve">ull name </w:t>
      </w:r>
      <w:r>
        <w:rPr>
          <w:rFonts w:ascii="Garamond" w:hAnsi="Garamond" w:cs="Arial"/>
          <w:sz w:val="24"/>
          <w:szCs w:val="24"/>
          <w:lang w:val="en-CA"/>
        </w:rPr>
        <w:t xml:space="preserve">of the environmental agreement, translated in </w:t>
      </w:r>
      <w:proofErr w:type="gramStart"/>
      <w:r w:rsidR="009808B5">
        <w:rPr>
          <w:rFonts w:ascii="Garamond" w:hAnsi="Garamond" w:cs="Arial"/>
          <w:sz w:val="24"/>
          <w:szCs w:val="24"/>
          <w:lang w:val="en-CA"/>
        </w:rPr>
        <w:t>E</w:t>
      </w:r>
      <w:r>
        <w:rPr>
          <w:rFonts w:ascii="Garamond" w:hAnsi="Garamond" w:cs="Arial"/>
          <w:sz w:val="24"/>
          <w:szCs w:val="24"/>
          <w:lang w:val="en-CA"/>
        </w:rPr>
        <w:t>nglish.</w:t>
      </w:r>
      <w:r>
        <w:rPr>
          <w:rFonts w:ascii="Garamond" w:hAnsi="Garamond"/>
          <w:sz w:val="24"/>
          <w:szCs w:val="24"/>
          <w:lang w:val="en-CA"/>
        </w:rPr>
        <w:t>.</w:t>
      </w:r>
      <w:proofErr w:type="gramEnd"/>
    </w:p>
    <w:p w14:paraId="5C888ADF" w14:textId="77777777" w:rsidR="00295F18" w:rsidRPr="00D05431" w:rsidRDefault="00295F18" w:rsidP="005A4CB2">
      <w:pPr>
        <w:spacing w:after="0" w:line="240" w:lineRule="auto"/>
        <w:contextualSpacing/>
        <w:jc w:val="both"/>
        <w:rPr>
          <w:rFonts w:ascii="Garamond" w:hAnsi="Garamond"/>
          <w:sz w:val="24"/>
          <w:szCs w:val="24"/>
          <w:lang w:val="en-CA"/>
        </w:rPr>
      </w:pPr>
    </w:p>
    <w:p w14:paraId="5A1B69F9" w14:textId="03BB9670" w:rsidR="00CC0224" w:rsidRPr="00BA4FD7" w:rsidRDefault="00CC0224" w:rsidP="00295F18">
      <w:pPr>
        <w:pStyle w:val="Titre3"/>
        <w:numPr>
          <w:ilvl w:val="0"/>
          <w:numId w:val="0"/>
        </w:numPr>
        <w:spacing w:after="0"/>
        <w:ind w:left="576" w:hanging="576"/>
        <w:contextualSpacing/>
      </w:pPr>
      <w:bookmarkStart w:id="8" w:name="_Toc507158507"/>
      <w:bookmarkStart w:id="9" w:name="_Toc64659194"/>
      <w:bookmarkEnd w:id="6"/>
      <w:r>
        <w:t>Official s</w:t>
      </w:r>
      <w:r w:rsidRPr="00BA4FD7">
        <w:t>ignature date</w:t>
      </w:r>
      <w:bookmarkEnd w:id="8"/>
      <w:bookmarkEnd w:id="9"/>
    </w:p>
    <w:p w14:paraId="68BD5A75" w14:textId="79F0CDBE" w:rsidR="00CC0224" w:rsidRPr="00BD0D9A" w:rsidRDefault="00CC0224" w:rsidP="005A4CB2">
      <w:pPr>
        <w:spacing w:after="0" w:line="240" w:lineRule="auto"/>
        <w:contextualSpacing/>
        <w:jc w:val="both"/>
        <w:rPr>
          <w:rFonts w:ascii="Garamond" w:hAnsi="Garamond" w:cs="Arial"/>
          <w:sz w:val="24"/>
          <w:szCs w:val="24"/>
          <w:lang w:val="en-CA"/>
        </w:rPr>
      </w:pPr>
      <w:r>
        <w:rPr>
          <w:rFonts w:ascii="Garamond" w:hAnsi="Garamond" w:cs="Arial"/>
          <w:sz w:val="24"/>
          <w:szCs w:val="24"/>
          <w:lang w:val="en-CA"/>
        </w:rPr>
        <w:t xml:space="preserve">The signature date column records the moment where signatories initially signed the environmental agreement. It is possible that some signatories have signed the agreement later. The format used for the dates is year-month-day. </w:t>
      </w:r>
    </w:p>
    <w:p w14:paraId="1EE1D64D" w14:textId="77777777" w:rsidR="00CC0224" w:rsidRDefault="00CC0224" w:rsidP="005A4CB2">
      <w:pPr>
        <w:spacing w:after="0" w:line="240" w:lineRule="auto"/>
        <w:contextualSpacing/>
        <w:jc w:val="both"/>
        <w:rPr>
          <w:rFonts w:ascii="Garamond" w:hAnsi="Garamond"/>
          <w:sz w:val="24"/>
          <w:szCs w:val="24"/>
          <w:lang w:val="en-US"/>
        </w:rPr>
      </w:pPr>
      <w:r>
        <w:rPr>
          <w:rFonts w:ascii="Garamond" w:hAnsi="Garamond" w:cs="Arial"/>
          <w:sz w:val="24"/>
          <w:szCs w:val="24"/>
          <w:lang w:val="en-CA"/>
        </w:rPr>
        <w:t>When the exact date of signature is unknown and that the PDF’s name is mentioning a specific year, we use the formula ex: 2004-00-00. When the signature date is unavailable, we use the formula 0000-00-00.</w:t>
      </w:r>
    </w:p>
    <w:p w14:paraId="1ABC1890" w14:textId="77777777" w:rsidR="00295F18" w:rsidRDefault="00295F18" w:rsidP="00295F18">
      <w:pPr>
        <w:pStyle w:val="Titre3"/>
        <w:numPr>
          <w:ilvl w:val="0"/>
          <w:numId w:val="0"/>
        </w:numPr>
        <w:spacing w:after="0"/>
        <w:ind w:left="576" w:hanging="576"/>
        <w:contextualSpacing/>
      </w:pPr>
      <w:bookmarkStart w:id="10" w:name="_Toc507158508"/>
    </w:p>
    <w:p w14:paraId="58E6F9B9" w14:textId="06D4548B" w:rsidR="00CC0224" w:rsidRPr="00BA4FD7" w:rsidRDefault="00CC0224" w:rsidP="00295F18">
      <w:pPr>
        <w:pStyle w:val="Titre3"/>
        <w:numPr>
          <w:ilvl w:val="0"/>
          <w:numId w:val="0"/>
        </w:numPr>
        <w:spacing w:after="0"/>
        <w:ind w:left="576" w:hanging="576"/>
        <w:contextualSpacing/>
      </w:pPr>
      <w:bookmarkStart w:id="11" w:name="_Toc64659195"/>
      <w:r>
        <w:t>Official entry into force date</w:t>
      </w:r>
      <w:bookmarkEnd w:id="10"/>
      <w:bookmarkEnd w:id="11"/>
    </w:p>
    <w:p w14:paraId="30071F6D" w14:textId="3D070B67" w:rsidR="00CC0224" w:rsidRDefault="00CC0224" w:rsidP="005A4CB2">
      <w:pPr>
        <w:spacing w:after="0" w:line="240" w:lineRule="auto"/>
        <w:contextualSpacing/>
        <w:jc w:val="both"/>
        <w:rPr>
          <w:rFonts w:ascii="Garamond" w:hAnsi="Garamond" w:cs="Arial"/>
          <w:sz w:val="24"/>
          <w:szCs w:val="24"/>
          <w:lang w:val="en-CA"/>
        </w:rPr>
      </w:pPr>
      <w:r>
        <w:rPr>
          <w:rFonts w:ascii="Garamond" w:hAnsi="Garamond" w:cs="Arial"/>
          <w:sz w:val="24"/>
          <w:szCs w:val="24"/>
          <w:lang w:val="en-CA"/>
        </w:rPr>
        <w:t>The d</w:t>
      </w:r>
      <w:r w:rsidRPr="00BA4FD7">
        <w:rPr>
          <w:rFonts w:ascii="Garamond" w:hAnsi="Garamond" w:cs="Arial"/>
          <w:sz w:val="24"/>
          <w:szCs w:val="24"/>
          <w:lang w:val="en-CA"/>
        </w:rPr>
        <w:t>ate</w:t>
      </w:r>
      <w:r>
        <w:rPr>
          <w:rFonts w:ascii="Garamond" w:hAnsi="Garamond" w:cs="Arial"/>
          <w:sz w:val="24"/>
          <w:szCs w:val="24"/>
          <w:lang w:val="en-CA"/>
        </w:rPr>
        <w:t>s</w:t>
      </w:r>
      <w:r w:rsidRPr="00BA4FD7">
        <w:rPr>
          <w:rFonts w:ascii="Garamond" w:hAnsi="Garamond" w:cs="Arial"/>
          <w:sz w:val="24"/>
          <w:szCs w:val="24"/>
          <w:lang w:val="en-CA"/>
        </w:rPr>
        <w:t xml:space="preserve"> of entry into force </w:t>
      </w:r>
      <w:r>
        <w:rPr>
          <w:rFonts w:ascii="Garamond" w:hAnsi="Garamond" w:cs="Arial"/>
          <w:sz w:val="24"/>
          <w:szCs w:val="24"/>
          <w:lang w:val="en-CA"/>
        </w:rPr>
        <w:t>represent the date where</w:t>
      </w:r>
      <w:r w:rsidRPr="00BA4FD7">
        <w:rPr>
          <w:rFonts w:ascii="Garamond" w:hAnsi="Garamond" w:cs="Arial"/>
          <w:sz w:val="24"/>
          <w:szCs w:val="24"/>
          <w:lang w:val="en-CA"/>
        </w:rPr>
        <w:t xml:space="preserve"> the agreement </w:t>
      </w:r>
      <w:r>
        <w:rPr>
          <w:rFonts w:ascii="Garamond" w:hAnsi="Garamond" w:cs="Arial"/>
          <w:sz w:val="24"/>
          <w:szCs w:val="24"/>
          <w:lang w:val="en-CA"/>
        </w:rPr>
        <w:t>has entered into force. The format used for the dates is year-month-day.</w:t>
      </w:r>
    </w:p>
    <w:p w14:paraId="5F0FC82E" w14:textId="30633132" w:rsidR="00CC0224" w:rsidRDefault="00CC0224" w:rsidP="005A4CB2">
      <w:pPr>
        <w:spacing w:after="0" w:line="240" w:lineRule="auto"/>
        <w:contextualSpacing/>
        <w:jc w:val="both"/>
        <w:rPr>
          <w:rFonts w:ascii="Garamond" w:hAnsi="Garamond" w:cs="Arial"/>
          <w:sz w:val="24"/>
          <w:szCs w:val="24"/>
          <w:lang w:val="en-US"/>
        </w:rPr>
      </w:pPr>
      <w:r w:rsidRPr="00BD0D9A">
        <w:rPr>
          <w:rFonts w:ascii="Garamond" w:hAnsi="Garamond" w:cs="Arial"/>
          <w:sz w:val="24"/>
          <w:szCs w:val="24"/>
          <w:lang w:val="en-US"/>
        </w:rPr>
        <w:t xml:space="preserve">In some agreements, </w:t>
      </w:r>
      <w:r w:rsidRPr="00C54257">
        <w:rPr>
          <w:rFonts w:ascii="Garamond" w:hAnsi="Garamond" w:cs="Arial"/>
          <w:sz w:val="24"/>
          <w:szCs w:val="24"/>
          <w:lang w:val="en-US"/>
        </w:rPr>
        <w:t>the date of entry into force is pro</w:t>
      </w:r>
      <w:r>
        <w:rPr>
          <w:rFonts w:ascii="Garamond" w:hAnsi="Garamond" w:cs="Arial"/>
          <w:sz w:val="24"/>
          <w:szCs w:val="24"/>
          <w:lang w:val="en-US"/>
        </w:rPr>
        <w:t>vided as retroactive to an earlier</w:t>
      </w:r>
      <w:r w:rsidRPr="00C54257">
        <w:rPr>
          <w:rFonts w:ascii="Garamond" w:hAnsi="Garamond" w:cs="Arial"/>
          <w:sz w:val="24"/>
          <w:szCs w:val="24"/>
          <w:lang w:val="en-US"/>
        </w:rPr>
        <w:t xml:space="preserve"> date</w:t>
      </w:r>
      <w:r w:rsidRPr="001D44C3">
        <w:rPr>
          <w:rFonts w:ascii="Garamond" w:hAnsi="Garamond" w:cs="Arial"/>
          <w:sz w:val="24"/>
          <w:szCs w:val="24"/>
          <w:lang w:val="en-US"/>
        </w:rPr>
        <w:t xml:space="preserve"> for the entire agreement</w:t>
      </w:r>
      <w:r w:rsidRPr="00BD0D9A">
        <w:rPr>
          <w:rFonts w:ascii="Garamond" w:hAnsi="Garamond" w:cs="Arial"/>
          <w:sz w:val="24"/>
          <w:szCs w:val="24"/>
          <w:lang w:val="en-US"/>
        </w:rPr>
        <w:t xml:space="preserve">. In some cases, only some parts of the agreement are subject to enter into force to a retroactive date. </w:t>
      </w:r>
      <w:r>
        <w:rPr>
          <w:rFonts w:ascii="Garamond" w:hAnsi="Garamond" w:cs="Arial"/>
          <w:sz w:val="24"/>
          <w:szCs w:val="24"/>
          <w:lang w:val="en-US"/>
        </w:rPr>
        <w:t xml:space="preserve">In these cases, we did not </w:t>
      </w:r>
      <w:r w:rsidR="00BE48B6">
        <w:rPr>
          <w:rFonts w:ascii="Garamond" w:hAnsi="Garamond" w:cs="Arial"/>
          <w:sz w:val="24"/>
          <w:szCs w:val="24"/>
          <w:lang w:val="en-US"/>
        </w:rPr>
        <w:t>consider</w:t>
      </w:r>
      <w:r>
        <w:rPr>
          <w:rFonts w:ascii="Garamond" w:hAnsi="Garamond" w:cs="Arial"/>
          <w:sz w:val="24"/>
          <w:szCs w:val="24"/>
          <w:lang w:val="en-US"/>
        </w:rPr>
        <w:t xml:space="preserve"> this retroactivity, and we took the regular date of entry into force</w:t>
      </w:r>
      <w:r w:rsidRPr="00BD0D9A">
        <w:rPr>
          <w:rFonts w:ascii="Garamond" w:hAnsi="Garamond" w:cs="Arial"/>
          <w:sz w:val="24"/>
          <w:szCs w:val="24"/>
          <w:lang w:val="en-US"/>
        </w:rPr>
        <w:t>.</w:t>
      </w:r>
      <w:r>
        <w:rPr>
          <w:rFonts w:ascii="Garamond" w:hAnsi="Garamond" w:cs="Arial"/>
          <w:sz w:val="24"/>
          <w:szCs w:val="24"/>
          <w:lang w:val="en-US"/>
        </w:rPr>
        <w:t xml:space="preserve"> The same occurs for a provisional date of entry into force.</w:t>
      </w:r>
    </w:p>
    <w:p w14:paraId="7B7F8318" w14:textId="524D4602" w:rsidR="00CC0224" w:rsidRDefault="00CC0224" w:rsidP="005A4CB2">
      <w:pPr>
        <w:spacing w:after="0" w:line="240" w:lineRule="auto"/>
        <w:contextualSpacing/>
        <w:jc w:val="both"/>
        <w:rPr>
          <w:rFonts w:ascii="Garamond" w:hAnsi="Garamond" w:cs="Arial"/>
          <w:sz w:val="24"/>
          <w:szCs w:val="24"/>
          <w:lang w:val="en-CA"/>
        </w:rPr>
      </w:pPr>
      <w:r>
        <w:rPr>
          <w:rFonts w:ascii="Garamond" w:hAnsi="Garamond" w:cs="Arial"/>
          <w:sz w:val="24"/>
          <w:szCs w:val="24"/>
          <w:lang w:val="en-CA"/>
        </w:rPr>
        <w:t>When the date of entry into force is unavailable, we use the formula 0000-00-00.</w:t>
      </w:r>
    </w:p>
    <w:p w14:paraId="7983A186" w14:textId="77777777" w:rsidR="00295F18" w:rsidRPr="00531135" w:rsidRDefault="00295F18" w:rsidP="005A4CB2">
      <w:pPr>
        <w:spacing w:after="0" w:line="240" w:lineRule="auto"/>
        <w:contextualSpacing/>
        <w:jc w:val="both"/>
        <w:rPr>
          <w:rFonts w:ascii="Garamond" w:hAnsi="Garamond"/>
          <w:sz w:val="24"/>
          <w:szCs w:val="24"/>
          <w:lang w:val="en-US"/>
        </w:rPr>
      </w:pPr>
    </w:p>
    <w:p w14:paraId="44AFA691" w14:textId="77777777" w:rsidR="00CC0224" w:rsidRPr="00EE269A" w:rsidRDefault="00CC0224" w:rsidP="00295F18">
      <w:pPr>
        <w:pStyle w:val="Titre3"/>
        <w:numPr>
          <w:ilvl w:val="0"/>
          <w:numId w:val="0"/>
        </w:numPr>
        <w:spacing w:after="0"/>
        <w:ind w:left="576" w:hanging="576"/>
        <w:contextualSpacing/>
      </w:pPr>
      <w:bookmarkStart w:id="12" w:name="_Toc507158510"/>
      <w:bookmarkStart w:id="13" w:name="_Toc64659196"/>
      <w:r>
        <w:t>Signatory country</w:t>
      </w:r>
      <w:bookmarkEnd w:id="12"/>
      <w:bookmarkEnd w:id="13"/>
    </w:p>
    <w:p w14:paraId="0ABD5774" w14:textId="3CE25520" w:rsidR="00CC0224" w:rsidRPr="000252AA" w:rsidRDefault="00CC0224" w:rsidP="00295F18">
      <w:pPr>
        <w:spacing w:after="0" w:line="240" w:lineRule="auto"/>
        <w:contextualSpacing/>
        <w:jc w:val="both"/>
        <w:rPr>
          <w:rFonts w:ascii="Garamond" w:hAnsi="Garamond"/>
          <w:sz w:val="24"/>
          <w:lang w:val="en-CA"/>
        </w:rPr>
      </w:pPr>
      <w:r w:rsidRPr="002179C1">
        <w:rPr>
          <w:rFonts w:ascii="Garamond" w:hAnsi="Garamond"/>
          <w:sz w:val="24"/>
          <w:lang w:val="en-CA"/>
        </w:rPr>
        <w:t xml:space="preserve">This column lists the countries that have signed </w:t>
      </w:r>
      <w:r>
        <w:rPr>
          <w:rFonts w:ascii="Garamond" w:hAnsi="Garamond"/>
          <w:sz w:val="24"/>
          <w:lang w:val="en-CA"/>
        </w:rPr>
        <w:t>an</w:t>
      </w:r>
      <w:r w:rsidRPr="002179C1">
        <w:rPr>
          <w:rFonts w:ascii="Garamond" w:hAnsi="Garamond"/>
          <w:sz w:val="24"/>
          <w:lang w:val="en-CA"/>
        </w:rPr>
        <w:t xml:space="preserve"> </w:t>
      </w:r>
      <w:r>
        <w:rPr>
          <w:rFonts w:ascii="Garamond" w:hAnsi="Garamond"/>
          <w:sz w:val="24"/>
          <w:lang w:val="en-CA"/>
        </w:rPr>
        <w:t>agreement</w:t>
      </w:r>
      <w:r w:rsidRPr="002179C1">
        <w:rPr>
          <w:rFonts w:ascii="Garamond" w:hAnsi="Garamond"/>
          <w:sz w:val="24"/>
          <w:lang w:val="en-CA"/>
        </w:rPr>
        <w:t xml:space="preserve">. </w:t>
      </w:r>
      <w:r w:rsidR="00295F18">
        <w:rPr>
          <w:rFonts w:ascii="Garamond" w:hAnsi="Garamond"/>
          <w:sz w:val="24"/>
          <w:lang w:val="en-CA"/>
        </w:rPr>
        <w:t>F</w:t>
      </w:r>
      <w:r>
        <w:rPr>
          <w:rFonts w:ascii="Garamond" w:hAnsi="Garamond"/>
          <w:sz w:val="24"/>
          <w:lang w:val="en-CA"/>
        </w:rPr>
        <w:t xml:space="preserve">or the same agreement, each </w:t>
      </w:r>
      <w:r w:rsidRPr="00A57C70">
        <w:rPr>
          <w:rFonts w:ascii="Garamond" w:hAnsi="Garamond"/>
          <w:sz w:val="24"/>
          <w:lang w:val="en-CA"/>
        </w:rPr>
        <w:t xml:space="preserve">party has its own line in </w:t>
      </w:r>
      <w:r w:rsidR="007E3BCA" w:rsidRPr="00A57C70">
        <w:rPr>
          <w:rFonts w:ascii="Garamond" w:hAnsi="Garamond"/>
          <w:sz w:val="24"/>
          <w:lang w:val="en-CA"/>
        </w:rPr>
        <w:t>FEEL database</w:t>
      </w:r>
      <w:r w:rsidRPr="00A57C70">
        <w:rPr>
          <w:rFonts w:ascii="Garamond" w:hAnsi="Garamond"/>
          <w:sz w:val="24"/>
          <w:lang w:val="en-CA"/>
        </w:rPr>
        <w:t xml:space="preserve">. If an agreement has thirty signatories, then thirty lines will be reserved for it in </w:t>
      </w:r>
      <w:r w:rsidR="00351F9A" w:rsidRPr="00A57C70">
        <w:rPr>
          <w:rFonts w:ascii="Garamond" w:hAnsi="Garamond"/>
          <w:sz w:val="24"/>
          <w:lang w:val="en-CA"/>
        </w:rPr>
        <w:t>FEEL database</w:t>
      </w:r>
      <w:r w:rsidRPr="00A57C70">
        <w:rPr>
          <w:rFonts w:ascii="Garamond" w:hAnsi="Garamond"/>
          <w:sz w:val="24"/>
          <w:lang w:val="en-CA"/>
        </w:rPr>
        <w:t>: one</w:t>
      </w:r>
      <w:r w:rsidRPr="007F51DD">
        <w:rPr>
          <w:rFonts w:ascii="Garamond" w:hAnsi="Garamond"/>
          <w:sz w:val="24"/>
          <w:lang w:val="en-CA"/>
        </w:rPr>
        <w:t xml:space="preserve"> </w:t>
      </w:r>
      <w:r>
        <w:rPr>
          <w:rFonts w:ascii="Garamond" w:hAnsi="Garamond"/>
          <w:sz w:val="24"/>
          <w:lang w:val="en-CA"/>
        </w:rPr>
        <w:t xml:space="preserve">signatory </w:t>
      </w:r>
      <w:r w:rsidRPr="007F51DD">
        <w:rPr>
          <w:rFonts w:ascii="Garamond" w:hAnsi="Garamond"/>
          <w:sz w:val="24"/>
          <w:lang w:val="en-CA"/>
        </w:rPr>
        <w:t xml:space="preserve">country per line. </w:t>
      </w:r>
    </w:p>
    <w:p w14:paraId="1CD0C107" w14:textId="15E617CD" w:rsidR="00CC0224" w:rsidRPr="004F6183" w:rsidRDefault="00CC0224" w:rsidP="005A4CB2">
      <w:pPr>
        <w:spacing w:after="0" w:line="240" w:lineRule="auto"/>
        <w:contextualSpacing/>
        <w:jc w:val="both"/>
        <w:rPr>
          <w:rFonts w:ascii="Garamond" w:hAnsi="Garamond"/>
          <w:sz w:val="24"/>
          <w:lang w:val="en-CA"/>
        </w:rPr>
      </w:pPr>
      <w:r>
        <w:rPr>
          <w:rFonts w:ascii="Garamond" w:hAnsi="Garamond"/>
          <w:sz w:val="24"/>
          <w:lang w:val="en-CA"/>
        </w:rPr>
        <w:t xml:space="preserve">It includes recognized countries as well as territories with </w:t>
      </w:r>
      <w:r w:rsidRPr="00136607">
        <w:rPr>
          <w:rFonts w:ascii="Garamond" w:hAnsi="Garamond"/>
          <w:sz w:val="24"/>
          <w:lang w:val="en-CA"/>
        </w:rPr>
        <w:t>a certain autonomy, allowing them to sign their own treaties and to engage on their behalf.</w:t>
      </w:r>
      <w:r>
        <w:rPr>
          <w:rFonts w:ascii="Garamond" w:hAnsi="Garamond"/>
          <w:sz w:val="24"/>
          <w:lang w:val="en-CA"/>
        </w:rPr>
        <w:t xml:space="preserve"> This includes </w:t>
      </w:r>
      <w:r w:rsidRPr="004F6183">
        <w:rPr>
          <w:rFonts w:ascii="Garamond" w:hAnsi="Garamond"/>
          <w:sz w:val="24"/>
          <w:lang w:val="en-CA"/>
        </w:rPr>
        <w:t>British Overseas Territories</w:t>
      </w:r>
      <w:r>
        <w:rPr>
          <w:rFonts w:ascii="Garamond" w:hAnsi="Garamond"/>
          <w:sz w:val="24"/>
          <w:lang w:val="en-CA"/>
        </w:rPr>
        <w:t xml:space="preserve"> (Montserrat, Saint Helena, </w:t>
      </w:r>
      <w:r w:rsidRPr="004F6183">
        <w:rPr>
          <w:rFonts w:ascii="Garamond" w:hAnsi="Garamond"/>
          <w:sz w:val="24"/>
          <w:lang w:val="en-CA"/>
        </w:rPr>
        <w:t>Turks and Caicos Islands</w:t>
      </w:r>
      <w:r>
        <w:rPr>
          <w:rFonts w:ascii="Garamond" w:hAnsi="Garamond"/>
          <w:sz w:val="24"/>
          <w:lang w:val="en-CA"/>
        </w:rPr>
        <w:t xml:space="preserve">, </w:t>
      </w:r>
      <w:r w:rsidRPr="004F6183">
        <w:rPr>
          <w:rFonts w:ascii="Garamond" w:hAnsi="Garamond"/>
          <w:sz w:val="24"/>
          <w:lang w:val="en-CA"/>
        </w:rPr>
        <w:t>British Virgin Islands</w:t>
      </w:r>
      <w:r>
        <w:rPr>
          <w:rFonts w:ascii="Garamond" w:hAnsi="Garamond"/>
          <w:sz w:val="24"/>
          <w:lang w:val="en-CA"/>
        </w:rPr>
        <w:t xml:space="preserve">, Falkland Island, Bermuda, etc.), </w:t>
      </w:r>
      <w:r w:rsidRPr="004F6183">
        <w:rPr>
          <w:rFonts w:ascii="Garamond" w:hAnsi="Garamond"/>
          <w:sz w:val="24"/>
          <w:lang w:val="en-CA"/>
        </w:rPr>
        <w:t>Dutch Caribbean</w:t>
      </w:r>
      <w:r>
        <w:rPr>
          <w:rFonts w:ascii="Garamond" w:hAnsi="Garamond"/>
          <w:sz w:val="24"/>
          <w:lang w:val="en-CA"/>
        </w:rPr>
        <w:t xml:space="preserve"> islands and territories part of the Kingdom of the Netherlands (Aruba, Sint </w:t>
      </w:r>
      <w:proofErr w:type="spellStart"/>
      <w:r>
        <w:rPr>
          <w:rFonts w:ascii="Garamond" w:hAnsi="Garamond"/>
          <w:sz w:val="24"/>
          <w:lang w:val="en-CA"/>
        </w:rPr>
        <w:t>Marteen</w:t>
      </w:r>
      <w:proofErr w:type="spellEnd"/>
      <w:r>
        <w:rPr>
          <w:rFonts w:ascii="Garamond" w:hAnsi="Garamond"/>
          <w:sz w:val="24"/>
          <w:lang w:val="en-CA"/>
        </w:rPr>
        <w:t xml:space="preserve">, Curaçao), </w:t>
      </w:r>
      <w:r w:rsidRPr="00C702E2">
        <w:rPr>
          <w:rFonts w:ascii="Garamond" w:hAnsi="Garamond"/>
          <w:sz w:val="24"/>
          <w:lang w:val="en-CA"/>
        </w:rPr>
        <w:t xml:space="preserve">China’s special administrative regions </w:t>
      </w:r>
      <w:r>
        <w:rPr>
          <w:rFonts w:ascii="Garamond" w:hAnsi="Garamond"/>
          <w:sz w:val="24"/>
          <w:lang w:val="en-CA"/>
        </w:rPr>
        <w:t xml:space="preserve">(Hong Kong and Macao), as well as others like Tokelau, Cook Islands, New Caledonia, Abkhazia and South Ossetia. </w:t>
      </w:r>
    </w:p>
    <w:p w14:paraId="0F89F2C0" w14:textId="51E8838B" w:rsidR="00CC0224" w:rsidRDefault="00CC0224" w:rsidP="005A4CB2">
      <w:pPr>
        <w:spacing w:after="0" w:line="240" w:lineRule="auto"/>
        <w:contextualSpacing/>
        <w:jc w:val="both"/>
        <w:rPr>
          <w:rFonts w:ascii="Garamond" w:hAnsi="Garamond"/>
          <w:sz w:val="24"/>
          <w:lang w:val="en-CA"/>
        </w:rPr>
      </w:pPr>
      <w:r>
        <w:rPr>
          <w:rFonts w:ascii="Garamond" w:hAnsi="Garamond"/>
          <w:sz w:val="24"/>
          <w:lang w:val="en-CA"/>
        </w:rPr>
        <w:lastRenderedPageBreak/>
        <w:t xml:space="preserve">The name of the country is indicated as </w:t>
      </w:r>
      <w:r w:rsidRPr="001960A0">
        <w:rPr>
          <w:rFonts w:ascii="Garamond" w:hAnsi="Garamond"/>
          <w:sz w:val="24"/>
          <w:lang w:val="en-CA"/>
        </w:rPr>
        <w:t>it was when the agreement was signed</w:t>
      </w:r>
      <w:r>
        <w:rPr>
          <w:rFonts w:ascii="Garamond" w:hAnsi="Garamond"/>
          <w:sz w:val="24"/>
          <w:lang w:val="en-CA"/>
        </w:rPr>
        <w:t xml:space="preserve">. </w:t>
      </w:r>
    </w:p>
    <w:p w14:paraId="3A3274FC" w14:textId="49C32628" w:rsidR="00CC0224" w:rsidRPr="00356992" w:rsidRDefault="00CC0224" w:rsidP="005A4CB2">
      <w:pPr>
        <w:spacing w:after="0" w:line="240" w:lineRule="auto"/>
        <w:contextualSpacing/>
        <w:jc w:val="both"/>
        <w:rPr>
          <w:rFonts w:ascii="Garamond" w:hAnsi="Garamond"/>
          <w:sz w:val="24"/>
          <w:lang w:val="en-CA"/>
        </w:rPr>
      </w:pPr>
      <w:r>
        <w:rPr>
          <w:rFonts w:ascii="Garamond" w:hAnsi="Garamond"/>
          <w:sz w:val="24"/>
          <w:lang w:val="en-CA"/>
        </w:rPr>
        <w:t xml:space="preserve">In case of federated countries signing </w:t>
      </w:r>
      <w:r w:rsidR="005D50A3">
        <w:rPr>
          <w:rFonts w:ascii="Garamond" w:hAnsi="Garamond"/>
          <w:sz w:val="24"/>
          <w:lang w:val="en-CA"/>
        </w:rPr>
        <w:t>o</w:t>
      </w:r>
      <w:r>
        <w:rPr>
          <w:rFonts w:ascii="Garamond" w:hAnsi="Garamond"/>
          <w:sz w:val="24"/>
          <w:lang w:val="en-CA"/>
        </w:rPr>
        <w:t>n behalf of their federated entities, the country will be included in the signatories and the name of the federated entity display in another column</w:t>
      </w:r>
      <w:r w:rsidR="00295F18">
        <w:rPr>
          <w:rFonts w:ascii="Garamond" w:hAnsi="Garamond"/>
          <w:sz w:val="24"/>
          <w:lang w:val="en-CA"/>
        </w:rPr>
        <w:t>.</w:t>
      </w:r>
    </w:p>
    <w:p w14:paraId="7116E50E" w14:textId="77777777" w:rsidR="00295F18" w:rsidRDefault="00295F18" w:rsidP="00295F18">
      <w:pPr>
        <w:pStyle w:val="Titre3"/>
        <w:numPr>
          <w:ilvl w:val="0"/>
          <w:numId w:val="0"/>
        </w:numPr>
        <w:spacing w:after="0"/>
        <w:ind w:left="576" w:hanging="576"/>
        <w:contextualSpacing/>
      </w:pPr>
      <w:bookmarkStart w:id="14" w:name="_Toc507158511"/>
    </w:p>
    <w:p w14:paraId="7C1C4F7F" w14:textId="5A97153E" w:rsidR="00CC0224" w:rsidRPr="00EE269A" w:rsidRDefault="00CC0224" w:rsidP="00295F18">
      <w:pPr>
        <w:pStyle w:val="Titre3"/>
        <w:numPr>
          <w:ilvl w:val="0"/>
          <w:numId w:val="0"/>
        </w:numPr>
        <w:spacing w:after="0"/>
        <w:ind w:left="576" w:hanging="576"/>
        <w:contextualSpacing/>
      </w:pPr>
      <w:bookmarkStart w:id="15" w:name="_Toc64659197"/>
      <w:r>
        <w:t>ISO country code</w:t>
      </w:r>
      <w:bookmarkEnd w:id="14"/>
      <w:bookmarkEnd w:id="15"/>
    </w:p>
    <w:p w14:paraId="5092240F" w14:textId="2EDBD5BB" w:rsidR="00295F18" w:rsidRDefault="00CC0224" w:rsidP="005A4CB2">
      <w:pPr>
        <w:spacing w:after="0" w:line="240" w:lineRule="auto"/>
        <w:contextualSpacing/>
        <w:jc w:val="both"/>
        <w:rPr>
          <w:rFonts w:ascii="Garamond" w:hAnsi="Garamond"/>
          <w:sz w:val="24"/>
          <w:lang w:val="en-US"/>
        </w:rPr>
      </w:pPr>
      <w:r>
        <w:rPr>
          <w:rFonts w:ascii="Garamond" w:hAnsi="Garamond"/>
          <w:sz w:val="24"/>
          <w:lang w:val="en-US"/>
        </w:rPr>
        <w:t>This column indicates the ISO country code (alpha-3) for each of the signatory country.</w:t>
      </w:r>
    </w:p>
    <w:p w14:paraId="6522BBC9" w14:textId="382723B8" w:rsidR="00CC0224" w:rsidRDefault="00CC0224" w:rsidP="005A4CB2">
      <w:pPr>
        <w:spacing w:after="0" w:line="240" w:lineRule="auto"/>
        <w:contextualSpacing/>
        <w:jc w:val="both"/>
        <w:rPr>
          <w:rFonts w:ascii="Garamond" w:hAnsi="Garamond"/>
          <w:sz w:val="24"/>
          <w:lang w:val="en-US"/>
        </w:rPr>
      </w:pPr>
      <w:r>
        <w:rPr>
          <w:rFonts w:ascii="Garamond" w:hAnsi="Garamond"/>
          <w:sz w:val="24"/>
          <w:lang w:val="en-US"/>
        </w:rPr>
        <w:t xml:space="preserve"> </w:t>
      </w:r>
    </w:p>
    <w:p w14:paraId="73997A24" w14:textId="60CCD08C" w:rsidR="00CC0224" w:rsidRPr="005B7870" w:rsidRDefault="00CC0224" w:rsidP="00295F18">
      <w:pPr>
        <w:pStyle w:val="Titre3"/>
        <w:numPr>
          <w:ilvl w:val="0"/>
          <w:numId w:val="0"/>
        </w:numPr>
        <w:spacing w:after="0"/>
        <w:ind w:left="576" w:hanging="576"/>
        <w:contextualSpacing/>
      </w:pPr>
      <w:bookmarkStart w:id="16" w:name="_Toc507158512"/>
      <w:bookmarkStart w:id="17" w:name="_Toc64659198"/>
      <w:r>
        <w:t>Federated State</w:t>
      </w:r>
      <w:bookmarkEnd w:id="16"/>
      <w:bookmarkEnd w:id="17"/>
      <w:r>
        <w:t xml:space="preserve"> </w:t>
      </w:r>
    </w:p>
    <w:p w14:paraId="61EFAAC4" w14:textId="05BF531C" w:rsidR="00CC0224" w:rsidRDefault="00CC0224" w:rsidP="005A4CB2">
      <w:pPr>
        <w:spacing w:after="0" w:line="240" w:lineRule="auto"/>
        <w:contextualSpacing/>
        <w:jc w:val="both"/>
        <w:rPr>
          <w:rFonts w:ascii="Garamond" w:hAnsi="Garamond" w:cs="Arial"/>
          <w:sz w:val="24"/>
          <w:szCs w:val="24"/>
          <w:lang w:val="en-CA"/>
        </w:rPr>
      </w:pPr>
      <w:r>
        <w:rPr>
          <w:rFonts w:ascii="Garamond" w:hAnsi="Garamond" w:cs="Arial"/>
          <w:sz w:val="24"/>
          <w:szCs w:val="24"/>
          <w:lang w:val="en-CA"/>
        </w:rPr>
        <w:t>This column records the presence or absence of a federated entity in an agreement. As mentioned earlier, the State to</w:t>
      </w:r>
      <w:r w:rsidRPr="00836F31">
        <w:rPr>
          <w:rFonts w:ascii="Garamond" w:hAnsi="Garamond" w:cs="Arial"/>
          <w:sz w:val="24"/>
          <w:szCs w:val="24"/>
          <w:lang w:val="en-CA"/>
        </w:rPr>
        <w:t xml:space="preserve"> which the federated entity </w:t>
      </w:r>
      <w:r>
        <w:rPr>
          <w:rFonts w:ascii="Garamond" w:hAnsi="Garamond" w:cs="Arial"/>
          <w:sz w:val="24"/>
          <w:szCs w:val="24"/>
          <w:lang w:val="en-CA"/>
        </w:rPr>
        <w:t xml:space="preserve">is related is included in the column Signatory country, because </w:t>
      </w:r>
      <w:r w:rsidR="00B819DB">
        <w:rPr>
          <w:rFonts w:ascii="Garamond" w:hAnsi="Garamond" w:cs="Arial"/>
          <w:sz w:val="24"/>
          <w:szCs w:val="24"/>
          <w:lang w:val="en-CA"/>
        </w:rPr>
        <w:t>f</w:t>
      </w:r>
      <w:r>
        <w:rPr>
          <w:rFonts w:ascii="Garamond" w:hAnsi="Garamond" w:cs="Arial"/>
          <w:sz w:val="24"/>
          <w:szCs w:val="24"/>
          <w:lang w:val="en-CA"/>
        </w:rPr>
        <w:t xml:space="preserve">ederal States signed on the behalf of their entities. The data was taken from IEA and as well as from the texts of the agreements. </w:t>
      </w:r>
    </w:p>
    <w:p w14:paraId="6F22D403" w14:textId="42CD252D" w:rsidR="00CC0224" w:rsidRPr="00836F31" w:rsidRDefault="00CC0224" w:rsidP="00295F18">
      <w:pPr>
        <w:spacing w:after="0" w:line="240" w:lineRule="auto"/>
        <w:contextualSpacing/>
        <w:jc w:val="both"/>
        <w:rPr>
          <w:rFonts w:ascii="Garamond" w:hAnsi="Garamond" w:cs="Arial"/>
          <w:sz w:val="24"/>
          <w:szCs w:val="24"/>
          <w:lang w:val="en-CA"/>
        </w:rPr>
      </w:pPr>
      <w:r>
        <w:rPr>
          <w:rFonts w:ascii="Garamond" w:hAnsi="Garamond" w:cs="Arial"/>
          <w:sz w:val="24"/>
          <w:szCs w:val="24"/>
          <w:lang w:val="en-CA"/>
        </w:rPr>
        <w:t xml:space="preserve">The mention “NA” means no federated States are included in the agreement. Otherwise, the name of the federated entity will be written. </w:t>
      </w:r>
    </w:p>
    <w:p w14:paraId="262C6888" w14:textId="4EE7650C" w:rsidR="00CC0224" w:rsidRPr="000E76F6" w:rsidRDefault="00CC0224" w:rsidP="005A4CB2">
      <w:pPr>
        <w:spacing w:after="0" w:line="240" w:lineRule="auto"/>
        <w:contextualSpacing/>
        <w:jc w:val="both"/>
        <w:rPr>
          <w:rFonts w:ascii="Garamond" w:hAnsi="Garamond" w:cs="Arial"/>
          <w:sz w:val="24"/>
          <w:szCs w:val="24"/>
          <w:lang w:val="en-CA"/>
        </w:rPr>
      </w:pPr>
      <w:r>
        <w:rPr>
          <w:rFonts w:ascii="Garamond" w:hAnsi="Garamond" w:cs="Arial"/>
          <w:sz w:val="24"/>
          <w:szCs w:val="24"/>
          <w:lang w:val="en-CA"/>
        </w:rPr>
        <w:t xml:space="preserve">The </w:t>
      </w:r>
      <w:r w:rsidRPr="00513ECB">
        <w:rPr>
          <w:rFonts w:ascii="Garamond" w:hAnsi="Garamond" w:cs="Arial"/>
          <w:sz w:val="24"/>
          <w:szCs w:val="24"/>
          <w:lang w:val="en-CA"/>
        </w:rPr>
        <w:t>Canadian Research Chair in International Political Economy</w:t>
      </w:r>
      <w:r>
        <w:rPr>
          <w:rFonts w:ascii="Garamond" w:hAnsi="Garamond" w:cs="Arial"/>
          <w:sz w:val="24"/>
          <w:szCs w:val="24"/>
          <w:lang w:val="en-CA"/>
        </w:rPr>
        <w:t xml:space="preserve"> retained, as a federated entity, all the sub-state entities that are characterized by federative political setting, such as Canada’s provinces, United States’ states, Switzerland’s cantons, Germany’s </w:t>
      </w:r>
      <w:r w:rsidR="00D306E9">
        <w:rPr>
          <w:rFonts w:ascii="Garamond" w:hAnsi="Garamond" w:cs="Arial"/>
          <w:sz w:val="24"/>
          <w:szCs w:val="24"/>
          <w:lang w:val="en-CA"/>
        </w:rPr>
        <w:t>L</w:t>
      </w:r>
      <w:r w:rsidR="00780B17">
        <w:rPr>
          <w:rFonts w:ascii="Garamond" w:hAnsi="Garamond" w:cs="Arial"/>
          <w:sz w:val="24"/>
          <w:szCs w:val="24"/>
          <w:lang w:val="en-CA"/>
        </w:rPr>
        <w:t>ä</w:t>
      </w:r>
      <w:r>
        <w:rPr>
          <w:rFonts w:ascii="Garamond" w:hAnsi="Garamond" w:cs="Arial"/>
          <w:sz w:val="24"/>
          <w:szCs w:val="24"/>
          <w:lang w:val="en-CA"/>
        </w:rPr>
        <w:t xml:space="preserve">nder, Australia’s states, Belgium’s regions, South Africa’s </w:t>
      </w:r>
      <w:r w:rsidRPr="000E76F6">
        <w:rPr>
          <w:rFonts w:ascii="Garamond" w:hAnsi="Garamond" w:cs="Arial"/>
          <w:sz w:val="24"/>
          <w:szCs w:val="24"/>
          <w:lang w:val="en-CA"/>
        </w:rPr>
        <w:t xml:space="preserve">provinces, Russia’s federal subjects, India’s states, and many other historic entities. </w:t>
      </w:r>
      <w:r w:rsidR="00AC1B0B" w:rsidRPr="00AC1B0B">
        <w:rPr>
          <w:rFonts w:ascii="Garamond" w:hAnsi="Garamond" w:cs="Arial"/>
          <w:sz w:val="24"/>
          <w:szCs w:val="24"/>
          <w:lang w:val="en-CA"/>
        </w:rPr>
        <w:t>They also include autonomous regions, such as Greenland, Scotland and Catalonia, even though the sovereign states to which they are related are not federations</w:t>
      </w:r>
      <w:r w:rsidR="00AC1B0B">
        <w:rPr>
          <w:rFonts w:ascii="Garamond" w:hAnsi="Garamond" w:cs="Arial"/>
          <w:sz w:val="24"/>
          <w:szCs w:val="24"/>
          <w:lang w:val="en-CA"/>
        </w:rPr>
        <w:t>.</w:t>
      </w:r>
    </w:p>
    <w:p w14:paraId="10B3038C" w14:textId="2C194134" w:rsidR="00CC0224" w:rsidRPr="000E76F6" w:rsidRDefault="00CC0224" w:rsidP="005A4CB2">
      <w:pPr>
        <w:spacing w:after="0" w:line="240" w:lineRule="auto"/>
        <w:contextualSpacing/>
        <w:jc w:val="both"/>
        <w:rPr>
          <w:rFonts w:ascii="Garamond" w:hAnsi="Garamond" w:cs="Arial"/>
          <w:sz w:val="24"/>
          <w:szCs w:val="24"/>
          <w:lang w:val="en-CA"/>
        </w:rPr>
      </w:pPr>
      <w:r w:rsidRPr="000E76F6">
        <w:rPr>
          <w:rFonts w:ascii="Garamond" w:hAnsi="Garamond" w:cs="Arial"/>
          <w:sz w:val="24"/>
          <w:szCs w:val="24"/>
          <w:lang w:val="en-CA"/>
        </w:rPr>
        <w:t>The entity is then considered as a partially self-governing entity with some degree of constitutionally guaranteed autonomy. Meanwhile, we did not consider, as a federated entity, the Free States or the Free cities, the Dominions</w:t>
      </w:r>
      <w:r w:rsidR="00014CE1">
        <w:rPr>
          <w:rFonts w:ascii="Garamond" w:hAnsi="Garamond" w:cs="Arial"/>
          <w:sz w:val="24"/>
          <w:szCs w:val="24"/>
          <w:lang w:val="en-CA"/>
        </w:rPr>
        <w:t xml:space="preserve">, </w:t>
      </w:r>
      <w:r w:rsidR="00D240AE">
        <w:rPr>
          <w:rFonts w:ascii="Garamond" w:hAnsi="Garamond" w:cs="Arial"/>
          <w:sz w:val="24"/>
          <w:szCs w:val="24"/>
          <w:lang w:val="en-CA"/>
        </w:rPr>
        <w:t xml:space="preserve">the </w:t>
      </w:r>
      <w:r w:rsidR="00014CE1" w:rsidRPr="00014CE1">
        <w:rPr>
          <w:rFonts w:ascii="Garamond" w:hAnsi="Garamond" w:cs="Arial"/>
          <w:sz w:val="24"/>
          <w:szCs w:val="24"/>
          <w:lang w:val="en-CA"/>
        </w:rPr>
        <w:t>indigenous communities’ traditional territories,</w:t>
      </w:r>
      <w:r w:rsidR="00D240AE">
        <w:rPr>
          <w:rFonts w:ascii="Garamond" w:hAnsi="Garamond" w:cs="Arial"/>
          <w:sz w:val="24"/>
          <w:szCs w:val="24"/>
          <w:lang w:val="en-CA"/>
        </w:rPr>
        <w:t xml:space="preserve"> the</w:t>
      </w:r>
      <w:r w:rsidR="00014CE1" w:rsidRPr="00014CE1">
        <w:rPr>
          <w:rFonts w:ascii="Garamond" w:hAnsi="Garamond" w:cs="Arial"/>
          <w:sz w:val="24"/>
          <w:szCs w:val="24"/>
          <w:lang w:val="en-CA"/>
        </w:rPr>
        <w:t xml:space="preserve"> colonies</w:t>
      </w:r>
      <w:r w:rsidRPr="000E76F6">
        <w:rPr>
          <w:rFonts w:ascii="Garamond" w:hAnsi="Garamond" w:cs="Arial"/>
          <w:sz w:val="24"/>
          <w:szCs w:val="24"/>
          <w:lang w:val="en-CA"/>
        </w:rPr>
        <w:t xml:space="preserve"> or the subnational entities, such as agencies or ministries. </w:t>
      </w:r>
    </w:p>
    <w:p w14:paraId="3E9BD90B" w14:textId="53180C2F" w:rsidR="00CC0224" w:rsidRDefault="00CC0224" w:rsidP="005A4CB2">
      <w:pPr>
        <w:spacing w:after="0" w:line="240" w:lineRule="auto"/>
        <w:contextualSpacing/>
        <w:jc w:val="both"/>
        <w:rPr>
          <w:rFonts w:ascii="Garamond" w:hAnsi="Garamond" w:cs="Arial"/>
          <w:sz w:val="24"/>
          <w:szCs w:val="24"/>
          <w:lang w:val="en-CA"/>
        </w:rPr>
      </w:pPr>
      <w:r w:rsidRPr="002F30DF">
        <w:rPr>
          <w:rFonts w:ascii="Garamond" w:hAnsi="Garamond" w:cs="Arial"/>
          <w:sz w:val="24"/>
          <w:szCs w:val="24"/>
          <w:lang w:val="en-CA"/>
        </w:rPr>
        <w:t xml:space="preserve">If an independent entity is party to a treaty and later becomes part of a federation (ex: Bavaria before its union with Germany) only its status at the moment of signing the agreement is considered. </w:t>
      </w:r>
    </w:p>
    <w:p w14:paraId="5C9842EF" w14:textId="77777777" w:rsidR="00295F18" w:rsidRDefault="00295F18" w:rsidP="005A4CB2">
      <w:pPr>
        <w:spacing w:after="0" w:line="240" w:lineRule="auto"/>
        <w:contextualSpacing/>
        <w:jc w:val="both"/>
        <w:rPr>
          <w:rFonts w:ascii="Garamond" w:hAnsi="Garamond" w:cs="Arial"/>
          <w:sz w:val="24"/>
          <w:szCs w:val="24"/>
          <w:lang w:val="en-CA"/>
        </w:rPr>
      </w:pPr>
    </w:p>
    <w:p w14:paraId="7BE243E6" w14:textId="77777777" w:rsidR="00CC0224" w:rsidRPr="00E7176F" w:rsidRDefault="00CC0224" w:rsidP="00295F18">
      <w:pPr>
        <w:pStyle w:val="Titre3"/>
        <w:numPr>
          <w:ilvl w:val="0"/>
          <w:numId w:val="0"/>
        </w:numPr>
        <w:spacing w:after="0"/>
        <w:ind w:left="576" w:hanging="576"/>
        <w:contextualSpacing/>
      </w:pPr>
      <w:bookmarkStart w:id="18" w:name="_Toc507158513"/>
      <w:bookmarkStart w:id="19" w:name="_Toc64659199"/>
      <w:r w:rsidRPr="00A357A2">
        <w:t>Signature date of the country</w:t>
      </w:r>
      <w:bookmarkEnd w:id="18"/>
      <w:bookmarkEnd w:id="19"/>
      <w:r w:rsidRPr="00A357A2">
        <w:tab/>
      </w:r>
    </w:p>
    <w:p w14:paraId="3253C4A5" w14:textId="11D0F41D" w:rsidR="00CC0224" w:rsidRPr="00BD0D9A" w:rsidRDefault="00CC0224" w:rsidP="005A4CB2">
      <w:pPr>
        <w:spacing w:after="0" w:line="240" w:lineRule="auto"/>
        <w:contextualSpacing/>
        <w:jc w:val="both"/>
        <w:rPr>
          <w:rFonts w:ascii="Garamond" w:hAnsi="Garamond" w:cs="Arial"/>
          <w:sz w:val="24"/>
          <w:szCs w:val="24"/>
          <w:lang w:val="en-CA"/>
        </w:rPr>
      </w:pPr>
      <w:r>
        <w:rPr>
          <w:rFonts w:ascii="Garamond" w:hAnsi="Garamond" w:cs="Arial"/>
          <w:sz w:val="24"/>
          <w:szCs w:val="24"/>
          <w:lang w:val="en-CA"/>
        </w:rPr>
        <w:t>The signature date of the country column records the moment when the country signed the agreement. Hence</w:t>
      </w:r>
      <w:proofErr w:type="gramStart"/>
      <w:r>
        <w:rPr>
          <w:rFonts w:ascii="Garamond" w:hAnsi="Garamond" w:cs="Arial"/>
          <w:sz w:val="24"/>
          <w:szCs w:val="24"/>
          <w:lang w:val="en-CA"/>
        </w:rPr>
        <w:t>, ,</w:t>
      </w:r>
      <w:proofErr w:type="gramEnd"/>
      <w:r>
        <w:rPr>
          <w:rFonts w:ascii="Garamond" w:hAnsi="Garamond" w:cs="Arial"/>
          <w:sz w:val="24"/>
          <w:szCs w:val="24"/>
          <w:lang w:val="en-CA"/>
        </w:rPr>
        <w:t xml:space="preserve"> the date of signature of the country is specific to each State. The format used for the dates is year-month-day. </w:t>
      </w:r>
    </w:p>
    <w:p w14:paraId="52ABAB9B" w14:textId="77777777" w:rsidR="00CC0224" w:rsidRPr="00E7176F" w:rsidRDefault="00CC0224" w:rsidP="005A4CB2">
      <w:pPr>
        <w:spacing w:after="0" w:line="240" w:lineRule="auto"/>
        <w:contextualSpacing/>
        <w:jc w:val="both"/>
        <w:rPr>
          <w:rFonts w:ascii="Garamond" w:hAnsi="Garamond"/>
          <w:sz w:val="24"/>
          <w:szCs w:val="24"/>
          <w:lang w:val="en-US"/>
        </w:rPr>
      </w:pPr>
      <w:r>
        <w:rPr>
          <w:rFonts w:ascii="Garamond" w:hAnsi="Garamond" w:cs="Arial"/>
          <w:sz w:val="24"/>
          <w:szCs w:val="24"/>
          <w:lang w:val="en-CA"/>
        </w:rPr>
        <w:t>In some cases, the exact date of signature is unknown, but we still have information on the specific year of signature. We thereby use the formula ex: 2004-00-00. When the signature date is unavailable, we use the formula 0000-00-00.</w:t>
      </w:r>
    </w:p>
    <w:p w14:paraId="134F71A7" w14:textId="77777777" w:rsidR="00295F18" w:rsidRDefault="00295F18" w:rsidP="00295F18">
      <w:pPr>
        <w:pStyle w:val="Titre3"/>
        <w:numPr>
          <w:ilvl w:val="0"/>
          <w:numId w:val="0"/>
        </w:numPr>
        <w:spacing w:after="0"/>
        <w:ind w:left="576" w:hanging="576"/>
        <w:contextualSpacing/>
      </w:pPr>
      <w:bookmarkStart w:id="20" w:name="_Toc507158514"/>
    </w:p>
    <w:p w14:paraId="1EE345F5" w14:textId="584CBF30" w:rsidR="00CC0224" w:rsidRPr="00920136" w:rsidRDefault="00CC0224" w:rsidP="00295F18">
      <w:pPr>
        <w:pStyle w:val="Titre3"/>
        <w:numPr>
          <w:ilvl w:val="0"/>
          <w:numId w:val="0"/>
        </w:numPr>
        <w:spacing w:after="0"/>
        <w:ind w:left="576" w:hanging="576"/>
        <w:contextualSpacing/>
      </w:pPr>
      <w:bookmarkStart w:id="21" w:name="_Toc64659200"/>
      <w:r w:rsidRPr="00A357A2">
        <w:t>Ratification</w:t>
      </w:r>
      <w:r>
        <w:t xml:space="preserve"> </w:t>
      </w:r>
      <w:r w:rsidRPr="00A357A2">
        <w:t>date</w:t>
      </w:r>
      <w:r>
        <w:t xml:space="preserve"> </w:t>
      </w:r>
      <w:r w:rsidRPr="00A357A2">
        <w:t>of</w:t>
      </w:r>
      <w:r>
        <w:t xml:space="preserve"> </w:t>
      </w:r>
      <w:r w:rsidRPr="00A357A2">
        <w:t>the</w:t>
      </w:r>
      <w:r>
        <w:t xml:space="preserve"> </w:t>
      </w:r>
      <w:r w:rsidRPr="00A357A2">
        <w:t>country</w:t>
      </w:r>
      <w:bookmarkEnd w:id="20"/>
      <w:bookmarkEnd w:id="21"/>
      <w:r>
        <w:t xml:space="preserve"> </w:t>
      </w:r>
    </w:p>
    <w:p w14:paraId="0FFF8A05" w14:textId="1831C345" w:rsidR="00CC0224" w:rsidRPr="00BD0D9A" w:rsidRDefault="00CC0224" w:rsidP="005A4CB2">
      <w:pPr>
        <w:spacing w:after="0" w:line="240" w:lineRule="auto"/>
        <w:contextualSpacing/>
        <w:jc w:val="both"/>
        <w:rPr>
          <w:rFonts w:ascii="Garamond" w:hAnsi="Garamond" w:cs="Arial"/>
          <w:sz w:val="24"/>
          <w:szCs w:val="24"/>
          <w:lang w:val="en-CA"/>
        </w:rPr>
      </w:pPr>
      <w:r>
        <w:rPr>
          <w:rFonts w:ascii="Garamond" w:hAnsi="Garamond" w:cs="Arial"/>
          <w:sz w:val="24"/>
          <w:szCs w:val="24"/>
          <w:lang w:val="en-CA"/>
        </w:rPr>
        <w:t xml:space="preserve">The ratification date of the country column records the moment when the country ratified the agreement. The date of ratification of the country is thus specific to each State. The format used for the dates is year-month-day. </w:t>
      </w:r>
    </w:p>
    <w:p w14:paraId="595E9644" w14:textId="77777777" w:rsidR="00CC0224" w:rsidRDefault="00CC0224" w:rsidP="005A4CB2">
      <w:pPr>
        <w:spacing w:after="0" w:line="240" w:lineRule="auto"/>
        <w:contextualSpacing/>
        <w:jc w:val="both"/>
        <w:rPr>
          <w:rFonts w:ascii="Garamond" w:hAnsi="Garamond" w:cs="Arial"/>
          <w:sz w:val="24"/>
          <w:szCs w:val="24"/>
          <w:lang w:val="en-CA"/>
        </w:rPr>
      </w:pPr>
      <w:r>
        <w:rPr>
          <w:rFonts w:ascii="Garamond" w:hAnsi="Garamond" w:cs="Arial"/>
          <w:sz w:val="24"/>
          <w:szCs w:val="24"/>
          <w:lang w:val="en-CA"/>
        </w:rPr>
        <w:t>In some cases, the exact date of ratification is unknown, but we still have information on the specific year of ratification. We thereby use the formula ex: 2004-00-00. When the ratification date is unavailable, we use the formula 0000-00-00.</w:t>
      </w:r>
    </w:p>
    <w:p w14:paraId="48D88457" w14:textId="481CF386" w:rsidR="00CC0224" w:rsidRDefault="00CC0224" w:rsidP="005A4CB2">
      <w:pPr>
        <w:spacing w:after="0" w:line="240" w:lineRule="auto"/>
        <w:contextualSpacing/>
        <w:jc w:val="both"/>
        <w:rPr>
          <w:rFonts w:ascii="Garamond" w:hAnsi="Garamond" w:cs="Arial"/>
          <w:sz w:val="24"/>
          <w:szCs w:val="24"/>
          <w:lang w:val="en-CA"/>
        </w:rPr>
      </w:pPr>
      <w:r>
        <w:rPr>
          <w:rFonts w:ascii="Garamond" w:hAnsi="Garamond" w:cs="Arial"/>
          <w:sz w:val="24"/>
          <w:szCs w:val="24"/>
          <w:lang w:val="en-CA"/>
        </w:rPr>
        <w:t xml:space="preserve">The term “ratification” is deemed to include accession and equivalent procedures. </w:t>
      </w:r>
    </w:p>
    <w:p w14:paraId="19B74422" w14:textId="77777777" w:rsidR="00295F18" w:rsidRPr="00920136" w:rsidRDefault="00295F18" w:rsidP="005A4CB2">
      <w:pPr>
        <w:spacing w:after="0" w:line="240" w:lineRule="auto"/>
        <w:contextualSpacing/>
        <w:jc w:val="both"/>
        <w:rPr>
          <w:rFonts w:ascii="Garamond" w:hAnsi="Garamond"/>
          <w:sz w:val="24"/>
          <w:szCs w:val="24"/>
          <w:lang w:val="en-US"/>
        </w:rPr>
      </w:pPr>
    </w:p>
    <w:p w14:paraId="2BD005FB" w14:textId="77777777" w:rsidR="00A57C70" w:rsidRDefault="00A57C70" w:rsidP="00295F18">
      <w:pPr>
        <w:pStyle w:val="Titre3"/>
        <w:numPr>
          <w:ilvl w:val="0"/>
          <w:numId w:val="0"/>
        </w:numPr>
        <w:spacing w:after="0"/>
        <w:ind w:left="576" w:hanging="576"/>
        <w:contextualSpacing/>
      </w:pPr>
      <w:bookmarkStart w:id="22" w:name="_Toc507158515"/>
      <w:bookmarkStart w:id="23" w:name="_Toc64659201"/>
    </w:p>
    <w:p w14:paraId="3559D0B4" w14:textId="7B489D86" w:rsidR="00CC0224" w:rsidRPr="008C7C47" w:rsidRDefault="00CC0224" w:rsidP="00295F18">
      <w:pPr>
        <w:pStyle w:val="Titre3"/>
        <w:numPr>
          <w:ilvl w:val="0"/>
          <w:numId w:val="0"/>
        </w:numPr>
        <w:spacing w:after="0"/>
        <w:ind w:left="576" w:hanging="576"/>
        <w:contextualSpacing/>
      </w:pPr>
      <w:r>
        <w:lastRenderedPageBreak/>
        <w:t xml:space="preserve">Entry into force </w:t>
      </w:r>
      <w:r w:rsidRPr="00A357A2">
        <w:t>date</w:t>
      </w:r>
      <w:r>
        <w:t xml:space="preserve"> for </w:t>
      </w:r>
      <w:r w:rsidRPr="00A357A2">
        <w:t>the</w:t>
      </w:r>
      <w:r>
        <w:t xml:space="preserve"> </w:t>
      </w:r>
      <w:r w:rsidRPr="00A357A2">
        <w:t>country</w:t>
      </w:r>
      <w:bookmarkEnd w:id="22"/>
      <w:bookmarkEnd w:id="23"/>
    </w:p>
    <w:p w14:paraId="51A84DB9" w14:textId="545146BD" w:rsidR="00CC0224" w:rsidRPr="00BD0D9A" w:rsidRDefault="00CC0224" w:rsidP="005A4CB2">
      <w:pPr>
        <w:spacing w:after="0" w:line="240" w:lineRule="auto"/>
        <w:contextualSpacing/>
        <w:jc w:val="both"/>
        <w:rPr>
          <w:rFonts w:ascii="Garamond" w:hAnsi="Garamond" w:cs="Arial"/>
          <w:sz w:val="24"/>
          <w:szCs w:val="24"/>
          <w:lang w:val="en-CA"/>
        </w:rPr>
      </w:pPr>
      <w:r>
        <w:rPr>
          <w:rFonts w:ascii="Garamond" w:hAnsi="Garamond" w:cs="Arial"/>
          <w:sz w:val="24"/>
          <w:szCs w:val="24"/>
          <w:lang w:val="en-CA"/>
        </w:rPr>
        <w:t xml:space="preserve">The entry into force (EIF) date for the country column records the moment when the agreement enters into force for one country. </w:t>
      </w:r>
      <w:r w:rsidR="00295F18">
        <w:rPr>
          <w:rFonts w:ascii="Garamond" w:hAnsi="Garamond" w:cs="Arial"/>
          <w:sz w:val="24"/>
          <w:szCs w:val="24"/>
          <w:lang w:val="en-CA"/>
        </w:rPr>
        <w:t>T</w:t>
      </w:r>
      <w:r>
        <w:rPr>
          <w:rFonts w:ascii="Garamond" w:hAnsi="Garamond" w:cs="Arial"/>
          <w:sz w:val="24"/>
          <w:szCs w:val="24"/>
          <w:lang w:val="en-CA"/>
        </w:rPr>
        <w:t xml:space="preserve">his individual date of EIF is specific to each State. This does not exclude the fact that those dates can be the same. The format used for the dates is year-month-day. T </w:t>
      </w:r>
    </w:p>
    <w:p w14:paraId="40BAA539" w14:textId="4D13903C" w:rsidR="00CC0224" w:rsidRDefault="00CC0224" w:rsidP="005A4CB2">
      <w:pPr>
        <w:spacing w:after="0" w:line="240" w:lineRule="auto"/>
        <w:contextualSpacing/>
        <w:jc w:val="both"/>
        <w:rPr>
          <w:rFonts w:ascii="Garamond" w:hAnsi="Garamond" w:cs="Arial"/>
          <w:sz w:val="24"/>
          <w:szCs w:val="24"/>
          <w:lang w:val="en-CA"/>
        </w:rPr>
      </w:pPr>
      <w:r>
        <w:rPr>
          <w:rFonts w:ascii="Garamond" w:hAnsi="Garamond" w:cs="Arial"/>
          <w:sz w:val="24"/>
          <w:szCs w:val="24"/>
          <w:lang w:val="en-CA"/>
        </w:rPr>
        <w:t>In some cases, the exact date of EIF is unknown, but we still have information on the specific year of EIF. We thereby use the formula ex: 2004-00-00. When the date is unavailable, we use the formula 0000-00-00.</w:t>
      </w:r>
    </w:p>
    <w:p w14:paraId="029123E5" w14:textId="77777777" w:rsidR="00295F18" w:rsidRPr="0025744F" w:rsidRDefault="00295F18" w:rsidP="005A4CB2">
      <w:pPr>
        <w:spacing w:after="0" w:line="240" w:lineRule="auto"/>
        <w:contextualSpacing/>
        <w:jc w:val="both"/>
        <w:rPr>
          <w:rFonts w:ascii="Garamond" w:hAnsi="Garamond"/>
          <w:sz w:val="24"/>
          <w:szCs w:val="24"/>
          <w:lang w:val="en-CA"/>
        </w:rPr>
      </w:pPr>
    </w:p>
    <w:p w14:paraId="59E09243" w14:textId="77777777" w:rsidR="00CC0224" w:rsidRPr="00B60CF0" w:rsidRDefault="00CC0224" w:rsidP="00295F18">
      <w:pPr>
        <w:pStyle w:val="Titre3"/>
        <w:numPr>
          <w:ilvl w:val="0"/>
          <w:numId w:val="0"/>
        </w:numPr>
        <w:spacing w:after="0"/>
        <w:ind w:left="576" w:hanging="576"/>
        <w:contextualSpacing/>
        <w:rPr>
          <w:rFonts w:cs="Arial"/>
        </w:rPr>
      </w:pPr>
      <w:bookmarkStart w:id="24" w:name="_Toc507158519"/>
      <w:bookmarkStart w:id="25" w:name="_Toc64659202"/>
      <w:r w:rsidRPr="00B60CF0">
        <w:t>Subject</w:t>
      </w:r>
      <w:bookmarkEnd w:id="24"/>
      <w:bookmarkEnd w:id="25"/>
    </w:p>
    <w:p w14:paraId="3BEC5453" w14:textId="1F6351D5" w:rsidR="00295F18" w:rsidRDefault="00CC0224" w:rsidP="005A4CB2">
      <w:pPr>
        <w:spacing w:after="0" w:line="240" w:lineRule="auto"/>
        <w:contextualSpacing/>
        <w:jc w:val="both"/>
        <w:rPr>
          <w:rFonts w:ascii="Garamond" w:hAnsi="Garamond"/>
          <w:sz w:val="24"/>
          <w:szCs w:val="24"/>
          <w:lang w:val="en-US"/>
        </w:rPr>
      </w:pPr>
      <w:r>
        <w:rPr>
          <w:rFonts w:ascii="Garamond" w:hAnsi="Garamond" w:cs="Arial"/>
          <w:sz w:val="24"/>
          <w:szCs w:val="24"/>
          <w:lang w:val="en-CA"/>
        </w:rPr>
        <w:t xml:space="preserve">The Subjects column represents the themes of the agreement. The subjects are based on the categorisation and the data of IEA and from </w:t>
      </w:r>
      <w:proofErr w:type="spellStart"/>
      <w:r w:rsidRPr="006B1A16">
        <w:rPr>
          <w:rFonts w:ascii="Garamond" w:hAnsi="Garamond"/>
          <w:sz w:val="24"/>
          <w:szCs w:val="24"/>
          <w:lang w:val="en-US"/>
        </w:rPr>
        <w:t>Jörg</w:t>
      </w:r>
      <w:proofErr w:type="spellEnd"/>
      <w:r w:rsidRPr="006B1A16">
        <w:rPr>
          <w:rFonts w:ascii="Garamond" w:hAnsi="Garamond"/>
          <w:sz w:val="24"/>
          <w:szCs w:val="24"/>
          <w:lang w:val="en-US"/>
        </w:rPr>
        <w:t xml:space="preserve"> </w:t>
      </w:r>
      <w:proofErr w:type="spellStart"/>
      <w:r w:rsidRPr="006B1A16">
        <w:rPr>
          <w:rFonts w:ascii="Garamond" w:hAnsi="Garamond"/>
          <w:sz w:val="24"/>
          <w:szCs w:val="24"/>
          <w:lang w:val="en-US"/>
        </w:rPr>
        <w:t>Balsiger</w:t>
      </w:r>
      <w:proofErr w:type="spellEnd"/>
      <w:r w:rsidRPr="006B1A16">
        <w:rPr>
          <w:rFonts w:ascii="Garamond" w:hAnsi="Garamond"/>
          <w:sz w:val="24"/>
          <w:szCs w:val="24"/>
          <w:lang w:val="en-US"/>
        </w:rPr>
        <w:t xml:space="preserve"> and </w:t>
      </w:r>
      <w:proofErr w:type="spellStart"/>
      <w:r w:rsidRPr="006B1A16">
        <w:rPr>
          <w:rFonts w:ascii="Garamond" w:hAnsi="Garamond"/>
          <w:sz w:val="24"/>
          <w:szCs w:val="24"/>
          <w:lang w:val="en-US"/>
        </w:rPr>
        <w:t>Lorris</w:t>
      </w:r>
      <w:proofErr w:type="spellEnd"/>
      <w:r w:rsidRPr="006B1A16">
        <w:rPr>
          <w:rFonts w:ascii="Garamond" w:hAnsi="Garamond"/>
          <w:sz w:val="24"/>
          <w:szCs w:val="24"/>
          <w:lang w:val="en-US"/>
        </w:rPr>
        <w:t xml:space="preserve"> </w:t>
      </w:r>
      <w:proofErr w:type="spellStart"/>
      <w:r w:rsidRPr="006B1A16">
        <w:rPr>
          <w:rFonts w:ascii="Garamond" w:hAnsi="Garamond"/>
          <w:sz w:val="24"/>
          <w:szCs w:val="24"/>
          <w:lang w:val="en-US"/>
        </w:rPr>
        <w:t>Germann</w:t>
      </w:r>
      <w:proofErr w:type="spellEnd"/>
      <w:r w:rsidRPr="006B1A16">
        <w:rPr>
          <w:rFonts w:ascii="Garamond" w:hAnsi="Garamond"/>
          <w:sz w:val="24"/>
          <w:szCs w:val="24"/>
          <w:lang w:val="en-US"/>
        </w:rPr>
        <w:t xml:space="preserve"> from the University of Geneva</w:t>
      </w:r>
      <w:r>
        <w:rPr>
          <w:rFonts w:ascii="Garamond" w:hAnsi="Garamond"/>
          <w:sz w:val="24"/>
          <w:szCs w:val="24"/>
          <w:lang w:val="en-US"/>
        </w:rPr>
        <w:t xml:space="preserve">. The methodology used to generate these subjects was an automated search for the first buzz words appearing in the title and preamble of treaties. Our team </w:t>
      </w:r>
      <w:r w:rsidRPr="00C5438E">
        <w:rPr>
          <w:rFonts w:ascii="Garamond" w:hAnsi="Garamond"/>
          <w:sz w:val="24"/>
          <w:szCs w:val="24"/>
          <w:lang w:val="en-US"/>
        </w:rPr>
        <w:t xml:space="preserve">separated or combined subjects so that each subject category contains a sensible number of agreements. We therefore created ten </w:t>
      </w:r>
      <w:r w:rsidRPr="00C5438E">
        <w:rPr>
          <w:rFonts w:ascii="Garamond" w:hAnsi="Garamond"/>
          <w:sz w:val="24"/>
          <w:szCs w:val="24"/>
          <w:u w:val="single"/>
          <w:lang w:val="en-US"/>
        </w:rPr>
        <w:t>m</w:t>
      </w:r>
      <w:r w:rsidRPr="00295F18">
        <w:rPr>
          <w:rFonts w:ascii="Garamond" w:hAnsi="Garamond"/>
          <w:sz w:val="24"/>
          <w:szCs w:val="24"/>
          <w:lang w:val="en-US"/>
        </w:rPr>
        <w:t xml:space="preserve">utually exclusive </w:t>
      </w:r>
      <w:r w:rsidRPr="00C5438E">
        <w:rPr>
          <w:rFonts w:ascii="Garamond" w:hAnsi="Garamond"/>
          <w:sz w:val="24"/>
          <w:szCs w:val="24"/>
          <w:lang w:val="en-US"/>
        </w:rPr>
        <w:t>subjects. For some agreements, no subject</w:t>
      </w:r>
      <w:r w:rsidR="005E28F9">
        <w:rPr>
          <w:rFonts w:ascii="Garamond" w:hAnsi="Garamond"/>
          <w:sz w:val="24"/>
          <w:szCs w:val="24"/>
          <w:lang w:val="en-US"/>
        </w:rPr>
        <w:t>s</w:t>
      </w:r>
      <w:r w:rsidRPr="00C5438E">
        <w:rPr>
          <w:rFonts w:ascii="Garamond" w:hAnsi="Garamond"/>
          <w:sz w:val="24"/>
          <w:szCs w:val="24"/>
          <w:lang w:val="en-US"/>
        </w:rPr>
        <w:t xml:space="preserve"> were assigned by IEA</w:t>
      </w:r>
      <w:r>
        <w:rPr>
          <w:rFonts w:ascii="Garamond" w:hAnsi="Garamond"/>
          <w:sz w:val="24"/>
          <w:szCs w:val="24"/>
          <w:lang w:val="en-US"/>
        </w:rPr>
        <w:t xml:space="preserve"> or Geneva team</w:t>
      </w:r>
      <w:r w:rsidRPr="00C5438E">
        <w:rPr>
          <w:rFonts w:ascii="Garamond" w:hAnsi="Garamond"/>
          <w:sz w:val="24"/>
          <w:szCs w:val="24"/>
          <w:lang w:val="en-US"/>
        </w:rPr>
        <w:t xml:space="preserve">. </w:t>
      </w:r>
      <w:r>
        <w:rPr>
          <w:rFonts w:ascii="Garamond" w:hAnsi="Garamond"/>
          <w:sz w:val="24"/>
          <w:szCs w:val="24"/>
          <w:lang w:val="en-US"/>
        </w:rPr>
        <w:t>We</w:t>
      </w:r>
      <w:r w:rsidRPr="00C5438E">
        <w:rPr>
          <w:rFonts w:ascii="Garamond" w:hAnsi="Garamond"/>
          <w:sz w:val="24"/>
          <w:szCs w:val="24"/>
          <w:lang w:val="en-US"/>
        </w:rPr>
        <w:t xml:space="preserve"> took care of attributing a subject to these treaties. Part of the following definitions are from the IEA database:</w:t>
      </w:r>
    </w:p>
    <w:tbl>
      <w:tblPr>
        <w:tblStyle w:val="Tableausimple212"/>
        <w:tblW w:w="0" w:type="auto"/>
        <w:tblLook w:val="04A0" w:firstRow="1" w:lastRow="0" w:firstColumn="1" w:lastColumn="0" w:noHBand="0" w:noVBand="1"/>
      </w:tblPr>
      <w:tblGrid>
        <w:gridCol w:w="2585"/>
        <w:gridCol w:w="6055"/>
      </w:tblGrid>
      <w:tr w:rsidR="00CC0224" w14:paraId="119AFB18" w14:textId="77777777" w:rsidTr="003355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275E3E16" w14:textId="77777777" w:rsidR="00CC0224" w:rsidRPr="00F06E4D" w:rsidRDefault="00CC0224" w:rsidP="005A4CB2">
            <w:pPr>
              <w:contextualSpacing/>
              <w:jc w:val="both"/>
              <w:rPr>
                <w:rFonts w:ascii="Garamond" w:hAnsi="Garamond" w:cs="Arial"/>
                <w:sz w:val="24"/>
                <w:szCs w:val="24"/>
                <w:lang w:val="en-CA"/>
              </w:rPr>
            </w:pPr>
            <w:r w:rsidRPr="00F06E4D">
              <w:rPr>
                <w:rFonts w:ascii="Garamond" w:hAnsi="Garamond" w:cs="Arial"/>
                <w:sz w:val="24"/>
                <w:szCs w:val="24"/>
                <w:lang w:val="en-CA"/>
              </w:rPr>
              <w:t>Subjects</w:t>
            </w:r>
          </w:p>
        </w:tc>
        <w:tc>
          <w:tcPr>
            <w:tcW w:w="7240" w:type="dxa"/>
          </w:tcPr>
          <w:p w14:paraId="658099D9" w14:textId="77777777" w:rsidR="00CC0224" w:rsidRPr="00F06E4D" w:rsidRDefault="00CC0224" w:rsidP="005A4CB2">
            <w:pPr>
              <w:contextualSpacing/>
              <w:jc w:val="both"/>
              <w:cnfStyle w:val="100000000000" w:firstRow="1" w:lastRow="0" w:firstColumn="0" w:lastColumn="0" w:oddVBand="0" w:evenVBand="0" w:oddHBand="0" w:evenHBand="0" w:firstRowFirstColumn="0" w:firstRowLastColumn="0" w:lastRowFirstColumn="0" w:lastRowLastColumn="0"/>
              <w:rPr>
                <w:rFonts w:ascii="Garamond" w:hAnsi="Garamond" w:cs="Times New Roman"/>
                <w:lang w:val="en-CA"/>
              </w:rPr>
            </w:pPr>
            <w:r w:rsidRPr="00F06E4D">
              <w:rPr>
                <w:rFonts w:ascii="Garamond" w:hAnsi="Garamond" w:cs="Times New Roman"/>
                <w:sz w:val="24"/>
                <w:lang w:val="en-CA"/>
              </w:rPr>
              <w:t>Definitions</w:t>
            </w:r>
          </w:p>
        </w:tc>
      </w:tr>
      <w:tr w:rsidR="00CC0224" w:rsidRPr="00F57F48" w14:paraId="69D96208" w14:textId="77777777" w:rsidTr="003355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019F725B" w14:textId="77777777" w:rsidR="00CC0224" w:rsidRDefault="00CC0224" w:rsidP="005A4CB2">
            <w:pPr>
              <w:contextualSpacing/>
              <w:jc w:val="both"/>
              <w:rPr>
                <w:rFonts w:ascii="Garamond" w:hAnsi="Garamond" w:cs="Arial"/>
                <w:sz w:val="24"/>
                <w:szCs w:val="24"/>
                <w:lang w:val="en-CA"/>
              </w:rPr>
            </w:pPr>
            <w:r>
              <w:rPr>
                <w:rFonts w:ascii="Garamond" w:hAnsi="Garamond" w:cs="Arial"/>
                <w:sz w:val="24"/>
                <w:szCs w:val="24"/>
                <w:lang w:val="en-CA"/>
              </w:rPr>
              <w:t xml:space="preserve">Energy </w:t>
            </w:r>
          </w:p>
        </w:tc>
        <w:tc>
          <w:tcPr>
            <w:tcW w:w="7240" w:type="dxa"/>
          </w:tcPr>
          <w:p w14:paraId="5CF2CE18" w14:textId="77777777" w:rsidR="00CC0224" w:rsidRPr="007C7723" w:rsidRDefault="00CC0224" w:rsidP="005A4CB2">
            <w:pPr>
              <w:contextualSpacing/>
              <w:jc w:val="both"/>
              <w:cnfStyle w:val="000000100000" w:firstRow="0" w:lastRow="0" w:firstColumn="0" w:lastColumn="0" w:oddVBand="0" w:evenVBand="0" w:oddHBand="1" w:evenHBand="0" w:firstRowFirstColumn="0" w:firstRowLastColumn="0" w:lastRowFirstColumn="0" w:lastRowLastColumn="0"/>
              <w:rPr>
                <w:rFonts w:ascii="Garamond" w:hAnsi="Garamond" w:cs="Times New Roman"/>
                <w:sz w:val="24"/>
                <w:lang w:val="en-CA"/>
              </w:rPr>
            </w:pPr>
            <w:r w:rsidRPr="00C5438E">
              <w:rPr>
                <w:rFonts w:ascii="Garamond" w:hAnsi="Garamond" w:cs="Times New Roman"/>
                <w:sz w:val="24"/>
                <w:lang w:val="en-CA"/>
              </w:rPr>
              <w:t>This category seeks to capture agreements that address all types of energy production, including nuclear energy. Treaties dealing with nuclear energy saf</w:t>
            </w:r>
            <w:r>
              <w:rPr>
                <w:rFonts w:ascii="Garamond" w:hAnsi="Garamond" w:cs="Times New Roman"/>
                <w:sz w:val="24"/>
                <w:lang w:val="en-CA"/>
              </w:rPr>
              <w:t>ety and accidents were included.</w:t>
            </w:r>
            <w:r w:rsidRPr="00C5438E">
              <w:rPr>
                <w:rFonts w:ascii="Garamond" w:hAnsi="Garamond" w:cs="Times New Roman"/>
                <w:sz w:val="24"/>
                <w:lang w:val="en-CA"/>
              </w:rPr>
              <w:t xml:space="preserve"> </w:t>
            </w:r>
            <w:r>
              <w:rPr>
                <w:rFonts w:ascii="Garamond" w:hAnsi="Garamond" w:cs="Times New Roman"/>
                <w:sz w:val="24"/>
                <w:lang w:val="en-CA"/>
              </w:rPr>
              <w:t>A</w:t>
            </w:r>
            <w:r w:rsidRPr="00C5438E">
              <w:rPr>
                <w:rFonts w:ascii="Garamond" w:hAnsi="Garamond" w:cs="Times New Roman"/>
                <w:sz w:val="24"/>
                <w:lang w:val="en-CA"/>
              </w:rPr>
              <w:t xml:space="preserve">greements linked with nuclear weapons are excluded (see Weapons and environment) as well as agreements linked with radioactive pollution or wastes (see Pollution). This category includes also agreements dealing with hydroelectricity and hydroelectric dams. Agreements on “dams”, if their use is not strictly reserve for the making of energy, were excluded (see Freshwater resources). </w:t>
            </w:r>
          </w:p>
        </w:tc>
      </w:tr>
      <w:tr w:rsidR="00CC0224" w:rsidRPr="00F57F48" w14:paraId="73682C9A" w14:textId="77777777" w:rsidTr="0033551F">
        <w:tc>
          <w:tcPr>
            <w:cnfStyle w:val="001000000000" w:firstRow="0" w:lastRow="0" w:firstColumn="1" w:lastColumn="0" w:oddVBand="0" w:evenVBand="0" w:oddHBand="0" w:evenHBand="0" w:firstRowFirstColumn="0" w:firstRowLastColumn="0" w:lastRowFirstColumn="0" w:lastRowLastColumn="0"/>
            <w:tcW w:w="2830" w:type="dxa"/>
          </w:tcPr>
          <w:p w14:paraId="5392C71D" w14:textId="77777777" w:rsidR="00CC0224" w:rsidRDefault="00CC0224" w:rsidP="005A4CB2">
            <w:pPr>
              <w:contextualSpacing/>
              <w:rPr>
                <w:rFonts w:ascii="Garamond" w:hAnsi="Garamond" w:cs="Arial"/>
                <w:sz w:val="24"/>
                <w:szCs w:val="24"/>
                <w:lang w:val="en-CA"/>
              </w:rPr>
            </w:pPr>
            <w:r>
              <w:rPr>
                <w:rFonts w:ascii="Garamond" w:hAnsi="Garamond" w:cs="Arial"/>
                <w:sz w:val="24"/>
                <w:szCs w:val="24"/>
                <w:lang w:val="en-CA"/>
              </w:rPr>
              <w:t>Weapons and environment</w:t>
            </w:r>
          </w:p>
        </w:tc>
        <w:tc>
          <w:tcPr>
            <w:tcW w:w="7240" w:type="dxa"/>
          </w:tcPr>
          <w:p w14:paraId="40ED8731" w14:textId="77777777" w:rsidR="00CC0224" w:rsidRPr="007C7723" w:rsidRDefault="00CC0224" w:rsidP="005A4CB2">
            <w:pPr>
              <w:contextualSpacing/>
              <w:jc w:val="both"/>
              <w:cnfStyle w:val="000000000000" w:firstRow="0" w:lastRow="0" w:firstColumn="0" w:lastColumn="0" w:oddVBand="0" w:evenVBand="0" w:oddHBand="0" w:evenHBand="0" w:firstRowFirstColumn="0" w:firstRowLastColumn="0" w:lastRowFirstColumn="0" w:lastRowLastColumn="0"/>
              <w:rPr>
                <w:rFonts w:ascii="Garamond" w:hAnsi="Garamond" w:cs="Times New Roman"/>
                <w:sz w:val="24"/>
                <w:lang w:val="en-CA"/>
              </w:rPr>
            </w:pPr>
            <w:r w:rsidRPr="007C7723">
              <w:rPr>
                <w:rFonts w:ascii="Garamond" w:hAnsi="Garamond" w:cs="Times New Roman"/>
                <w:sz w:val="24"/>
                <w:lang w:val="en-CA"/>
              </w:rPr>
              <w:t>This category seeks to capture agreements that address nuclear weapons free zone or test ban, as well as agreements dealing with chemical and bacteriological weapons.</w:t>
            </w:r>
          </w:p>
        </w:tc>
      </w:tr>
      <w:tr w:rsidR="00CC0224" w:rsidRPr="00F57F48" w14:paraId="6FF77F7C" w14:textId="77777777" w:rsidTr="003355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7E840CEC" w14:textId="77777777" w:rsidR="00CC0224" w:rsidRDefault="00CC0224" w:rsidP="005A4CB2">
            <w:pPr>
              <w:contextualSpacing/>
              <w:jc w:val="both"/>
              <w:rPr>
                <w:rFonts w:ascii="Garamond" w:hAnsi="Garamond" w:cs="Arial"/>
                <w:sz w:val="24"/>
                <w:szCs w:val="24"/>
                <w:lang w:val="en-CA"/>
              </w:rPr>
            </w:pPr>
            <w:r>
              <w:rPr>
                <w:rFonts w:ascii="Garamond" w:hAnsi="Garamond" w:cs="Arial"/>
                <w:sz w:val="24"/>
                <w:szCs w:val="24"/>
                <w:lang w:val="en-CA"/>
              </w:rPr>
              <w:t>Pollution</w:t>
            </w:r>
          </w:p>
        </w:tc>
        <w:tc>
          <w:tcPr>
            <w:tcW w:w="7240" w:type="dxa"/>
          </w:tcPr>
          <w:p w14:paraId="2AF0B90A" w14:textId="77777777" w:rsidR="00CC0224" w:rsidRPr="007C7723" w:rsidRDefault="00CC0224" w:rsidP="005A4CB2">
            <w:pPr>
              <w:contextualSpacing/>
              <w:jc w:val="both"/>
              <w:cnfStyle w:val="000000100000" w:firstRow="0" w:lastRow="0" w:firstColumn="0" w:lastColumn="0" w:oddVBand="0" w:evenVBand="0" w:oddHBand="1" w:evenHBand="0" w:firstRowFirstColumn="0" w:firstRowLastColumn="0" w:lastRowFirstColumn="0" w:lastRowLastColumn="0"/>
              <w:rPr>
                <w:rFonts w:ascii="Garamond" w:hAnsi="Garamond" w:cs="Times New Roman"/>
                <w:sz w:val="24"/>
                <w:lang w:val="en-CA"/>
              </w:rPr>
            </w:pPr>
            <w:r w:rsidRPr="007C7723">
              <w:rPr>
                <w:rFonts w:ascii="Garamond" w:hAnsi="Garamond" w:cs="Times New Roman"/>
                <w:sz w:val="24"/>
                <w:lang w:val="en-CA"/>
              </w:rPr>
              <w:t>This category seeks to capture agreements related to all forms of pollution, whether affecting air, land, oceans, or freshwater systems at regional or global scales. This includes agreements dealing with climate change, ozone layer depletion and disposal of wastes of all sorts. Agreements dealing with radioactive wastes and radioactive pollution are included as well, just as agreements dealing with contamination from industrial accidents and other manmade accidents, such as oil spills</w:t>
            </w:r>
            <w:r>
              <w:rPr>
                <w:rFonts w:ascii="Garamond" w:hAnsi="Garamond" w:cs="Times New Roman"/>
                <w:sz w:val="24"/>
                <w:lang w:val="en-CA"/>
              </w:rPr>
              <w:t xml:space="preserve"> (except nuclear accidents, see Energy)</w:t>
            </w:r>
            <w:r w:rsidRPr="007C7723">
              <w:rPr>
                <w:rFonts w:ascii="Garamond" w:hAnsi="Garamond" w:cs="Times New Roman"/>
                <w:sz w:val="24"/>
                <w:lang w:val="en-CA"/>
              </w:rPr>
              <w:t>.</w:t>
            </w:r>
          </w:p>
        </w:tc>
      </w:tr>
      <w:tr w:rsidR="00CC0224" w:rsidRPr="00F57F48" w14:paraId="7373A326" w14:textId="77777777" w:rsidTr="0033551F">
        <w:tc>
          <w:tcPr>
            <w:cnfStyle w:val="001000000000" w:firstRow="0" w:lastRow="0" w:firstColumn="1" w:lastColumn="0" w:oddVBand="0" w:evenVBand="0" w:oddHBand="0" w:evenHBand="0" w:firstRowFirstColumn="0" w:firstRowLastColumn="0" w:lastRowFirstColumn="0" w:lastRowLastColumn="0"/>
            <w:tcW w:w="2830" w:type="dxa"/>
          </w:tcPr>
          <w:p w14:paraId="04E2A37F" w14:textId="77777777" w:rsidR="00CC0224" w:rsidRDefault="00CC0224" w:rsidP="005A4CB2">
            <w:pPr>
              <w:contextualSpacing/>
              <w:jc w:val="both"/>
              <w:rPr>
                <w:rFonts w:ascii="Garamond" w:hAnsi="Garamond" w:cs="Arial"/>
                <w:sz w:val="24"/>
                <w:szCs w:val="24"/>
                <w:lang w:val="en-CA"/>
              </w:rPr>
            </w:pPr>
            <w:r>
              <w:rPr>
                <w:rFonts w:ascii="Garamond" w:hAnsi="Garamond" w:cs="Arial"/>
                <w:sz w:val="24"/>
                <w:szCs w:val="24"/>
                <w:lang w:val="en-CA"/>
              </w:rPr>
              <w:t>Freshwater</w:t>
            </w:r>
          </w:p>
        </w:tc>
        <w:tc>
          <w:tcPr>
            <w:tcW w:w="7240" w:type="dxa"/>
          </w:tcPr>
          <w:p w14:paraId="05A704E6" w14:textId="77777777" w:rsidR="00CC0224" w:rsidRDefault="00CC0224" w:rsidP="005A4CB2">
            <w:pPr>
              <w:contextualSpacing/>
              <w:jc w:val="both"/>
              <w:cnfStyle w:val="000000000000" w:firstRow="0" w:lastRow="0" w:firstColumn="0" w:lastColumn="0" w:oddVBand="0" w:evenVBand="0" w:oddHBand="0" w:evenHBand="0" w:firstRowFirstColumn="0" w:firstRowLastColumn="0" w:lastRowFirstColumn="0" w:lastRowLastColumn="0"/>
              <w:rPr>
                <w:rFonts w:ascii="Garamond" w:hAnsi="Garamond" w:cs="Arial"/>
                <w:sz w:val="24"/>
                <w:szCs w:val="24"/>
                <w:lang w:val="en-CA"/>
              </w:rPr>
            </w:pPr>
            <w:r w:rsidRPr="00B22F32">
              <w:rPr>
                <w:rFonts w:ascii="Garamond" w:hAnsi="Garamond" w:cs="Arial"/>
                <w:sz w:val="24"/>
                <w:szCs w:val="24"/>
                <w:lang w:val="en-CA"/>
              </w:rPr>
              <w:t>This category seeks to capture agreements related to regulation or protection of lakes and rivers. It excludes agreements dealing with the pollution of freshwater resources (see Pollution) or its use for hydroelectricity (see Energy). Is also excludes agreements linked to fisheries in these lakes or rivers (see Fish).</w:t>
            </w:r>
          </w:p>
        </w:tc>
      </w:tr>
      <w:tr w:rsidR="00CC0224" w:rsidRPr="00F57F48" w14:paraId="14ADB1C8" w14:textId="77777777" w:rsidTr="003355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3646E077" w14:textId="77777777" w:rsidR="00CC0224" w:rsidRDefault="00CC0224" w:rsidP="005A4CB2">
            <w:pPr>
              <w:contextualSpacing/>
              <w:jc w:val="both"/>
              <w:rPr>
                <w:rFonts w:ascii="Garamond" w:hAnsi="Garamond" w:cs="Arial"/>
                <w:sz w:val="24"/>
                <w:szCs w:val="24"/>
                <w:lang w:val="en-CA"/>
              </w:rPr>
            </w:pPr>
            <w:r>
              <w:rPr>
                <w:rFonts w:ascii="Garamond" w:hAnsi="Garamond" w:cs="Arial"/>
                <w:sz w:val="24"/>
                <w:szCs w:val="24"/>
                <w:lang w:val="en-CA"/>
              </w:rPr>
              <w:lastRenderedPageBreak/>
              <w:t>Fish</w:t>
            </w:r>
          </w:p>
        </w:tc>
        <w:tc>
          <w:tcPr>
            <w:tcW w:w="7240" w:type="dxa"/>
          </w:tcPr>
          <w:p w14:paraId="581E1237" w14:textId="77777777" w:rsidR="00CC0224" w:rsidRDefault="00CC0224" w:rsidP="005A4CB2">
            <w:pPr>
              <w:contextualSpacing/>
              <w:jc w:val="both"/>
              <w:cnfStyle w:val="000000100000" w:firstRow="0" w:lastRow="0" w:firstColumn="0" w:lastColumn="0" w:oddVBand="0" w:evenVBand="0" w:oddHBand="1" w:evenHBand="0" w:firstRowFirstColumn="0" w:firstRowLastColumn="0" w:lastRowFirstColumn="0" w:lastRowLastColumn="0"/>
              <w:rPr>
                <w:rFonts w:ascii="Garamond" w:hAnsi="Garamond" w:cs="Arial"/>
                <w:sz w:val="24"/>
                <w:szCs w:val="24"/>
                <w:lang w:val="en-CA"/>
              </w:rPr>
            </w:pPr>
            <w:r w:rsidRPr="00B22F32">
              <w:rPr>
                <w:rFonts w:ascii="Garamond" w:hAnsi="Garamond" w:cs="Arial"/>
                <w:sz w:val="24"/>
                <w:szCs w:val="24"/>
                <w:lang w:val="en-CA"/>
              </w:rPr>
              <w:t>This category seeks to capture all agreements related to fish and fisheries management. It also includes agreements aiming to conserve species of fishes. It only includes agreements dealing with the fishing of fishes</w:t>
            </w:r>
            <w:r>
              <w:rPr>
                <w:rFonts w:ascii="Garamond" w:hAnsi="Garamond" w:cs="Arial"/>
                <w:sz w:val="24"/>
                <w:szCs w:val="24"/>
                <w:lang w:val="en-CA"/>
              </w:rPr>
              <w:t>, shells</w:t>
            </w:r>
            <w:r w:rsidRPr="00B22F32">
              <w:rPr>
                <w:rFonts w:ascii="Garamond" w:hAnsi="Garamond" w:cs="Arial"/>
                <w:sz w:val="24"/>
                <w:szCs w:val="24"/>
                <w:lang w:val="en-CA"/>
              </w:rPr>
              <w:t xml:space="preserve"> and crustaceans (crabs, lobsters, and prawns for example) and not for the fishing of mammals and the taking of marine reptiles (see Conservation of species and biodiversity). “Marine living resources” are not sufficient to be considered as fishes (see Conservation of species and biodiversity instead).</w:t>
            </w:r>
          </w:p>
        </w:tc>
      </w:tr>
      <w:tr w:rsidR="00CC0224" w:rsidRPr="00F57F48" w14:paraId="5A922FE4" w14:textId="77777777" w:rsidTr="0033551F">
        <w:tc>
          <w:tcPr>
            <w:cnfStyle w:val="001000000000" w:firstRow="0" w:lastRow="0" w:firstColumn="1" w:lastColumn="0" w:oddVBand="0" w:evenVBand="0" w:oddHBand="0" w:evenHBand="0" w:firstRowFirstColumn="0" w:firstRowLastColumn="0" w:lastRowFirstColumn="0" w:lastRowLastColumn="0"/>
            <w:tcW w:w="2830" w:type="dxa"/>
          </w:tcPr>
          <w:p w14:paraId="668A0B6A" w14:textId="77777777" w:rsidR="00CC0224" w:rsidRDefault="00CC0224" w:rsidP="005A4CB2">
            <w:pPr>
              <w:contextualSpacing/>
              <w:jc w:val="both"/>
              <w:rPr>
                <w:rFonts w:ascii="Garamond" w:hAnsi="Garamond" w:cs="Arial"/>
                <w:sz w:val="24"/>
                <w:szCs w:val="24"/>
                <w:lang w:val="en-CA"/>
              </w:rPr>
            </w:pPr>
            <w:r>
              <w:rPr>
                <w:rFonts w:ascii="Garamond" w:hAnsi="Garamond" w:cs="Arial"/>
                <w:sz w:val="24"/>
                <w:szCs w:val="24"/>
                <w:lang w:val="en-CA"/>
              </w:rPr>
              <w:t>Agriculture</w:t>
            </w:r>
          </w:p>
        </w:tc>
        <w:tc>
          <w:tcPr>
            <w:tcW w:w="7240" w:type="dxa"/>
          </w:tcPr>
          <w:p w14:paraId="58E4BF77" w14:textId="77777777" w:rsidR="00CC0224" w:rsidRDefault="00CC0224" w:rsidP="005A4CB2">
            <w:pPr>
              <w:contextualSpacing/>
              <w:jc w:val="both"/>
              <w:cnfStyle w:val="000000000000" w:firstRow="0" w:lastRow="0" w:firstColumn="0" w:lastColumn="0" w:oddVBand="0" w:evenVBand="0" w:oddHBand="0" w:evenHBand="0" w:firstRowFirstColumn="0" w:firstRowLastColumn="0" w:lastRowFirstColumn="0" w:lastRowLastColumn="0"/>
              <w:rPr>
                <w:rFonts w:ascii="Garamond" w:hAnsi="Garamond" w:cs="Arial"/>
                <w:sz w:val="24"/>
                <w:szCs w:val="24"/>
                <w:lang w:val="en-CA"/>
              </w:rPr>
            </w:pPr>
            <w:r w:rsidRPr="00B22F32">
              <w:rPr>
                <w:rFonts w:ascii="Garamond" w:hAnsi="Garamond" w:cs="Arial"/>
                <w:sz w:val="24"/>
                <w:szCs w:val="24"/>
                <w:lang w:val="en-CA"/>
              </w:rPr>
              <w:t>This category seeks to capture agreements related to agriculture, farming, sanitary and veterinary issues or animal health field. It includes agreements dealing with invasive insects and plants, as well plant protection. Agreements dealing with plant genetic resources and modifications are included.</w:t>
            </w:r>
          </w:p>
        </w:tc>
      </w:tr>
      <w:tr w:rsidR="00CC0224" w14:paraId="16A056A8" w14:textId="77777777" w:rsidTr="003355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35441ABD" w14:textId="77777777" w:rsidR="00CC0224" w:rsidRDefault="00CC0224" w:rsidP="005A4CB2">
            <w:pPr>
              <w:contextualSpacing/>
              <w:rPr>
                <w:rFonts w:ascii="Garamond" w:hAnsi="Garamond" w:cs="Arial"/>
                <w:sz w:val="24"/>
                <w:szCs w:val="24"/>
                <w:lang w:val="en-CA"/>
              </w:rPr>
            </w:pPr>
            <w:r>
              <w:rPr>
                <w:rFonts w:ascii="Garamond" w:hAnsi="Garamond" w:cs="Arial"/>
                <w:sz w:val="24"/>
                <w:szCs w:val="24"/>
                <w:lang w:val="en-CA"/>
              </w:rPr>
              <w:t>Conservation of species and biodiversity</w:t>
            </w:r>
          </w:p>
        </w:tc>
        <w:tc>
          <w:tcPr>
            <w:tcW w:w="7240" w:type="dxa"/>
          </w:tcPr>
          <w:p w14:paraId="10C2A77E" w14:textId="77777777" w:rsidR="00CC0224" w:rsidRDefault="00CC0224" w:rsidP="005A4CB2">
            <w:pPr>
              <w:contextualSpacing/>
              <w:jc w:val="both"/>
              <w:cnfStyle w:val="000000100000" w:firstRow="0" w:lastRow="0" w:firstColumn="0" w:lastColumn="0" w:oddVBand="0" w:evenVBand="0" w:oddHBand="1" w:evenHBand="0" w:firstRowFirstColumn="0" w:firstRowLastColumn="0" w:lastRowFirstColumn="0" w:lastRowLastColumn="0"/>
              <w:rPr>
                <w:rFonts w:ascii="Garamond" w:hAnsi="Garamond" w:cs="Arial"/>
                <w:sz w:val="24"/>
                <w:szCs w:val="24"/>
                <w:lang w:val="en-CA"/>
              </w:rPr>
            </w:pPr>
            <w:r w:rsidRPr="00C26EAF">
              <w:rPr>
                <w:rFonts w:ascii="Garamond" w:hAnsi="Garamond" w:cs="Arial"/>
                <w:sz w:val="24"/>
                <w:szCs w:val="24"/>
                <w:lang w:val="en-CA"/>
              </w:rPr>
              <w:t xml:space="preserve">This category seeks to capture agreements that address the conservation and protection of species of animals (except fishes, see Fish), endangered or not. It also includes the protection of wildlife and of marine living resources. Agreements against poaching or regulating hunting are also included. Furthermore, this category capture agreements about forest conservation (including forest fires issues), and agreements on forestry and timber. It also includes agreements about the protection of biodiversity.  </w:t>
            </w:r>
          </w:p>
        </w:tc>
      </w:tr>
      <w:tr w:rsidR="00CC0224" w:rsidRPr="00F57F48" w14:paraId="4862297A" w14:textId="77777777" w:rsidTr="0033551F">
        <w:tc>
          <w:tcPr>
            <w:cnfStyle w:val="001000000000" w:firstRow="0" w:lastRow="0" w:firstColumn="1" w:lastColumn="0" w:oddVBand="0" w:evenVBand="0" w:oddHBand="0" w:evenHBand="0" w:firstRowFirstColumn="0" w:firstRowLastColumn="0" w:lastRowFirstColumn="0" w:lastRowLastColumn="0"/>
            <w:tcW w:w="2830" w:type="dxa"/>
          </w:tcPr>
          <w:p w14:paraId="20292241" w14:textId="77777777" w:rsidR="00CC0224" w:rsidRDefault="00CC0224" w:rsidP="005A4CB2">
            <w:pPr>
              <w:contextualSpacing/>
              <w:jc w:val="both"/>
              <w:rPr>
                <w:rFonts w:ascii="Garamond" w:hAnsi="Garamond" w:cs="Arial"/>
                <w:sz w:val="24"/>
                <w:szCs w:val="24"/>
                <w:lang w:val="en-CA"/>
              </w:rPr>
            </w:pPr>
            <w:r>
              <w:rPr>
                <w:rFonts w:ascii="Garamond" w:hAnsi="Garamond" w:cs="Arial"/>
                <w:sz w:val="24"/>
                <w:szCs w:val="24"/>
                <w:lang w:val="en-CA"/>
              </w:rPr>
              <w:t>Habitat and ocean</w:t>
            </w:r>
          </w:p>
        </w:tc>
        <w:tc>
          <w:tcPr>
            <w:tcW w:w="7240" w:type="dxa"/>
          </w:tcPr>
          <w:p w14:paraId="6513EC6E" w14:textId="77777777" w:rsidR="00CC0224" w:rsidRDefault="00CC0224" w:rsidP="005A4CB2">
            <w:pPr>
              <w:contextualSpacing/>
              <w:jc w:val="both"/>
              <w:cnfStyle w:val="000000000000" w:firstRow="0" w:lastRow="0" w:firstColumn="0" w:lastColumn="0" w:oddVBand="0" w:evenVBand="0" w:oddHBand="0" w:evenHBand="0" w:firstRowFirstColumn="0" w:firstRowLastColumn="0" w:lastRowFirstColumn="0" w:lastRowLastColumn="0"/>
              <w:rPr>
                <w:rFonts w:ascii="Garamond" w:hAnsi="Garamond" w:cs="Arial"/>
                <w:sz w:val="24"/>
                <w:szCs w:val="24"/>
                <w:lang w:val="en-CA"/>
              </w:rPr>
            </w:pPr>
            <w:r w:rsidRPr="00C26EAF">
              <w:rPr>
                <w:rFonts w:ascii="Garamond" w:hAnsi="Garamond" w:cs="Arial"/>
                <w:sz w:val="24"/>
                <w:szCs w:val="24"/>
                <w:lang w:val="en-CA"/>
              </w:rPr>
              <w:t>This category seeks to capture agreements related to particular ecosystems, including the ocean. With respect to ocean protection, agreements related to ocean exploration and ocean science are also included. This category also includes agreements on land, drought and desertification. It also includes agreements on wetlands, protected areas and natural reserves or sanctuaries. Furthermore, it captures agreements protecting entire regions (e.g. Amazonian region). Agreements on protected areas “and biodiversity” are included (and not in Conservation of species and biodiversity). Agreements dealing with fisheries in the ocean are excluded (see Fish).</w:t>
            </w:r>
          </w:p>
        </w:tc>
      </w:tr>
      <w:tr w:rsidR="00CC0224" w:rsidRPr="00F57F48" w14:paraId="3829BCC1" w14:textId="77777777" w:rsidTr="003355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78DE0E46" w14:textId="77777777" w:rsidR="00CC0224" w:rsidRDefault="00CC0224" w:rsidP="005A4CB2">
            <w:pPr>
              <w:contextualSpacing/>
              <w:rPr>
                <w:rFonts w:ascii="Garamond" w:hAnsi="Garamond" w:cs="Arial"/>
                <w:sz w:val="24"/>
                <w:szCs w:val="24"/>
                <w:lang w:val="en-CA"/>
              </w:rPr>
            </w:pPr>
            <w:r>
              <w:rPr>
                <w:rFonts w:ascii="Garamond" w:hAnsi="Garamond" w:cs="Arial"/>
                <w:sz w:val="24"/>
                <w:szCs w:val="24"/>
                <w:lang w:val="en-CA"/>
              </w:rPr>
              <w:t xml:space="preserve">General environmental cooperation </w:t>
            </w:r>
          </w:p>
        </w:tc>
        <w:tc>
          <w:tcPr>
            <w:tcW w:w="7240" w:type="dxa"/>
          </w:tcPr>
          <w:p w14:paraId="79D69547" w14:textId="77777777" w:rsidR="00CC0224" w:rsidRDefault="00CC0224" w:rsidP="005A4CB2">
            <w:pPr>
              <w:contextualSpacing/>
              <w:jc w:val="both"/>
              <w:cnfStyle w:val="000000100000" w:firstRow="0" w:lastRow="0" w:firstColumn="0" w:lastColumn="0" w:oddVBand="0" w:evenVBand="0" w:oddHBand="1" w:evenHBand="0" w:firstRowFirstColumn="0" w:firstRowLastColumn="0" w:lastRowFirstColumn="0" w:lastRowLastColumn="0"/>
              <w:rPr>
                <w:rFonts w:ascii="Garamond" w:hAnsi="Garamond" w:cs="Arial"/>
                <w:sz w:val="24"/>
                <w:szCs w:val="24"/>
                <w:lang w:val="en-CA"/>
              </w:rPr>
            </w:pPr>
            <w:r w:rsidRPr="00C26EAF">
              <w:rPr>
                <w:rFonts w:ascii="Garamond" w:hAnsi="Garamond" w:cs="Arial"/>
                <w:sz w:val="24"/>
                <w:szCs w:val="24"/>
                <w:lang w:val="en-CA"/>
              </w:rPr>
              <w:t>This category seeks to capture agreements related to efforts to conserve, manage, preserve, and protect natural resources or environment in general. It includes agreements on environmental impact assessments and prior notification procedures, as they apply to the environmental in general. This category includes agreements dealing with general “nature conservation” and bilateral agreements on “environmental cooperation”.</w:t>
            </w:r>
            <w:r>
              <w:rPr>
                <w:rFonts w:ascii="Garamond" w:hAnsi="Garamond" w:cs="Arial"/>
                <w:sz w:val="24"/>
                <w:szCs w:val="24"/>
                <w:lang w:val="en-CA"/>
              </w:rPr>
              <w:t xml:space="preserve"> </w:t>
            </w:r>
            <w:r w:rsidRPr="00413D7E">
              <w:rPr>
                <w:rFonts w:ascii="Garamond" w:hAnsi="Garamond" w:cs="Arial"/>
                <w:sz w:val="24"/>
                <w:szCs w:val="24"/>
                <w:lang w:val="en-CA"/>
              </w:rPr>
              <w:t>It includes agreements dealing with natural disaster management, except for forest fires management (see Conservation of species and biodiversity).</w:t>
            </w:r>
            <w:r>
              <w:rPr>
                <w:rFonts w:ascii="Garamond" w:hAnsi="Garamond" w:cs="Arial"/>
                <w:sz w:val="24"/>
                <w:szCs w:val="24"/>
                <w:lang w:val="en-CA"/>
              </w:rPr>
              <w:t xml:space="preserve"> This category also includes agreements containing provisions dealing with many subjects, without one subject clearly standing out (for example, </w:t>
            </w:r>
            <w:r>
              <w:rPr>
                <w:rFonts w:ascii="Garamond" w:hAnsi="Garamond" w:cs="Arial"/>
                <w:sz w:val="24"/>
                <w:szCs w:val="24"/>
                <w:lang w:val="en-CA"/>
              </w:rPr>
              <w:lastRenderedPageBreak/>
              <w:t>agreements calling for cooperation in agriculture, water management, protection of biodiversity and fishing).</w:t>
            </w:r>
          </w:p>
        </w:tc>
      </w:tr>
      <w:tr w:rsidR="00CC0224" w:rsidRPr="00F57F48" w14:paraId="668E402A" w14:textId="77777777" w:rsidTr="0033551F">
        <w:tc>
          <w:tcPr>
            <w:cnfStyle w:val="001000000000" w:firstRow="0" w:lastRow="0" w:firstColumn="1" w:lastColumn="0" w:oddVBand="0" w:evenVBand="0" w:oddHBand="0" w:evenHBand="0" w:firstRowFirstColumn="0" w:firstRowLastColumn="0" w:lastRowFirstColumn="0" w:lastRowLastColumn="0"/>
            <w:tcW w:w="2830" w:type="dxa"/>
          </w:tcPr>
          <w:p w14:paraId="343B0A9C" w14:textId="77777777" w:rsidR="00CC0224" w:rsidRDefault="00CC0224" w:rsidP="005A4CB2">
            <w:pPr>
              <w:contextualSpacing/>
              <w:jc w:val="both"/>
              <w:rPr>
                <w:rFonts w:ascii="Garamond" w:hAnsi="Garamond" w:cs="Arial"/>
                <w:sz w:val="24"/>
                <w:szCs w:val="24"/>
                <w:lang w:val="en-CA"/>
              </w:rPr>
            </w:pPr>
            <w:r>
              <w:rPr>
                <w:rFonts w:ascii="Garamond" w:hAnsi="Garamond" w:cs="Arial"/>
                <w:sz w:val="24"/>
                <w:szCs w:val="24"/>
                <w:lang w:val="en-CA"/>
              </w:rPr>
              <w:lastRenderedPageBreak/>
              <w:t xml:space="preserve">Others </w:t>
            </w:r>
          </w:p>
        </w:tc>
        <w:tc>
          <w:tcPr>
            <w:tcW w:w="7240" w:type="dxa"/>
          </w:tcPr>
          <w:p w14:paraId="5812DBFC" w14:textId="77777777" w:rsidR="00CC0224" w:rsidRDefault="00CC0224" w:rsidP="005A4CB2">
            <w:pPr>
              <w:contextualSpacing/>
              <w:jc w:val="both"/>
              <w:cnfStyle w:val="000000000000" w:firstRow="0" w:lastRow="0" w:firstColumn="0" w:lastColumn="0" w:oddVBand="0" w:evenVBand="0" w:oddHBand="0" w:evenHBand="0" w:firstRowFirstColumn="0" w:firstRowLastColumn="0" w:lastRowFirstColumn="0" w:lastRowLastColumn="0"/>
              <w:rPr>
                <w:rFonts w:ascii="Garamond" w:hAnsi="Garamond" w:cs="Arial"/>
                <w:sz w:val="24"/>
                <w:szCs w:val="24"/>
                <w:lang w:val="en-CA"/>
              </w:rPr>
            </w:pPr>
            <w:r w:rsidRPr="00C26EAF">
              <w:rPr>
                <w:rFonts w:ascii="Garamond" w:hAnsi="Garamond" w:cs="Arial"/>
                <w:sz w:val="24"/>
                <w:szCs w:val="24"/>
                <w:lang w:val="en-CA"/>
              </w:rPr>
              <w:t>This category seeks to capture all agreements that do not fit in other subjects. It includes notably agreements on environmental health and other very specific issues.</w:t>
            </w:r>
          </w:p>
        </w:tc>
      </w:tr>
    </w:tbl>
    <w:p w14:paraId="7A40817E" w14:textId="77777777" w:rsidR="00CC0224" w:rsidRPr="001A11DA" w:rsidRDefault="00CC0224" w:rsidP="005A4CB2">
      <w:pPr>
        <w:spacing w:after="0" w:line="240" w:lineRule="auto"/>
        <w:contextualSpacing/>
        <w:rPr>
          <w:rFonts w:ascii="Garamond" w:hAnsi="Garamond"/>
          <w:sz w:val="24"/>
          <w:lang w:val="en-CA"/>
        </w:rPr>
      </w:pPr>
    </w:p>
    <w:p w14:paraId="65B0A79E" w14:textId="31BC49AD" w:rsidR="00295F18" w:rsidRPr="00A57C70" w:rsidRDefault="00CC0224" w:rsidP="00A57C70">
      <w:pPr>
        <w:pStyle w:val="Titre3"/>
        <w:numPr>
          <w:ilvl w:val="0"/>
          <w:numId w:val="0"/>
        </w:numPr>
        <w:spacing w:after="0"/>
        <w:ind w:left="576" w:hanging="576"/>
        <w:contextualSpacing/>
      </w:pPr>
      <w:bookmarkStart w:id="26" w:name="_Toc507158522"/>
      <w:bookmarkStart w:id="27" w:name="_Toc64659203"/>
      <w:r w:rsidRPr="00BA4FD7">
        <w:t xml:space="preserve">Type </w:t>
      </w:r>
      <w:r>
        <w:t xml:space="preserve">of </w:t>
      </w:r>
      <w:r w:rsidRPr="00BA4FD7">
        <w:t>Memb</w:t>
      </w:r>
      <w:r>
        <w:t>ership</w:t>
      </w:r>
      <w:bookmarkEnd w:id="26"/>
      <w:bookmarkEnd w:id="27"/>
    </w:p>
    <w:tbl>
      <w:tblPr>
        <w:tblStyle w:val="Tableausimple21"/>
        <w:tblW w:w="0" w:type="auto"/>
        <w:tblLook w:val="04A0" w:firstRow="1" w:lastRow="0" w:firstColumn="1" w:lastColumn="0" w:noHBand="0" w:noVBand="1"/>
      </w:tblPr>
      <w:tblGrid>
        <w:gridCol w:w="799"/>
        <w:gridCol w:w="1675"/>
        <w:gridCol w:w="6166"/>
      </w:tblGrid>
      <w:tr w:rsidR="00CC549C" w:rsidRPr="00276B94" w14:paraId="5214A7DE" w14:textId="77777777" w:rsidTr="003355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0A1DF27" w14:textId="77777777" w:rsidR="00CC0224" w:rsidRPr="00BA4FD7" w:rsidRDefault="00CC0224" w:rsidP="005A4CB2">
            <w:pPr>
              <w:contextualSpacing/>
              <w:rPr>
                <w:rFonts w:ascii="Garamond" w:hAnsi="Garamond" w:cs="Arial"/>
                <w:sz w:val="24"/>
                <w:szCs w:val="24"/>
                <w:lang w:val="en-CA"/>
              </w:rPr>
            </w:pPr>
            <w:r>
              <w:rPr>
                <w:rFonts w:ascii="Garamond" w:hAnsi="Garamond" w:cs="Arial"/>
                <w:sz w:val="24"/>
                <w:szCs w:val="24"/>
                <w:lang w:val="en-CA"/>
              </w:rPr>
              <w:t>V</w:t>
            </w:r>
            <w:r w:rsidRPr="00BA4FD7">
              <w:rPr>
                <w:rFonts w:ascii="Garamond" w:hAnsi="Garamond" w:cs="Arial"/>
                <w:sz w:val="24"/>
                <w:szCs w:val="24"/>
                <w:lang w:val="en-CA"/>
              </w:rPr>
              <w:t>alue</w:t>
            </w:r>
          </w:p>
        </w:tc>
        <w:tc>
          <w:tcPr>
            <w:tcW w:w="0" w:type="auto"/>
          </w:tcPr>
          <w:p w14:paraId="4CFA97EF" w14:textId="77777777" w:rsidR="00CC0224" w:rsidRPr="00BA4FD7" w:rsidRDefault="00CC0224" w:rsidP="005A4CB2">
            <w:pPr>
              <w:contextualSpacing/>
              <w:cnfStyle w:val="100000000000" w:firstRow="1" w:lastRow="0" w:firstColumn="0" w:lastColumn="0" w:oddVBand="0" w:evenVBand="0" w:oddHBand="0" w:evenHBand="0" w:firstRowFirstColumn="0" w:firstRowLastColumn="0" w:lastRowFirstColumn="0" w:lastRowLastColumn="0"/>
              <w:rPr>
                <w:rFonts w:ascii="Garamond" w:hAnsi="Garamond" w:cs="Arial"/>
                <w:sz w:val="24"/>
                <w:szCs w:val="24"/>
                <w:lang w:val="en-CA"/>
              </w:rPr>
            </w:pPr>
            <w:r w:rsidRPr="00BA4FD7">
              <w:rPr>
                <w:rFonts w:ascii="Garamond" w:hAnsi="Garamond" w:cs="Arial"/>
                <w:sz w:val="24"/>
                <w:szCs w:val="24"/>
                <w:lang w:val="en-CA"/>
              </w:rPr>
              <w:t>Meaning</w:t>
            </w:r>
          </w:p>
        </w:tc>
        <w:tc>
          <w:tcPr>
            <w:tcW w:w="0" w:type="auto"/>
          </w:tcPr>
          <w:p w14:paraId="44A39194" w14:textId="77777777" w:rsidR="00CC0224" w:rsidRPr="00BA4FD7" w:rsidRDefault="00CC0224" w:rsidP="005A4CB2">
            <w:pPr>
              <w:contextualSpacing/>
              <w:cnfStyle w:val="100000000000" w:firstRow="1" w:lastRow="0" w:firstColumn="0" w:lastColumn="0" w:oddVBand="0" w:evenVBand="0" w:oddHBand="0" w:evenHBand="0" w:firstRowFirstColumn="0" w:firstRowLastColumn="0" w:lastRowFirstColumn="0" w:lastRowLastColumn="0"/>
              <w:rPr>
                <w:rFonts w:ascii="Garamond" w:hAnsi="Garamond" w:cs="Arial"/>
                <w:sz w:val="24"/>
                <w:szCs w:val="24"/>
                <w:lang w:val="en-CA"/>
              </w:rPr>
            </w:pPr>
            <w:r>
              <w:rPr>
                <w:rFonts w:ascii="Garamond" w:hAnsi="Garamond" w:cs="Arial"/>
                <w:sz w:val="24"/>
                <w:szCs w:val="24"/>
                <w:lang w:val="en-CA"/>
              </w:rPr>
              <w:t>Example of instrument</w:t>
            </w:r>
          </w:p>
        </w:tc>
      </w:tr>
      <w:tr w:rsidR="00CC549C" w:rsidRPr="00BA4FD7" w14:paraId="79F9F961" w14:textId="77777777" w:rsidTr="003355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D78C5F6" w14:textId="77777777" w:rsidR="00CC0224" w:rsidRPr="00BA4FD7" w:rsidRDefault="00CC0224" w:rsidP="005A4CB2">
            <w:pPr>
              <w:contextualSpacing/>
              <w:rPr>
                <w:rFonts w:ascii="Garamond" w:hAnsi="Garamond" w:cs="Arial"/>
                <w:sz w:val="24"/>
                <w:szCs w:val="24"/>
                <w:lang w:val="en-CA"/>
              </w:rPr>
            </w:pPr>
            <w:r w:rsidRPr="00BA4FD7">
              <w:rPr>
                <w:rFonts w:ascii="Garamond" w:hAnsi="Garamond" w:cs="Arial"/>
                <w:sz w:val="24"/>
                <w:szCs w:val="24"/>
                <w:lang w:val="en-CA"/>
              </w:rPr>
              <w:t>1</w:t>
            </w:r>
          </w:p>
        </w:tc>
        <w:tc>
          <w:tcPr>
            <w:tcW w:w="0" w:type="auto"/>
          </w:tcPr>
          <w:p w14:paraId="1D4F782A" w14:textId="77777777" w:rsidR="00CC0224" w:rsidRPr="00BA4FD7" w:rsidRDefault="00CC0224" w:rsidP="005A4CB2">
            <w:pPr>
              <w:contextualSpacing/>
              <w:cnfStyle w:val="000000100000" w:firstRow="0" w:lastRow="0" w:firstColumn="0" w:lastColumn="0" w:oddVBand="0" w:evenVBand="0" w:oddHBand="1" w:evenHBand="0" w:firstRowFirstColumn="0" w:firstRowLastColumn="0" w:lastRowFirstColumn="0" w:lastRowLastColumn="0"/>
              <w:rPr>
                <w:rFonts w:ascii="Garamond" w:hAnsi="Garamond" w:cs="Arial"/>
                <w:sz w:val="24"/>
                <w:szCs w:val="24"/>
                <w:lang w:val="en-CA"/>
              </w:rPr>
            </w:pPr>
            <w:r w:rsidRPr="00BA4FD7">
              <w:rPr>
                <w:rFonts w:ascii="Garamond" w:hAnsi="Garamond" w:cs="Arial"/>
                <w:sz w:val="24"/>
                <w:szCs w:val="24"/>
                <w:lang w:val="en-CA"/>
              </w:rPr>
              <w:t xml:space="preserve">Multilateral </w:t>
            </w:r>
          </w:p>
        </w:tc>
        <w:tc>
          <w:tcPr>
            <w:tcW w:w="0" w:type="auto"/>
          </w:tcPr>
          <w:p w14:paraId="0CC1983C" w14:textId="77777777" w:rsidR="00CC0224" w:rsidRPr="00BA4FD7" w:rsidRDefault="00CC0224" w:rsidP="005A4CB2">
            <w:pPr>
              <w:contextualSpacing/>
              <w:jc w:val="both"/>
              <w:cnfStyle w:val="000000100000" w:firstRow="0" w:lastRow="0" w:firstColumn="0" w:lastColumn="0" w:oddVBand="0" w:evenVBand="0" w:oddHBand="1" w:evenHBand="0" w:firstRowFirstColumn="0" w:firstRowLastColumn="0" w:lastRowFirstColumn="0" w:lastRowLastColumn="0"/>
              <w:rPr>
                <w:rFonts w:ascii="Garamond" w:hAnsi="Garamond" w:cs="Arial"/>
                <w:sz w:val="24"/>
                <w:szCs w:val="24"/>
                <w:lang w:val="en-CA"/>
              </w:rPr>
            </w:pPr>
            <w:r w:rsidRPr="00BA4FD7">
              <w:rPr>
                <w:rFonts w:ascii="Garamond" w:hAnsi="Garamond" w:cs="Arial"/>
                <w:sz w:val="24"/>
                <w:szCs w:val="24"/>
                <w:lang w:val="en-CA"/>
              </w:rPr>
              <w:t>Con</w:t>
            </w:r>
            <w:r>
              <w:rPr>
                <w:rFonts w:ascii="Garamond" w:hAnsi="Garamond" w:cs="Arial"/>
                <w:sz w:val="24"/>
                <w:szCs w:val="24"/>
                <w:lang w:val="en-CA"/>
              </w:rPr>
              <w:t>vention on Biological Diversity</w:t>
            </w:r>
          </w:p>
        </w:tc>
      </w:tr>
      <w:tr w:rsidR="0035041F" w:rsidRPr="00F57F48" w14:paraId="1D523513" w14:textId="77777777" w:rsidTr="0033551F">
        <w:tc>
          <w:tcPr>
            <w:cnfStyle w:val="001000000000" w:firstRow="0" w:lastRow="0" w:firstColumn="1" w:lastColumn="0" w:oddVBand="0" w:evenVBand="0" w:oddHBand="0" w:evenHBand="0" w:firstRowFirstColumn="0" w:firstRowLastColumn="0" w:lastRowFirstColumn="0" w:lastRowLastColumn="0"/>
            <w:tcW w:w="0" w:type="auto"/>
          </w:tcPr>
          <w:p w14:paraId="05E0F84D" w14:textId="77777777" w:rsidR="00CC0224" w:rsidRPr="00BA4FD7" w:rsidRDefault="00CC0224" w:rsidP="005A4CB2">
            <w:pPr>
              <w:contextualSpacing/>
              <w:rPr>
                <w:rFonts w:ascii="Garamond" w:hAnsi="Garamond" w:cs="Arial"/>
                <w:sz w:val="24"/>
                <w:szCs w:val="24"/>
                <w:lang w:val="en-CA"/>
              </w:rPr>
            </w:pPr>
            <w:r w:rsidRPr="00BA4FD7">
              <w:rPr>
                <w:rFonts w:ascii="Garamond" w:hAnsi="Garamond" w:cs="Arial"/>
                <w:sz w:val="24"/>
                <w:szCs w:val="24"/>
                <w:lang w:val="en-CA"/>
              </w:rPr>
              <w:t>2</w:t>
            </w:r>
          </w:p>
        </w:tc>
        <w:tc>
          <w:tcPr>
            <w:tcW w:w="0" w:type="auto"/>
          </w:tcPr>
          <w:p w14:paraId="22A25168" w14:textId="77777777" w:rsidR="00CC0224" w:rsidRPr="00BA4FD7" w:rsidRDefault="00CC0224" w:rsidP="005A4CB2">
            <w:pPr>
              <w:contextualSpacing/>
              <w:cnfStyle w:val="000000000000" w:firstRow="0" w:lastRow="0" w:firstColumn="0" w:lastColumn="0" w:oddVBand="0" w:evenVBand="0" w:oddHBand="0" w:evenHBand="0" w:firstRowFirstColumn="0" w:firstRowLastColumn="0" w:lastRowFirstColumn="0" w:lastRowLastColumn="0"/>
              <w:rPr>
                <w:rFonts w:ascii="Garamond" w:hAnsi="Garamond" w:cs="Arial"/>
                <w:sz w:val="24"/>
                <w:szCs w:val="24"/>
                <w:lang w:val="en-CA"/>
              </w:rPr>
            </w:pPr>
            <w:r w:rsidRPr="00BA4FD7">
              <w:rPr>
                <w:rFonts w:ascii="Garamond" w:hAnsi="Garamond" w:cs="Arial"/>
                <w:sz w:val="24"/>
                <w:szCs w:val="24"/>
                <w:lang w:val="en-CA"/>
              </w:rPr>
              <w:t>Bilateral</w:t>
            </w:r>
          </w:p>
        </w:tc>
        <w:tc>
          <w:tcPr>
            <w:tcW w:w="0" w:type="auto"/>
          </w:tcPr>
          <w:p w14:paraId="4819B56F" w14:textId="59E7E0ED" w:rsidR="00CC0224" w:rsidRPr="00BA4FD7" w:rsidRDefault="00CC0224" w:rsidP="005A4CB2">
            <w:pPr>
              <w:contextualSpacing/>
              <w:jc w:val="both"/>
              <w:cnfStyle w:val="000000000000" w:firstRow="0" w:lastRow="0" w:firstColumn="0" w:lastColumn="0" w:oddVBand="0" w:evenVBand="0" w:oddHBand="0" w:evenHBand="0" w:firstRowFirstColumn="0" w:firstRowLastColumn="0" w:lastRowFirstColumn="0" w:lastRowLastColumn="0"/>
              <w:rPr>
                <w:rFonts w:ascii="Garamond" w:hAnsi="Garamond" w:cs="Arial"/>
                <w:sz w:val="24"/>
                <w:szCs w:val="24"/>
                <w:lang w:val="en-CA"/>
              </w:rPr>
            </w:pPr>
            <w:r w:rsidRPr="006013B2">
              <w:rPr>
                <w:rFonts w:ascii="Garamond" w:hAnsi="Garamond" w:cs="Arial"/>
                <w:sz w:val="24"/>
                <w:szCs w:val="24"/>
                <w:lang w:val="en-CA"/>
              </w:rPr>
              <w:t xml:space="preserve">Agreement </w:t>
            </w:r>
            <w:r w:rsidR="004A06B1">
              <w:rPr>
                <w:rFonts w:ascii="Garamond" w:hAnsi="Garamond" w:cs="Arial"/>
                <w:sz w:val="24"/>
                <w:szCs w:val="24"/>
                <w:lang w:val="en-CA"/>
              </w:rPr>
              <w:t>o</w:t>
            </w:r>
            <w:r w:rsidRPr="006013B2">
              <w:rPr>
                <w:rFonts w:ascii="Garamond" w:hAnsi="Garamond" w:cs="Arial"/>
                <w:sz w:val="24"/>
                <w:szCs w:val="24"/>
                <w:lang w:val="en-CA"/>
              </w:rPr>
              <w:t xml:space="preserve">n Environmental Cooperation </w:t>
            </w:r>
            <w:r w:rsidR="00281CFF">
              <w:rPr>
                <w:rFonts w:ascii="Garamond" w:hAnsi="Garamond" w:cs="Arial"/>
                <w:sz w:val="24"/>
                <w:szCs w:val="24"/>
                <w:lang w:val="en-CA"/>
              </w:rPr>
              <w:t>b</w:t>
            </w:r>
            <w:r w:rsidRPr="006013B2">
              <w:rPr>
                <w:rFonts w:ascii="Garamond" w:hAnsi="Garamond" w:cs="Arial"/>
                <w:sz w:val="24"/>
                <w:szCs w:val="24"/>
                <w:lang w:val="en-CA"/>
              </w:rPr>
              <w:t xml:space="preserve">etween Uruguay </w:t>
            </w:r>
            <w:r w:rsidR="00281CFF">
              <w:rPr>
                <w:rFonts w:ascii="Garamond" w:hAnsi="Garamond" w:cs="Arial"/>
                <w:sz w:val="24"/>
                <w:szCs w:val="24"/>
                <w:lang w:val="en-CA"/>
              </w:rPr>
              <w:t>a</w:t>
            </w:r>
            <w:r w:rsidRPr="006013B2">
              <w:rPr>
                <w:rFonts w:ascii="Garamond" w:hAnsi="Garamond" w:cs="Arial"/>
                <w:sz w:val="24"/>
                <w:szCs w:val="24"/>
                <w:lang w:val="en-CA"/>
              </w:rPr>
              <w:t>nd Brazil</w:t>
            </w:r>
          </w:p>
        </w:tc>
      </w:tr>
      <w:tr w:rsidR="0035041F" w:rsidRPr="00F57F48" w14:paraId="0717A863" w14:textId="77777777" w:rsidTr="0033551F">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0" w:type="auto"/>
          </w:tcPr>
          <w:p w14:paraId="75CAD3E5" w14:textId="77777777" w:rsidR="00CC0224" w:rsidRPr="00BA4FD7" w:rsidRDefault="00CC0224" w:rsidP="005A4CB2">
            <w:pPr>
              <w:contextualSpacing/>
              <w:rPr>
                <w:rFonts w:ascii="Garamond" w:hAnsi="Garamond" w:cs="Arial"/>
                <w:sz w:val="24"/>
                <w:szCs w:val="24"/>
                <w:lang w:val="en-CA"/>
              </w:rPr>
            </w:pPr>
            <w:r w:rsidRPr="00BA4FD7">
              <w:rPr>
                <w:rFonts w:ascii="Garamond" w:hAnsi="Garamond" w:cs="Arial"/>
                <w:sz w:val="24"/>
                <w:szCs w:val="24"/>
                <w:lang w:val="en-CA"/>
              </w:rPr>
              <w:t>3</w:t>
            </w:r>
          </w:p>
        </w:tc>
        <w:tc>
          <w:tcPr>
            <w:tcW w:w="0" w:type="auto"/>
          </w:tcPr>
          <w:p w14:paraId="012FE8AA" w14:textId="77777777" w:rsidR="00CC0224" w:rsidRPr="00BA4FD7" w:rsidRDefault="00CC0224" w:rsidP="005A4CB2">
            <w:pPr>
              <w:contextualSpacing/>
              <w:cnfStyle w:val="000000100000" w:firstRow="0" w:lastRow="0" w:firstColumn="0" w:lastColumn="0" w:oddVBand="0" w:evenVBand="0" w:oddHBand="1" w:evenHBand="0" w:firstRowFirstColumn="0" w:firstRowLastColumn="0" w:lastRowFirstColumn="0" w:lastRowLastColumn="0"/>
              <w:rPr>
                <w:rFonts w:ascii="Garamond" w:hAnsi="Garamond" w:cs="Arial"/>
                <w:sz w:val="24"/>
                <w:szCs w:val="24"/>
              </w:rPr>
            </w:pPr>
            <w:proofErr w:type="spellStart"/>
            <w:r w:rsidRPr="00BA4FD7">
              <w:rPr>
                <w:rFonts w:ascii="Garamond" w:hAnsi="Garamond" w:cs="Arial"/>
                <w:sz w:val="24"/>
                <w:szCs w:val="24"/>
              </w:rPr>
              <w:t>Other</w:t>
            </w:r>
            <w:proofErr w:type="spellEnd"/>
            <w:r w:rsidRPr="00BA4FD7">
              <w:rPr>
                <w:rFonts w:ascii="Garamond" w:hAnsi="Garamond" w:cs="Arial"/>
                <w:sz w:val="24"/>
                <w:szCs w:val="24"/>
              </w:rPr>
              <w:t xml:space="preserve"> (non-multi/non-</w:t>
            </w:r>
            <w:proofErr w:type="spellStart"/>
            <w:r w:rsidRPr="00BA4FD7">
              <w:rPr>
                <w:rFonts w:ascii="Garamond" w:hAnsi="Garamond" w:cs="Arial"/>
                <w:sz w:val="24"/>
                <w:szCs w:val="24"/>
              </w:rPr>
              <w:t>bilateral</w:t>
            </w:r>
            <w:proofErr w:type="spellEnd"/>
            <w:r w:rsidRPr="00BA4FD7">
              <w:rPr>
                <w:rFonts w:ascii="Garamond" w:hAnsi="Garamond" w:cs="Arial"/>
                <w:sz w:val="24"/>
                <w:szCs w:val="24"/>
              </w:rPr>
              <w:t>)</w:t>
            </w:r>
          </w:p>
        </w:tc>
        <w:tc>
          <w:tcPr>
            <w:tcW w:w="0" w:type="auto"/>
          </w:tcPr>
          <w:p w14:paraId="25FD6799" w14:textId="77777777" w:rsidR="00CC0224" w:rsidRDefault="00CC0224" w:rsidP="005A4CB2">
            <w:pPr>
              <w:contextualSpacing/>
              <w:jc w:val="both"/>
              <w:cnfStyle w:val="000000100000" w:firstRow="0" w:lastRow="0" w:firstColumn="0" w:lastColumn="0" w:oddVBand="0" w:evenVBand="0" w:oddHBand="1" w:evenHBand="0" w:firstRowFirstColumn="0" w:firstRowLastColumn="0" w:lastRowFirstColumn="0" w:lastRowLastColumn="0"/>
              <w:rPr>
                <w:rFonts w:ascii="Garamond" w:hAnsi="Garamond" w:cs="Arial"/>
                <w:sz w:val="24"/>
                <w:szCs w:val="24"/>
                <w:lang w:val="en-CA"/>
              </w:rPr>
            </w:pPr>
            <w:r w:rsidRPr="00BA4FD7">
              <w:rPr>
                <w:rFonts w:ascii="Garamond" w:hAnsi="Garamond" w:cs="Arial"/>
                <w:sz w:val="24"/>
                <w:szCs w:val="24"/>
                <w:lang w:val="en-CA"/>
              </w:rPr>
              <w:t>Great Lakes-St. Lawrence River Basin Sustainable Water Resources Agreement</w:t>
            </w:r>
          </w:p>
          <w:p w14:paraId="057C2803" w14:textId="656A8C7F" w:rsidR="00CC0224" w:rsidRPr="00BA4FD7" w:rsidRDefault="00CC0224" w:rsidP="005A4CB2">
            <w:pPr>
              <w:contextualSpacing/>
              <w:jc w:val="both"/>
              <w:cnfStyle w:val="000000100000" w:firstRow="0" w:lastRow="0" w:firstColumn="0" w:lastColumn="0" w:oddVBand="0" w:evenVBand="0" w:oddHBand="1" w:evenHBand="0" w:firstRowFirstColumn="0" w:firstRowLastColumn="0" w:lastRowFirstColumn="0" w:lastRowLastColumn="0"/>
              <w:rPr>
                <w:rFonts w:ascii="Garamond" w:hAnsi="Garamond" w:cs="Arial"/>
                <w:sz w:val="24"/>
                <w:szCs w:val="24"/>
                <w:lang w:val="en-CA"/>
              </w:rPr>
            </w:pPr>
            <w:r w:rsidRPr="00372461">
              <w:rPr>
                <w:rFonts w:ascii="Garamond" w:hAnsi="Garamond" w:cs="Arial"/>
                <w:sz w:val="24"/>
                <w:szCs w:val="24"/>
                <w:lang w:val="en-CA"/>
              </w:rPr>
              <w:t xml:space="preserve">Agreement </w:t>
            </w:r>
            <w:r w:rsidR="00C13905">
              <w:rPr>
                <w:rFonts w:ascii="Garamond" w:hAnsi="Garamond" w:cs="Arial"/>
                <w:sz w:val="24"/>
                <w:szCs w:val="24"/>
                <w:lang w:val="en-CA"/>
              </w:rPr>
              <w:t>b</w:t>
            </w:r>
            <w:r w:rsidRPr="00372461">
              <w:rPr>
                <w:rFonts w:ascii="Garamond" w:hAnsi="Garamond" w:cs="Arial"/>
                <w:sz w:val="24"/>
                <w:szCs w:val="24"/>
                <w:lang w:val="en-CA"/>
              </w:rPr>
              <w:t xml:space="preserve">etween </w:t>
            </w:r>
            <w:r w:rsidR="004A06B1">
              <w:rPr>
                <w:rFonts w:ascii="Garamond" w:hAnsi="Garamond" w:cs="Arial"/>
                <w:sz w:val="24"/>
                <w:szCs w:val="24"/>
                <w:lang w:val="en-CA"/>
              </w:rPr>
              <w:t>t</w:t>
            </w:r>
            <w:r w:rsidRPr="00372461">
              <w:rPr>
                <w:rFonts w:ascii="Garamond" w:hAnsi="Garamond" w:cs="Arial"/>
                <w:sz w:val="24"/>
                <w:szCs w:val="24"/>
                <w:lang w:val="en-CA"/>
              </w:rPr>
              <w:t xml:space="preserve">he Environmental Protection Agency </w:t>
            </w:r>
            <w:r w:rsidR="00281CFF">
              <w:rPr>
                <w:rFonts w:ascii="Garamond" w:hAnsi="Garamond" w:cs="Arial"/>
                <w:sz w:val="24"/>
                <w:szCs w:val="24"/>
                <w:lang w:val="en-CA"/>
              </w:rPr>
              <w:t>o</w:t>
            </w:r>
            <w:r w:rsidRPr="00372461">
              <w:rPr>
                <w:rFonts w:ascii="Garamond" w:hAnsi="Garamond" w:cs="Arial"/>
                <w:sz w:val="24"/>
                <w:szCs w:val="24"/>
                <w:lang w:val="en-CA"/>
              </w:rPr>
              <w:t xml:space="preserve">f </w:t>
            </w:r>
            <w:r w:rsidR="0035041F">
              <w:rPr>
                <w:rFonts w:ascii="Garamond" w:hAnsi="Garamond" w:cs="Arial"/>
                <w:sz w:val="24"/>
                <w:szCs w:val="24"/>
                <w:lang w:val="en-CA"/>
              </w:rPr>
              <w:t>t</w:t>
            </w:r>
            <w:r w:rsidRPr="00372461">
              <w:rPr>
                <w:rFonts w:ascii="Garamond" w:hAnsi="Garamond" w:cs="Arial"/>
                <w:sz w:val="24"/>
                <w:szCs w:val="24"/>
                <w:lang w:val="en-CA"/>
              </w:rPr>
              <w:t xml:space="preserve">he United States of America And </w:t>
            </w:r>
            <w:r w:rsidR="0035041F">
              <w:rPr>
                <w:rFonts w:ascii="Garamond" w:hAnsi="Garamond" w:cs="Arial"/>
                <w:sz w:val="24"/>
                <w:szCs w:val="24"/>
                <w:lang w:val="en-CA"/>
              </w:rPr>
              <w:t>t</w:t>
            </w:r>
            <w:r w:rsidRPr="00372461">
              <w:rPr>
                <w:rFonts w:ascii="Garamond" w:hAnsi="Garamond" w:cs="Arial"/>
                <w:sz w:val="24"/>
                <w:szCs w:val="24"/>
                <w:lang w:val="en-CA"/>
              </w:rPr>
              <w:t xml:space="preserve">he Ministry </w:t>
            </w:r>
            <w:r w:rsidR="00281CFF">
              <w:rPr>
                <w:rFonts w:ascii="Garamond" w:hAnsi="Garamond" w:cs="Arial"/>
                <w:sz w:val="24"/>
                <w:szCs w:val="24"/>
                <w:lang w:val="en-CA"/>
              </w:rPr>
              <w:t>o</w:t>
            </w:r>
            <w:r w:rsidRPr="00372461">
              <w:rPr>
                <w:rFonts w:ascii="Garamond" w:hAnsi="Garamond" w:cs="Arial"/>
                <w:sz w:val="24"/>
                <w:szCs w:val="24"/>
                <w:lang w:val="en-CA"/>
              </w:rPr>
              <w:t xml:space="preserve">f Land Economy </w:t>
            </w:r>
            <w:r w:rsidR="0035041F">
              <w:rPr>
                <w:rFonts w:ascii="Garamond" w:hAnsi="Garamond" w:cs="Arial"/>
                <w:sz w:val="24"/>
                <w:szCs w:val="24"/>
                <w:lang w:val="en-CA"/>
              </w:rPr>
              <w:t>a</w:t>
            </w:r>
            <w:r w:rsidRPr="00372461">
              <w:rPr>
                <w:rFonts w:ascii="Garamond" w:hAnsi="Garamond" w:cs="Arial"/>
                <w:sz w:val="24"/>
                <w:szCs w:val="24"/>
                <w:lang w:val="en-CA"/>
              </w:rPr>
              <w:t xml:space="preserve">nd Environment Protection </w:t>
            </w:r>
            <w:r w:rsidR="00281CFF">
              <w:rPr>
                <w:rFonts w:ascii="Garamond" w:hAnsi="Garamond" w:cs="Arial"/>
                <w:sz w:val="24"/>
                <w:szCs w:val="24"/>
                <w:lang w:val="en-CA"/>
              </w:rPr>
              <w:t>o</w:t>
            </w:r>
            <w:r w:rsidRPr="00372461">
              <w:rPr>
                <w:rFonts w:ascii="Garamond" w:hAnsi="Garamond" w:cs="Arial"/>
                <w:sz w:val="24"/>
                <w:szCs w:val="24"/>
                <w:lang w:val="en-CA"/>
              </w:rPr>
              <w:t xml:space="preserve">f </w:t>
            </w:r>
            <w:r w:rsidR="0035041F">
              <w:rPr>
                <w:rFonts w:ascii="Garamond" w:hAnsi="Garamond" w:cs="Arial"/>
                <w:sz w:val="24"/>
                <w:szCs w:val="24"/>
                <w:lang w:val="en-CA"/>
              </w:rPr>
              <w:t>t</w:t>
            </w:r>
            <w:r w:rsidRPr="00372461">
              <w:rPr>
                <w:rFonts w:ascii="Garamond" w:hAnsi="Garamond" w:cs="Arial"/>
                <w:sz w:val="24"/>
                <w:szCs w:val="24"/>
                <w:lang w:val="en-CA"/>
              </w:rPr>
              <w:t xml:space="preserve">he Polish People's Republic </w:t>
            </w:r>
            <w:r w:rsidR="0035041F">
              <w:rPr>
                <w:rFonts w:ascii="Garamond" w:hAnsi="Garamond" w:cs="Arial"/>
                <w:sz w:val="24"/>
                <w:szCs w:val="24"/>
                <w:lang w:val="en-CA"/>
              </w:rPr>
              <w:t>o</w:t>
            </w:r>
            <w:r w:rsidRPr="00372461">
              <w:rPr>
                <w:rFonts w:ascii="Garamond" w:hAnsi="Garamond" w:cs="Arial"/>
                <w:sz w:val="24"/>
                <w:szCs w:val="24"/>
                <w:lang w:val="en-CA"/>
              </w:rPr>
              <w:t xml:space="preserve">n Cooperation </w:t>
            </w:r>
            <w:r w:rsidR="0035041F">
              <w:rPr>
                <w:rFonts w:ascii="Garamond" w:hAnsi="Garamond" w:cs="Arial"/>
                <w:sz w:val="24"/>
                <w:szCs w:val="24"/>
                <w:lang w:val="en-CA"/>
              </w:rPr>
              <w:t>i</w:t>
            </w:r>
            <w:r w:rsidRPr="00372461">
              <w:rPr>
                <w:rFonts w:ascii="Garamond" w:hAnsi="Garamond" w:cs="Arial"/>
                <w:sz w:val="24"/>
                <w:szCs w:val="24"/>
                <w:lang w:val="en-CA"/>
              </w:rPr>
              <w:t xml:space="preserve">n </w:t>
            </w:r>
            <w:r w:rsidR="00281CFF">
              <w:rPr>
                <w:rFonts w:ascii="Garamond" w:hAnsi="Garamond" w:cs="Arial"/>
                <w:sz w:val="24"/>
                <w:szCs w:val="24"/>
                <w:lang w:val="en-CA"/>
              </w:rPr>
              <w:t>t</w:t>
            </w:r>
            <w:r w:rsidRPr="00372461">
              <w:rPr>
                <w:rFonts w:ascii="Garamond" w:hAnsi="Garamond" w:cs="Arial"/>
                <w:sz w:val="24"/>
                <w:szCs w:val="24"/>
                <w:lang w:val="en-CA"/>
              </w:rPr>
              <w:t xml:space="preserve">he </w:t>
            </w:r>
            <w:r w:rsidR="00CC549C">
              <w:rPr>
                <w:rFonts w:ascii="Garamond" w:hAnsi="Garamond" w:cs="Arial"/>
                <w:sz w:val="24"/>
                <w:szCs w:val="24"/>
                <w:lang w:val="en-CA"/>
              </w:rPr>
              <w:t>F</w:t>
            </w:r>
            <w:r>
              <w:rPr>
                <w:rFonts w:ascii="Garamond" w:hAnsi="Garamond" w:cs="Arial"/>
                <w:sz w:val="24"/>
                <w:szCs w:val="24"/>
                <w:lang w:val="en-CA"/>
              </w:rPr>
              <w:t xml:space="preserve">ield </w:t>
            </w:r>
            <w:r w:rsidR="00281CFF">
              <w:rPr>
                <w:rFonts w:ascii="Garamond" w:hAnsi="Garamond" w:cs="Arial"/>
                <w:sz w:val="24"/>
                <w:szCs w:val="24"/>
                <w:lang w:val="en-CA"/>
              </w:rPr>
              <w:t>o</w:t>
            </w:r>
            <w:r>
              <w:rPr>
                <w:rFonts w:ascii="Garamond" w:hAnsi="Garamond" w:cs="Arial"/>
                <w:sz w:val="24"/>
                <w:szCs w:val="24"/>
                <w:lang w:val="en-CA"/>
              </w:rPr>
              <w:t>f Environmental Protection</w:t>
            </w:r>
          </w:p>
        </w:tc>
      </w:tr>
    </w:tbl>
    <w:p w14:paraId="31A39D05" w14:textId="77777777" w:rsidR="00CC0224" w:rsidRDefault="00CC0224" w:rsidP="005A4CB2">
      <w:pPr>
        <w:spacing w:after="0" w:line="240" w:lineRule="auto"/>
        <w:contextualSpacing/>
        <w:jc w:val="both"/>
        <w:rPr>
          <w:rFonts w:ascii="Garamond" w:hAnsi="Garamond"/>
          <w:sz w:val="24"/>
          <w:lang w:val="en-CA"/>
        </w:rPr>
      </w:pPr>
    </w:p>
    <w:p w14:paraId="6CCB89BD" w14:textId="77777777" w:rsidR="00CC0224" w:rsidRPr="001B22C5" w:rsidRDefault="00CC0224" w:rsidP="00295F18">
      <w:pPr>
        <w:pStyle w:val="Titre3"/>
        <w:numPr>
          <w:ilvl w:val="0"/>
          <w:numId w:val="0"/>
        </w:numPr>
        <w:spacing w:after="0"/>
        <w:ind w:left="576" w:hanging="576"/>
        <w:contextualSpacing/>
      </w:pPr>
      <w:bookmarkStart w:id="28" w:name="_Toc507158523"/>
      <w:bookmarkStart w:id="29" w:name="_Toc64659204"/>
      <w:r>
        <w:t>North South</w:t>
      </w:r>
      <w:bookmarkEnd w:id="28"/>
      <w:bookmarkEnd w:id="29"/>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749"/>
        <w:gridCol w:w="3404"/>
        <w:gridCol w:w="4487"/>
      </w:tblGrid>
      <w:tr w:rsidR="00CC0224" w:rsidRPr="00096622" w14:paraId="0F373915" w14:textId="77777777" w:rsidTr="00A57C70">
        <w:trPr>
          <w:trHeight w:val="254"/>
        </w:trPr>
        <w:tc>
          <w:tcPr>
            <w:tcW w:w="0" w:type="auto"/>
          </w:tcPr>
          <w:p w14:paraId="1D27E6A2" w14:textId="77777777" w:rsidR="00CC0224" w:rsidRPr="001B22C5" w:rsidRDefault="00CC0224" w:rsidP="005A4CB2">
            <w:pPr>
              <w:spacing w:after="0" w:line="240" w:lineRule="auto"/>
              <w:contextualSpacing/>
              <w:rPr>
                <w:rFonts w:ascii="Garamond" w:hAnsi="Garamond"/>
                <w:sz w:val="24"/>
                <w:szCs w:val="24"/>
                <w:lang w:val="en-CA"/>
              </w:rPr>
            </w:pPr>
            <w:r>
              <w:rPr>
                <w:rFonts w:ascii="Garamond" w:hAnsi="Garamond"/>
                <w:sz w:val="24"/>
                <w:szCs w:val="24"/>
                <w:lang w:val="en-CA"/>
              </w:rPr>
              <w:t>Value</w:t>
            </w:r>
          </w:p>
        </w:tc>
        <w:tc>
          <w:tcPr>
            <w:tcW w:w="0" w:type="auto"/>
          </w:tcPr>
          <w:p w14:paraId="1EC78987" w14:textId="77777777" w:rsidR="00CC0224" w:rsidRPr="001B22C5" w:rsidRDefault="00CC0224" w:rsidP="005A4CB2">
            <w:pPr>
              <w:spacing w:after="0" w:line="240" w:lineRule="auto"/>
              <w:contextualSpacing/>
              <w:rPr>
                <w:rFonts w:ascii="Garamond" w:hAnsi="Garamond"/>
                <w:sz w:val="24"/>
                <w:szCs w:val="24"/>
                <w:lang w:val="en-CA"/>
              </w:rPr>
            </w:pPr>
            <w:r w:rsidRPr="001B22C5">
              <w:rPr>
                <w:rFonts w:ascii="Garamond" w:hAnsi="Garamond"/>
                <w:sz w:val="24"/>
                <w:szCs w:val="24"/>
                <w:lang w:val="en-CA"/>
              </w:rPr>
              <w:t>Definition</w:t>
            </w:r>
          </w:p>
        </w:tc>
        <w:tc>
          <w:tcPr>
            <w:tcW w:w="0" w:type="auto"/>
          </w:tcPr>
          <w:p w14:paraId="67F3CE1E" w14:textId="77777777" w:rsidR="00CC0224" w:rsidRPr="001B22C5" w:rsidRDefault="00CC0224" w:rsidP="005A4CB2">
            <w:pPr>
              <w:spacing w:after="0" w:line="240" w:lineRule="auto"/>
              <w:contextualSpacing/>
              <w:rPr>
                <w:rFonts w:ascii="Garamond" w:hAnsi="Garamond"/>
                <w:sz w:val="24"/>
                <w:szCs w:val="24"/>
                <w:lang w:val="en-CA"/>
              </w:rPr>
            </w:pPr>
            <w:r w:rsidRPr="001B22C5">
              <w:rPr>
                <w:rFonts w:ascii="Garamond" w:hAnsi="Garamond"/>
                <w:sz w:val="24"/>
                <w:szCs w:val="24"/>
                <w:lang w:val="en-CA"/>
              </w:rPr>
              <w:t>Example</w:t>
            </w:r>
          </w:p>
        </w:tc>
      </w:tr>
      <w:tr w:rsidR="00CC0224" w:rsidRPr="001B22C5" w14:paraId="41039AEC" w14:textId="77777777" w:rsidTr="00A57C70">
        <w:trPr>
          <w:trHeight w:val="254"/>
        </w:trPr>
        <w:tc>
          <w:tcPr>
            <w:tcW w:w="0" w:type="auto"/>
            <w:shd w:val="clear" w:color="auto" w:fill="auto"/>
          </w:tcPr>
          <w:p w14:paraId="5495887C" w14:textId="77777777" w:rsidR="00CC0224" w:rsidRPr="001B22C5" w:rsidRDefault="00CC0224" w:rsidP="005A4CB2">
            <w:pPr>
              <w:spacing w:after="0" w:line="240" w:lineRule="auto"/>
              <w:contextualSpacing/>
              <w:rPr>
                <w:rFonts w:ascii="Garamond" w:hAnsi="Garamond"/>
                <w:sz w:val="24"/>
                <w:szCs w:val="24"/>
                <w:lang w:val="en-CA"/>
              </w:rPr>
            </w:pPr>
            <w:r w:rsidRPr="001B22C5">
              <w:rPr>
                <w:rFonts w:ascii="Garamond" w:hAnsi="Garamond"/>
                <w:sz w:val="24"/>
                <w:szCs w:val="24"/>
                <w:lang w:val="en-CA"/>
              </w:rPr>
              <w:t>1</w:t>
            </w:r>
          </w:p>
        </w:tc>
        <w:tc>
          <w:tcPr>
            <w:tcW w:w="0" w:type="auto"/>
          </w:tcPr>
          <w:p w14:paraId="07A1DD2F" w14:textId="77777777" w:rsidR="00CC0224" w:rsidRPr="001B22C5" w:rsidRDefault="00CC0224" w:rsidP="005A4CB2">
            <w:pPr>
              <w:spacing w:after="0" w:line="240" w:lineRule="auto"/>
              <w:contextualSpacing/>
              <w:rPr>
                <w:rFonts w:ascii="Garamond" w:hAnsi="Garamond"/>
                <w:sz w:val="24"/>
                <w:szCs w:val="24"/>
                <w:lang w:val="en-CA"/>
              </w:rPr>
            </w:pPr>
            <w:r w:rsidRPr="001B22C5">
              <w:rPr>
                <w:rFonts w:ascii="Garamond" w:hAnsi="Garamond"/>
                <w:sz w:val="24"/>
                <w:szCs w:val="24"/>
                <w:lang w:val="en-CA"/>
              </w:rPr>
              <w:t>Agreements signed among US, Canada, We</w:t>
            </w:r>
            <w:r>
              <w:rPr>
                <w:rFonts w:ascii="Garamond" w:hAnsi="Garamond"/>
                <w:sz w:val="24"/>
                <w:szCs w:val="24"/>
                <w:lang w:val="en-CA"/>
              </w:rPr>
              <w:t>stern, Southern and Northern Europe, Japan, Australia and New-Zealand</w:t>
            </w:r>
          </w:p>
        </w:tc>
        <w:tc>
          <w:tcPr>
            <w:tcW w:w="0" w:type="auto"/>
          </w:tcPr>
          <w:p w14:paraId="67AF0945" w14:textId="77777777" w:rsidR="00CC0224" w:rsidRPr="001B22C5" w:rsidRDefault="00CC0224" w:rsidP="005A4CB2">
            <w:pPr>
              <w:spacing w:after="0" w:line="240" w:lineRule="auto"/>
              <w:contextualSpacing/>
              <w:rPr>
                <w:rFonts w:ascii="Garamond" w:hAnsi="Garamond"/>
                <w:sz w:val="24"/>
                <w:szCs w:val="24"/>
                <w:lang w:val="en-CA"/>
              </w:rPr>
            </w:pPr>
            <w:r w:rsidRPr="00472979">
              <w:rPr>
                <w:rFonts w:ascii="Garamond" w:hAnsi="Garamond"/>
                <w:sz w:val="24"/>
                <w:szCs w:val="24"/>
                <w:lang w:val="en-CA"/>
              </w:rPr>
              <w:t>907_agreement boreal_canada_US_1994</w:t>
            </w:r>
          </w:p>
        </w:tc>
      </w:tr>
      <w:tr w:rsidR="00CC0224" w:rsidRPr="001B22C5" w14:paraId="53F78163" w14:textId="77777777" w:rsidTr="00A57C70">
        <w:trPr>
          <w:trHeight w:val="254"/>
        </w:trPr>
        <w:tc>
          <w:tcPr>
            <w:tcW w:w="0" w:type="auto"/>
          </w:tcPr>
          <w:p w14:paraId="425B1711" w14:textId="77777777" w:rsidR="00CC0224" w:rsidRPr="001B22C5" w:rsidRDefault="00CC0224" w:rsidP="005A4CB2">
            <w:pPr>
              <w:spacing w:after="0" w:line="240" w:lineRule="auto"/>
              <w:contextualSpacing/>
              <w:rPr>
                <w:rFonts w:ascii="Garamond" w:hAnsi="Garamond"/>
                <w:sz w:val="24"/>
                <w:szCs w:val="24"/>
                <w:lang w:val="en-CA"/>
              </w:rPr>
            </w:pPr>
            <w:r w:rsidRPr="001B22C5">
              <w:rPr>
                <w:rFonts w:ascii="Garamond" w:hAnsi="Garamond"/>
                <w:sz w:val="24"/>
                <w:szCs w:val="24"/>
                <w:lang w:val="en-CA"/>
              </w:rPr>
              <w:t>2</w:t>
            </w:r>
          </w:p>
        </w:tc>
        <w:tc>
          <w:tcPr>
            <w:tcW w:w="0" w:type="auto"/>
          </w:tcPr>
          <w:p w14:paraId="3B90BE05" w14:textId="77777777" w:rsidR="00CC0224" w:rsidRPr="001B22C5" w:rsidRDefault="00CC0224" w:rsidP="005A4CB2">
            <w:pPr>
              <w:spacing w:after="0" w:line="240" w:lineRule="auto"/>
              <w:contextualSpacing/>
              <w:rPr>
                <w:rFonts w:ascii="Garamond" w:hAnsi="Garamond"/>
                <w:sz w:val="24"/>
                <w:szCs w:val="24"/>
                <w:lang w:val="en-CA"/>
              </w:rPr>
            </w:pPr>
            <w:r>
              <w:rPr>
                <w:rFonts w:ascii="Garamond" w:hAnsi="Garamond"/>
                <w:sz w:val="24"/>
                <w:szCs w:val="24"/>
                <w:lang w:val="en-CA"/>
              </w:rPr>
              <w:t>A</w:t>
            </w:r>
            <w:r w:rsidRPr="001B22C5">
              <w:rPr>
                <w:rFonts w:ascii="Garamond" w:hAnsi="Garamond"/>
                <w:sz w:val="24"/>
                <w:szCs w:val="24"/>
                <w:lang w:val="en-CA"/>
              </w:rPr>
              <w:t>greements signed between one/several of above and all others</w:t>
            </w:r>
          </w:p>
        </w:tc>
        <w:tc>
          <w:tcPr>
            <w:tcW w:w="0" w:type="auto"/>
          </w:tcPr>
          <w:p w14:paraId="3AD68D4C" w14:textId="77777777" w:rsidR="00CC0224" w:rsidRPr="00472979" w:rsidRDefault="00CC0224" w:rsidP="005A4CB2">
            <w:pPr>
              <w:spacing w:after="0" w:line="240" w:lineRule="auto"/>
              <w:contextualSpacing/>
              <w:rPr>
                <w:rFonts w:ascii="Garamond" w:hAnsi="Garamond"/>
                <w:sz w:val="24"/>
                <w:szCs w:val="24"/>
              </w:rPr>
            </w:pPr>
            <w:r w:rsidRPr="00472979">
              <w:rPr>
                <w:rFonts w:ascii="Garamond" w:hAnsi="Garamond"/>
                <w:sz w:val="24"/>
                <w:szCs w:val="24"/>
              </w:rPr>
              <w:t xml:space="preserve">966_agreement </w:t>
            </w:r>
            <w:proofErr w:type="spellStart"/>
            <w:r w:rsidRPr="00472979">
              <w:rPr>
                <w:rFonts w:ascii="Garamond" w:hAnsi="Garamond"/>
                <w:sz w:val="24"/>
                <w:szCs w:val="24"/>
              </w:rPr>
              <w:t>technical</w:t>
            </w:r>
            <w:proofErr w:type="spellEnd"/>
            <w:r w:rsidRPr="00472979">
              <w:rPr>
                <w:rFonts w:ascii="Garamond" w:hAnsi="Garamond"/>
                <w:sz w:val="24"/>
                <w:szCs w:val="24"/>
              </w:rPr>
              <w:t xml:space="preserve"> agriculture_mozambique_portugal_1995</w:t>
            </w:r>
          </w:p>
        </w:tc>
      </w:tr>
      <w:tr w:rsidR="00CC0224" w:rsidRPr="001B22C5" w14:paraId="559F1B9B" w14:textId="77777777" w:rsidTr="00A57C70">
        <w:trPr>
          <w:trHeight w:val="254"/>
        </w:trPr>
        <w:tc>
          <w:tcPr>
            <w:tcW w:w="0" w:type="auto"/>
          </w:tcPr>
          <w:p w14:paraId="592B9891" w14:textId="77777777" w:rsidR="00CC0224" w:rsidRPr="001B22C5" w:rsidRDefault="00CC0224" w:rsidP="005A4CB2">
            <w:pPr>
              <w:spacing w:after="0" w:line="240" w:lineRule="auto"/>
              <w:contextualSpacing/>
              <w:rPr>
                <w:rFonts w:ascii="Garamond" w:hAnsi="Garamond"/>
                <w:sz w:val="24"/>
                <w:szCs w:val="24"/>
                <w:lang w:val="en-CA"/>
              </w:rPr>
            </w:pPr>
            <w:r w:rsidRPr="001B22C5">
              <w:rPr>
                <w:rFonts w:ascii="Garamond" w:hAnsi="Garamond"/>
                <w:sz w:val="24"/>
                <w:szCs w:val="24"/>
                <w:lang w:val="en-CA"/>
              </w:rPr>
              <w:t>3</w:t>
            </w:r>
          </w:p>
        </w:tc>
        <w:tc>
          <w:tcPr>
            <w:tcW w:w="0" w:type="auto"/>
          </w:tcPr>
          <w:p w14:paraId="7888D833" w14:textId="77777777" w:rsidR="00CC0224" w:rsidRPr="001B22C5" w:rsidRDefault="00CC0224" w:rsidP="005A4CB2">
            <w:pPr>
              <w:spacing w:after="0" w:line="240" w:lineRule="auto"/>
              <w:contextualSpacing/>
              <w:rPr>
                <w:rFonts w:ascii="Garamond" w:hAnsi="Garamond"/>
                <w:sz w:val="24"/>
                <w:szCs w:val="24"/>
                <w:lang w:val="en-CA"/>
              </w:rPr>
            </w:pPr>
            <w:r>
              <w:rPr>
                <w:rFonts w:ascii="Garamond" w:hAnsi="Garamond"/>
                <w:sz w:val="24"/>
                <w:szCs w:val="24"/>
                <w:lang w:val="en-CA"/>
              </w:rPr>
              <w:t>A</w:t>
            </w:r>
            <w:r w:rsidRPr="001B22C5">
              <w:rPr>
                <w:rFonts w:ascii="Garamond" w:hAnsi="Garamond"/>
                <w:sz w:val="24"/>
                <w:szCs w:val="24"/>
                <w:lang w:val="en-CA"/>
              </w:rPr>
              <w:t>greements excluding those falling into categories 1 and 2</w:t>
            </w:r>
          </w:p>
        </w:tc>
        <w:tc>
          <w:tcPr>
            <w:tcW w:w="0" w:type="auto"/>
          </w:tcPr>
          <w:p w14:paraId="34DB2173" w14:textId="77777777" w:rsidR="00CC0224" w:rsidRPr="001B22C5" w:rsidRDefault="00CC0224" w:rsidP="005A4CB2">
            <w:pPr>
              <w:spacing w:after="0" w:line="240" w:lineRule="auto"/>
              <w:contextualSpacing/>
              <w:rPr>
                <w:rFonts w:ascii="Garamond" w:hAnsi="Garamond"/>
                <w:sz w:val="24"/>
                <w:szCs w:val="24"/>
                <w:lang w:val="en-CA"/>
              </w:rPr>
            </w:pPr>
            <w:r w:rsidRPr="00472979">
              <w:rPr>
                <w:rFonts w:ascii="Garamond" w:hAnsi="Garamond"/>
                <w:sz w:val="24"/>
                <w:szCs w:val="24"/>
                <w:lang w:val="en-CA"/>
              </w:rPr>
              <w:t>971_agreement environment_tajikistan_turkey_1995</w:t>
            </w:r>
          </w:p>
        </w:tc>
      </w:tr>
    </w:tbl>
    <w:p w14:paraId="6678C442" w14:textId="77777777" w:rsidR="00A57C70" w:rsidRPr="00A57C70" w:rsidRDefault="00A57C70" w:rsidP="00A57C70">
      <w:pPr>
        <w:tabs>
          <w:tab w:val="left" w:pos="1701"/>
        </w:tabs>
        <w:spacing w:after="0" w:line="240" w:lineRule="auto"/>
        <w:contextualSpacing/>
        <w:jc w:val="both"/>
        <w:rPr>
          <w:rFonts w:ascii="Garamond" w:hAnsi="Garamond"/>
          <w:sz w:val="24"/>
          <w:szCs w:val="24"/>
          <w:lang w:val="en-US"/>
        </w:rPr>
      </w:pPr>
      <w:bookmarkStart w:id="30" w:name="_Toc507158529"/>
      <w:r w:rsidRPr="00A57C70">
        <w:rPr>
          <w:rFonts w:ascii="Garamond" w:hAnsi="Garamond"/>
          <w:sz w:val="24"/>
          <w:szCs w:val="24"/>
          <w:lang w:val="en-CA"/>
        </w:rPr>
        <w:t>We selected the countries listed as North according to the definition of the UN of Western, Southern and Northern Europe. However, we also considered the cold war European division and excluded former socialist states from the North group</w:t>
      </w:r>
      <w:r w:rsidRPr="00A57C70">
        <w:rPr>
          <w:rFonts w:ascii="Garamond" w:hAnsi="Garamond"/>
          <w:sz w:val="24"/>
          <w:szCs w:val="24"/>
          <w:lang w:val="en-US"/>
        </w:rPr>
        <w:t xml:space="preserve">. Therefore, </w:t>
      </w:r>
      <w:r w:rsidRPr="00A57C70">
        <w:rPr>
          <w:rFonts w:ascii="Garamond" w:hAnsi="Garamond"/>
          <w:sz w:val="24"/>
          <w:szCs w:val="24"/>
          <w:lang w:val="en-CA"/>
        </w:rPr>
        <w:t xml:space="preserve">from Southern Europe we excluded Albania, </w:t>
      </w:r>
      <w:r w:rsidRPr="00A57C70">
        <w:rPr>
          <w:rFonts w:ascii="Garamond" w:hAnsi="Garamond"/>
          <w:sz w:val="24"/>
          <w:szCs w:val="24"/>
          <w:lang w:val="en-US"/>
        </w:rPr>
        <w:t>Bosnia and Herzegovina, Croatia, Gibraltar, Montenegro, Serbia, Slovenia and Macedonia. In addition, we excluded the Baltic states (Estonia, Latvia and Lithuania) from the UN Northern Europe group. We included Austria-Hungary, Prussia and excluded East Germany (GDR).</w:t>
      </w:r>
    </w:p>
    <w:p w14:paraId="420DF437" w14:textId="77777777" w:rsidR="00A57C70" w:rsidRPr="00A57C70" w:rsidRDefault="00A57C70" w:rsidP="00A57C70">
      <w:pPr>
        <w:spacing w:after="0" w:line="240" w:lineRule="auto"/>
        <w:contextualSpacing/>
        <w:jc w:val="both"/>
        <w:rPr>
          <w:rFonts w:ascii="Garamond" w:eastAsiaTheme="majorEastAsia" w:hAnsi="Garamond" w:cstheme="majorBidi"/>
          <w:bCs/>
          <w:color w:val="000000" w:themeColor="text1"/>
          <w:sz w:val="24"/>
          <w:szCs w:val="24"/>
          <w:lang w:val="en-CA"/>
        </w:rPr>
      </w:pPr>
      <w:r w:rsidRPr="00A57C70">
        <w:rPr>
          <w:rFonts w:ascii="Garamond" w:eastAsiaTheme="majorEastAsia" w:hAnsi="Garamond" w:cstheme="majorBidi"/>
          <w:bCs/>
          <w:color w:val="000000" w:themeColor="text1"/>
          <w:sz w:val="24"/>
          <w:szCs w:val="24"/>
          <w:lang w:val="en-CA"/>
        </w:rPr>
        <w:t>Also, we considered the European Union, the European Community or the European Economic Community as from the North.</w:t>
      </w:r>
    </w:p>
    <w:p w14:paraId="2C5EAC76" w14:textId="77777777" w:rsidR="00A57C70" w:rsidRPr="00A57C70" w:rsidRDefault="00A57C70" w:rsidP="00A57C70">
      <w:pPr>
        <w:spacing w:after="0" w:line="240" w:lineRule="auto"/>
        <w:contextualSpacing/>
        <w:jc w:val="both"/>
        <w:rPr>
          <w:rFonts w:ascii="Garamond" w:eastAsiaTheme="majorEastAsia" w:hAnsi="Garamond" w:cstheme="majorBidi"/>
          <w:bCs/>
          <w:color w:val="000000" w:themeColor="text1"/>
          <w:sz w:val="24"/>
          <w:szCs w:val="24"/>
          <w:lang w:val="en-CA"/>
        </w:rPr>
      </w:pPr>
      <w:r w:rsidRPr="00A57C70">
        <w:rPr>
          <w:rFonts w:ascii="Garamond" w:eastAsiaTheme="majorEastAsia" w:hAnsi="Garamond" w:cstheme="majorBidi"/>
          <w:bCs/>
          <w:color w:val="000000" w:themeColor="text1"/>
          <w:sz w:val="24"/>
          <w:szCs w:val="24"/>
          <w:lang w:val="en-CA"/>
        </w:rPr>
        <w:t>When an international organization is part to the agreement, we looked to the membership of the organization to determine which type of relation between north and south we are in presence of. If the list of membership is not available, then we look at the geographic region where the international organization has her head office.</w:t>
      </w:r>
    </w:p>
    <w:p w14:paraId="470AF379" w14:textId="77777777" w:rsidR="00A57C70" w:rsidRPr="00A57C70" w:rsidRDefault="00A57C70" w:rsidP="00A57C70">
      <w:pPr>
        <w:spacing w:after="0" w:line="240" w:lineRule="auto"/>
        <w:contextualSpacing/>
        <w:jc w:val="both"/>
        <w:rPr>
          <w:rFonts w:ascii="Garamond" w:eastAsiaTheme="majorEastAsia" w:hAnsi="Garamond" w:cstheme="majorBidi"/>
          <w:bCs/>
          <w:color w:val="000000" w:themeColor="text1"/>
          <w:sz w:val="24"/>
          <w:szCs w:val="24"/>
          <w:lang w:val="en-CA"/>
        </w:rPr>
      </w:pPr>
      <w:r w:rsidRPr="00A57C70">
        <w:rPr>
          <w:rFonts w:ascii="Garamond" w:eastAsiaTheme="majorEastAsia" w:hAnsi="Garamond" w:cstheme="majorBidi"/>
          <w:bCs/>
          <w:color w:val="000000" w:themeColor="text1"/>
          <w:sz w:val="24"/>
          <w:szCs w:val="24"/>
          <w:lang w:val="en-CA"/>
        </w:rPr>
        <w:t>Even if a State that we considered as from the North according to our definition was not necessarily industrialized at the date of the signing, we still considered this State a North’s State.</w:t>
      </w:r>
    </w:p>
    <w:p w14:paraId="2C695118" w14:textId="0A2B432D" w:rsidR="00A57C70" w:rsidRDefault="00A57C70" w:rsidP="00A57C70">
      <w:pPr>
        <w:pStyle w:val="Titre3"/>
        <w:numPr>
          <w:ilvl w:val="0"/>
          <w:numId w:val="0"/>
        </w:numPr>
        <w:spacing w:after="0"/>
        <w:contextualSpacing/>
      </w:pPr>
    </w:p>
    <w:p w14:paraId="31FA5FC9" w14:textId="5F58DAB0" w:rsidR="00CC0224" w:rsidRPr="00BA4FD7" w:rsidRDefault="00CC0224" w:rsidP="00A57C70">
      <w:pPr>
        <w:pStyle w:val="Titre3"/>
        <w:numPr>
          <w:ilvl w:val="0"/>
          <w:numId w:val="0"/>
        </w:numPr>
        <w:spacing w:after="0"/>
        <w:contextualSpacing/>
      </w:pPr>
      <w:bookmarkStart w:id="31" w:name="_Toc64659205"/>
      <w:r w:rsidRPr="00BA4FD7">
        <w:lastRenderedPageBreak/>
        <w:t>HBT type Code</w:t>
      </w:r>
      <w:bookmarkEnd w:id="30"/>
      <w:bookmarkEnd w:id="31"/>
    </w:p>
    <w:p w14:paraId="6D39606F" w14:textId="1267FCC2" w:rsidR="00CC0224" w:rsidRDefault="00CC0224" w:rsidP="005A4CB2">
      <w:pPr>
        <w:spacing w:after="0" w:line="240" w:lineRule="auto"/>
        <w:contextualSpacing/>
        <w:jc w:val="both"/>
        <w:rPr>
          <w:rFonts w:ascii="Garamond" w:hAnsi="Garamond"/>
          <w:sz w:val="24"/>
          <w:szCs w:val="24"/>
          <w:lang w:val="en-CA"/>
        </w:rPr>
      </w:pPr>
      <w:r w:rsidRPr="00A84E97">
        <w:rPr>
          <w:rFonts w:ascii="Garamond" w:hAnsi="Garamond"/>
          <w:sz w:val="24"/>
          <w:szCs w:val="24"/>
          <w:lang w:val="en-CA"/>
        </w:rPr>
        <w:t xml:space="preserve">We followed the </w:t>
      </w:r>
      <w:r>
        <w:rPr>
          <w:rFonts w:ascii="Garamond" w:hAnsi="Garamond"/>
          <w:sz w:val="24"/>
          <w:szCs w:val="24"/>
          <w:lang w:val="en-CA"/>
        </w:rPr>
        <w:t>HBT type code</w:t>
      </w:r>
      <w:r w:rsidRPr="00A84E97">
        <w:rPr>
          <w:rFonts w:ascii="Garamond" w:hAnsi="Garamond"/>
          <w:sz w:val="24"/>
          <w:szCs w:val="24"/>
          <w:lang w:val="en-CA"/>
        </w:rPr>
        <w:t xml:space="preserve"> </w:t>
      </w:r>
      <w:r>
        <w:rPr>
          <w:rFonts w:ascii="Garamond" w:hAnsi="Garamond"/>
          <w:sz w:val="24"/>
          <w:szCs w:val="24"/>
          <w:lang w:val="en-CA"/>
        </w:rPr>
        <w:t>given</w:t>
      </w:r>
      <w:r w:rsidRPr="00A84E97">
        <w:rPr>
          <w:rFonts w:ascii="Garamond" w:hAnsi="Garamond"/>
          <w:sz w:val="24"/>
          <w:szCs w:val="24"/>
          <w:lang w:val="en-CA"/>
        </w:rPr>
        <w:t xml:space="preserve"> by IEA even if some ambiguities remain for some agreement’s </w:t>
      </w:r>
      <w:r>
        <w:rPr>
          <w:rFonts w:ascii="Garamond" w:hAnsi="Garamond"/>
          <w:sz w:val="24"/>
          <w:szCs w:val="24"/>
          <w:lang w:val="en-CA"/>
        </w:rPr>
        <w:t>HBT type code</w:t>
      </w:r>
      <w:r w:rsidRPr="00A84E97">
        <w:rPr>
          <w:rFonts w:ascii="Garamond" w:hAnsi="Garamond"/>
          <w:sz w:val="24"/>
          <w:szCs w:val="24"/>
          <w:lang w:val="en-CA"/>
        </w:rPr>
        <w:t>.</w:t>
      </w:r>
    </w:p>
    <w:p w14:paraId="4D3567ED" w14:textId="31FDE61F" w:rsidR="00CC0224" w:rsidRPr="006233D1" w:rsidRDefault="00CC0224" w:rsidP="005A4CB2">
      <w:pPr>
        <w:spacing w:after="0" w:line="240" w:lineRule="auto"/>
        <w:contextualSpacing/>
        <w:jc w:val="both"/>
        <w:rPr>
          <w:rFonts w:ascii="Garamond" w:hAnsi="Garamond" w:cs="Arial"/>
          <w:sz w:val="24"/>
          <w:szCs w:val="24"/>
          <w:lang w:val="en-CA"/>
        </w:rPr>
      </w:pPr>
    </w:p>
    <w:tbl>
      <w:tblPr>
        <w:tblStyle w:val="Tableausimple212"/>
        <w:tblW w:w="5277" w:type="dxa"/>
        <w:tblLook w:val="04A0" w:firstRow="1" w:lastRow="0" w:firstColumn="1" w:lastColumn="0" w:noHBand="0" w:noVBand="1"/>
      </w:tblPr>
      <w:tblGrid>
        <w:gridCol w:w="2064"/>
        <w:gridCol w:w="3213"/>
      </w:tblGrid>
      <w:tr w:rsidR="00CC0224" w:rsidRPr="00054D63" w14:paraId="7CA40840" w14:textId="77777777" w:rsidTr="0033551F">
        <w:trPr>
          <w:cnfStyle w:val="100000000000" w:firstRow="1" w:lastRow="0" w:firstColumn="0" w:lastColumn="0" w:oddVBand="0" w:evenVBand="0" w:oddHBand="0"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0" w:type="auto"/>
          </w:tcPr>
          <w:p w14:paraId="14E0D4A1" w14:textId="77777777" w:rsidR="00CC0224" w:rsidRPr="00BA4FD7" w:rsidRDefault="00CC0224" w:rsidP="005A4CB2">
            <w:pPr>
              <w:contextualSpacing/>
              <w:rPr>
                <w:rFonts w:ascii="Garamond" w:hAnsi="Garamond" w:cs="Arial"/>
                <w:bCs w:val="0"/>
                <w:sz w:val="24"/>
                <w:szCs w:val="24"/>
                <w:lang w:val="en-CA"/>
              </w:rPr>
            </w:pPr>
            <w:r w:rsidRPr="00BA4FD7">
              <w:rPr>
                <w:rFonts w:ascii="Garamond" w:hAnsi="Garamond" w:cs="Arial"/>
                <w:bCs w:val="0"/>
                <w:sz w:val="24"/>
                <w:szCs w:val="24"/>
                <w:lang w:val="en-CA"/>
              </w:rPr>
              <w:t>Value</w:t>
            </w:r>
          </w:p>
        </w:tc>
        <w:tc>
          <w:tcPr>
            <w:tcW w:w="0" w:type="auto"/>
          </w:tcPr>
          <w:p w14:paraId="1049DCB0" w14:textId="77777777" w:rsidR="00CC0224" w:rsidRPr="00BA4FD7" w:rsidRDefault="00CC0224" w:rsidP="005A4CB2">
            <w:pPr>
              <w:contextualSpacing/>
              <w:cnfStyle w:val="100000000000" w:firstRow="1" w:lastRow="0" w:firstColumn="0" w:lastColumn="0" w:oddVBand="0" w:evenVBand="0" w:oddHBand="0" w:evenHBand="0" w:firstRowFirstColumn="0" w:firstRowLastColumn="0" w:lastRowFirstColumn="0" w:lastRowLastColumn="0"/>
              <w:rPr>
                <w:rFonts w:ascii="Garamond" w:hAnsi="Garamond" w:cs="Arial"/>
                <w:bCs w:val="0"/>
                <w:sz w:val="24"/>
                <w:szCs w:val="24"/>
                <w:lang w:val="en-CA"/>
              </w:rPr>
            </w:pPr>
            <w:r w:rsidRPr="00BA4FD7">
              <w:rPr>
                <w:rFonts w:ascii="Garamond" w:hAnsi="Garamond" w:cs="Arial"/>
                <w:bCs w:val="0"/>
                <w:sz w:val="24"/>
                <w:szCs w:val="24"/>
                <w:lang w:val="en-CA"/>
              </w:rPr>
              <w:t>Meaning</w:t>
            </w:r>
          </w:p>
        </w:tc>
      </w:tr>
      <w:tr w:rsidR="00CC0224" w:rsidRPr="00054D63" w14:paraId="66770098" w14:textId="77777777" w:rsidTr="0033551F">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0" w:type="auto"/>
          </w:tcPr>
          <w:p w14:paraId="3BDD87EB" w14:textId="77777777" w:rsidR="00CC0224" w:rsidRPr="00BA4FD7" w:rsidRDefault="00CC0224" w:rsidP="005A4CB2">
            <w:pPr>
              <w:contextualSpacing/>
              <w:rPr>
                <w:rFonts w:ascii="Garamond" w:hAnsi="Garamond" w:cs="Arial"/>
                <w:bCs w:val="0"/>
                <w:sz w:val="24"/>
                <w:szCs w:val="24"/>
                <w:lang w:val="en-CA"/>
              </w:rPr>
            </w:pPr>
            <w:r w:rsidRPr="00BA4FD7">
              <w:rPr>
                <w:rFonts w:ascii="Garamond" w:hAnsi="Garamond" w:cs="Arial"/>
                <w:bCs w:val="0"/>
                <w:sz w:val="24"/>
                <w:szCs w:val="24"/>
                <w:lang w:val="en-CA"/>
              </w:rPr>
              <w:t>1</w:t>
            </w:r>
          </w:p>
        </w:tc>
        <w:tc>
          <w:tcPr>
            <w:tcW w:w="0" w:type="auto"/>
          </w:tcPr>
          <w:p w14:paraId="3CB42833" w14:textId="77777777" w:rsidR="00CC0224" w:rsidRPr="00BA4FD7" w:rsidRDefault="00CC0224" w:rsidP="005A4CB2">
            <w:pPr>
              <w:contextualSpacing/>
              <w:cnfStyle w:val="000000100000" w:firstRow="0" w:lastRow="0" w:firstColumn="0" w:lastColumn="0" w:oddVBand="0" w:evenVBand="0" w:oddHBand="1" w:evenHBand="0" w:firstRowFirstColumn="0" w:firstRowLastColumn="0" w:lastRowFirstColumn="0" w:lastRowLastColumn="0"/>
              <w:rPr>
                <w:rFonts w:ascii="Garamond" w:hAnsi="Garamond" w:cs="Arial"/>
                <w:sz w:val="24"/>
                <w:szCs w:val="24"/>
                <w:lang w:val="en-CA"/>
              </w:rPr>
            </w:pPr>
            <w:r w:rsidRPr="00BA4FD7">
              <w:rPr>
                <w:rFonts w:ascii="Garamond" w:hAnsi="Garamond" w:cs="Arial"/>
                <w:sz w:val="24"/>
                <w:szCs w:val="24"/>
                <w:lang w:val="en-CA"/>
              </w:rPr>
              <w:t>Agreement</w:t>
            </w:r>
          </w:p>
        </w:tc>
      </w:tr>
      <w:tr w:rsidR="00CC0224" w:rsidRPr="00054D63" w14:paraId="7CFFABD2" w14:textId="77777777" w:rsidTr="0033551F">
        <w:trPr>
          <w:trHeight w:val="297"/>
        </w:trPr>
        <w:tc>
          <w:tcPr>
            <w:cnfStyle w:val="001000000000" w:firstRow="0" w:lastRow="0" w:firstColumn="1" w:lastColumn="0" w:oddVBand="0" w:evenVBand="0" w:oddHBand="0" w:evenHBand="0" w:firstRowFirstColumn="0" w:firstRowLastColumn="0" w:lastRowFirstColumn="0" w:lastRowLastColumn="0"/>
            <w:tcW w:w="0" w:type="auto"/>
          </w:tcPr>
          <w:p w14:paraId="7E5EBFC6" w14:textId="77777777" w:rsidR="00CC0224" w:rsidRPr="00BA4FD7" w:rsidRDefault="00CC0224" w:rsidP="005A4CB2">
            <w:pPr>
              <w:contextualSpacing/>
              <w:rPr>
                <w:rFonts w:ascii="Garamond" w:hAnsi="Garamond" w:cs="Arial"/>
                <w:bCs w:val="0"/>
                <w:sz w:val="24"/>
                <w:szCs w:val="24"/>
                <w:lang w:val="en-CA"/>
              </w:rPr>
            </w:pPr>
            <w:r w:rsidRPr="00BA4FD7">
              <w:rPr>
                <w:rFonts w:ascii="Garamond" w:hAnsi="Garamond" w:cs="Arial"/>
                <w:bCs w:val="0"/>
                <w:sz w:val="24"/>
                <w:szCs w:val="24"/>
                <w:lang w:val="en-CA"/>
              </w:rPr>
              <w:t>2</w:t>
            </w:r>
          </w:p>
        </w:tc>
        <w:tc>
          <w:tcPr>
            <w:tcW w:w="0" w:type="auto"/>
          </w:tcPr>
          <w:p w14:paraId="13F0191A" w14:textId="77777777" w:rsidR="00CC0224" w:rsidRPr="00BA4FD7" w:rsidRDefault="00CC0224" w:rsidP="005A4CB2">
            <w:pPr>
              <w:contextualSpacing/>
              <w:cnfStyle w:val="000000000000" w:firstRow="0" w:lastRow="0" w:firstColumn="0" w:lastColumn="0" w:oddVBand="0" w:evenVBand="0" w:oddHBand="0" w:evenHBand="0" w:firstRowFirstColumn="0" w:firstRowLastColumn="0" w:lastRowFirstColumn="0" w:lastRowLastColumn="0"/>
              <w:rPr>
                <w:rFonts w:ascii="Garamond" w:hAnsi="Garamond" w:cs="Arial"/>
                <w:sz w:val="24"/>
                <w:szCs w:val="24"/>
                <w:lang w:val="en-CA"/>
              </w:rPr>
            </w:pPr>
            <w:r w:rsidRPr="00BA4FD7">
              <w:rPr>
                <w:rFonts w:ascii="Garamond" w:hAnsi="Garamond" w:cs="Arial"/>
                <w:sz w:val="24"/>
                <w:szCs w:val="24"/>
                <w:lang w:val="en-CA"/>
              </w:rPr>
              <w:t>Protocol</w:t>
            </w:r>
          </w:p>
        </w:tc>
      </w:tr>
    </w:tbl>
    <w:p w14:paraId="0B182915" w14:textId="77777777" w:rsidR="00295F18" w:rsidRPr="00B01F46" w:rsidRDefault="00295F18" w:rsidP="00295F18">
      <w:pPr>
        <w:spacing w:after="0" w:line="240" w:lineRule="auto"/>
        <w:contextualSpacing/>
        <w:jc w:val="both"/>
        <w:rPr>
          <w:rFonts w:ascii="Garamond" w:hAnsi="Garamond"/>
          <w:sz w:val="24"/>
          <w:lang w:val="en-CA"/>
        </w:rPr>
      </w:pPr>
    </w:p>
    <w:p w14:paraId="38ECC573" w14:textId="77777777" w:rsidR="00295F18" w:rsidRDefault="00295F18" w:rsidP="00295F18">
      <w:pPr>
        <w:pStyle w:val="Titre3"/>
        <w:numPr>
          <w:ilvl w:val="0"/>
          <w:numId w:val="0"/>
        </w:numPr>
        <w:spacing w:after="0"/>
        <w:ind w:left="576" w:hanging="576"/>
        <w:contextualSpacing/>
      </w:pPr>
      <w:bookmarkStart w:id="32" w:name="_Toc64659206"/>
      <w:r>
        <w:t>EF signatory</w:t>
      </w:r>
      <w:bookmarkEnd w:id="32"/>
    </w:p>
    <w:p w14:paraId="6E5F96CE" w14:textId="77777777" w:rsidR="00295F18" w:rsidRDefault="00295F18" w:rsidP="00295F18">
      <w:pPr>
        <w:spacing w:after="0" w:line="240" w:lineRule="auto"/>
        <w:contextualSpacing/>
        <w:jc w:val="both"/>
        <w:rPr>
          <w:rFonts w:ascii="Garamond" w:hAnsi="Garamond" w:cs="Arial"/>
          <w:sz w:val="24"/>
          <w:szCs w:val="24"/>
          <w:lang w:val="en-CA"/>
        </w:rPr>
      </w:pPr>
      <w:r w:rsidRPr="00870CDD">
        <w:rPr>
          <w:rFonts w:ascii="Garamond" w:hAnsi="Garamond" w:cs="Arial"/>
          <w:sz w:val="24"/>
          <w:szCs w:val="24"/>
          <w:lang w:val="en-CA"/>
        </w:rPr>
        <w:t>This</w:t>
      </w:r>
      <w:r>
        <w:rPr>
          <w:lang w:val="en-CA"/>
        </w:rPr>
        <w:t xml:space="preserve"> </w:t>
      </w:r>
      <w:r w:rsidRPr="00EE4066">
        <w:rPr>
          <w:rFonts w:ascii="Garamond" w:hAnsi="Garamond" w:cs="Arial"/>
          <w:sz w:val="24"/>
          <w:szCs w:val="24"/>
          <w:lang w:val="en-CA"/>
        </w:rPr>
        <w:t>column</w:t>
      </w:r>
      <w:r>
        <w:rPr>
          <w:lang w:val="en-CA"/>
        </w:rPr>
        <w:t xml:space="preserve"> </w:t>
      </w:r>
      <w:r w:rsidRPr="00CF08DB">
        <w:rPr>
          <w:rFonts w:ascii="Garamond" w:hAnsi="Garamond" w:cs="Arial"/>
          <w:sz w:val="24"/>
          <w:szCs w:val="24"/>
          <w:lang w:val="en-CA"/>
        </w:rPr>
        <w:t xml:space="preserve">indicates </w:t>
      </w:r>
      <w:r>
        <w:rPr>
          <w:rFonts w:ascii="Garamond" w:hAnsi="Garamond" w:cs="Arial"/>
          <w:sz w:val="24"/>
          <w:szCs w:val="24"/>
          <w:lang w:val="en-CA"/>
        </w:rPr>
        <w:t>whether the agreement includes a federated entity as signatory. For each agreement that includes at least one federated entity in the column Federated State (see infra section 1.14), this column indicates a 1.</w:t>
      </w:r>
    </w:p>
    <w:p w14:paraId="6429485B" w14:textId="77777777" w:rsidR="00295F18" w:rsidRPr="00DD4623" w:rsidRDefault="00295F18" w:rsidP="00295F18">
      <w:pPr>
        <w:pStyle w:val="Titre2"/>
        <w:spacing w:after="0" w:line="240" w:lineRule="auto"/>
        <w:contextualSpacing/>
      </w:pPr>
    </w:p>
    <w:p w14:paraId="1EC9BE13" w14:textId="33C4E4F2" w:rsidR="00295F18" w:rsidRPr="00B825CD" w:rsidRDefault="00CA4E5A" w:rsidP="00295F18">
      <w:pPr>
        <w:pStyle w:val="titresousnormedites"/>
      </w:pPr>
      <w:bookmarkStart w:id="33" w:name="_Toc484439184"/>
      <w:bookmarkStart w:id="34" w:name="_Toc501098413"/>
      <w:bookmarkStart w:id="35" w:name="_Toc64659207"/>
      <w:r>
        <w:t>Provision</w:t>
      </w:r>
      <w:r w:rsidR="00295F18" w:rsidRPr="00B825CD">
        <w:t>1</w:t>
      </w:r>
      <w:r w:rsidR="00295F18">
        <w:t xml:space="preserve">: </w:t>
      </w:r>
      <w:r w:rsidR="00F57F48">
        <w:t>F</w:t>
      </w:r>
      <w:r w:rsidR="00295F18" w:rsidRPr="00B825CD">
        <w:t>ederated entities are authorized to sign, ratify, access</w:t>
      </w:r>
      <w:bookmarkEnd w:id="33"/>
      <w:bookmarkEnd w:id="34"/>
      <w:bookmarkEnd w:id="35"/>
    </w:p>
    <w:p w14:paraId="3C8DB1C6" w14:textId="238FF0EE" w:rsidR="00295F18" w:rsidRPr="006E2DA0" w:rsidRDefault="00295F18" w:rsidP="00295F18">
      <w:pPr>
        <w:spacing w:after="0" w:line="240" w:lineRule="auto"/>
        <w:contextualSpacing/>
        <w:jc w:val="both"/>
        <w:rPr>
          <w:rFonts w:ascii="Garamond" w:hAnsi="Garamond" w:cs="Arial"/>
          <w:sz w:val="24"/>
          <w:szCs w:val="24"/>
          <w:lang w:val="en-CA"/>
        </w:rPr>
      </w:pPr>
      <w:r>
        <w:rPr>
          <w:rFonts w:ascii="Garamond" w:hAnsi="Garamond" w:cs="Arial"/>
          <w:sz w:val="24"/>
          <w:szCs w:val="24"/>
          <w:lang w:val="en-CA"/>
        </w:rPr>
        <w:t xml:space="preserve">This column reports whether each agreement includes at least one </w:t>
      </w:r>
      <w:r w:rsidR="00CA4E5A">
        <w:rPr>
          <w:rFonts w:ascii="Garamond" w:hAnsi="Garamond" w:cs="Arial"/>
          <w:sz w:val="24"/>
          <w:szCs w:val="24"/>
          <w:lang w:val="en-CA"/>
        </w:rPr>
        <w:t>provision</w:t>
      </w:r>
      <w:r>
        <w:rPr>
          <w:rFonts w:ascii="Garamond" w:hAnsi="Garamond" w:cs="Arial"/>
          <w:sz w:val="24"/>
          <w:szCs w:val="24"/>
          <w:lang w:val="en-CA"/>
        </w:rPr>
        <w:t xml:space="preserve"> corresponding to type 1 of the section on provisions related to federated entities: </w:t>
      </w:r>
      <w:r w:rsidRPr="009F14C9">
        <w:rPr>
          <w:rFonts w:ascii="Garamond" w:hAnsi="Garamond" w:cs="Arial"/>
          <w:sz w:val="24"/>
          <w:szCs w:val="24"/>
          <w:lang w:val="en-CA"/>
        </w:rPr>
        <w:t>Federated entities are authorized to sign, ratify, access</w:t>
      </w:r>
      <w:r>
        <w:rPr>
          <w:rFonts w:ascii="Garamond" w:hAnsi="Garamond" w:cs="Arial"/>
          <w:sz w:val="24"/>
          <w:szCs w:val="24"/>
          <w:lang w:val="en-CA"/>
        </w:rPr>
        <w:t xml:space="preserve">. The presence is confirmed by a 1. </w:t>
      </w:r>
    </w:p>
    <w:p w14:paraId="22E9CEBA" w14:textId="77777777" w:rsidR="00295F18" w:rsidRPr="002D0F6C" w:rsidRDefault="00295F18" w:rsidP="00295F18">
      <w:pPr>
        <w:spacing w:after="0" w:line="240" w:lineRule="auto"/>
        <w:contextualSpacing/>
        <w:rPr>
          <w:rFonts w:ascii="Palatino Linotype" w:hAnsi="Palatino Linotype"/>
          <w:b/>
          <w:sz w:val="24"/>
          <w:szCs w:val="24"/>
          <w:lang w:val="en-US"/>
        </w:rPr>
      </w:pPr>
    </w:p>
    <w:p w14:paraId="7EAC6838" w14:textId="6E4D4D9C" w:rsidR="00295F18" w:rsidRPr="00536D00" w:rsidRDefault="00CA4E5A" w:rsidP="00295F18">
      <w:pPr>
        <w:pStyle w:val="titresousnormedites"/>
      </w:pPr>
      <w:bookmarkStart w:id="36" w:name="_Toc484439190"/>
      <w:bookmarkStart w:id="37" w:name="_Toc501098420"/>
      <w:bookmarkStart w:id="38" w:name="_Toc64659208"/>
      <w:r>
        <w:t>Provision</w:t>
      </w:r>
      <w:proofErr w:type="gramStart"/>
      <w:r w:rsidR="00295F18" w:rsidRPr="00536D00">
        <w:t>2</w:t>
      </w:r>
      <w:bookmarkEnd w:id="36"/>
      <w:bookmarkEnd w:id="37"/>
      <w:r w:rsidR="00295F18">
        <w:t xml:space="preserve"> :</w:t>
      </w:r>
      <w:proofErr w:type="gramEnd"/>
      <w:r w:rsidR="00295F18">
        <w:t xml:space="preserve"> </w:t>
      </w:r>
      <w:r w:rsidR="00295F18" w:rsidRPr="00536D00">
        <w:t>Federated entities must comply with obligations in the agreements, even if they don’t sign or ratify</w:t>
      </w:r>
      <w:bookmarkEnd w:id="38"/>
    </w:p>
    <w:p w14:paraId="37272474" w14:textId="26A74A24" w:rsidR="00295F18" w:rsidRPr="00AF3EAE" w:rsidRDefault="00295F18" w:rsidP="00295F18">
      <w:pPr>
        <w:spacing w:after="0" w:line="240" w:lineRule="auto"/>
        <w:contextualSpacing/>
        <w:jc w:val="both"/>
        <w:rPr>
          <w:rFonts w:ascii="Garamond" w:hAnsi="Garamond" w:cs="Arial"/>
          <w:sz w:val="24"/>
          <w:szCs w:val="24"/>
          <w:lang w:val="en-CA"/>
        </w:rPr>
      </w:pPr>
      <w:r w:rsidRPr="00AF3EAE">
        <w:rPr>
          <w:rFonts w:ascii="Garamond" w:hAnsi="Garamond" w:cs="Arial"/>
          <w:sz w:val="24"/>
          <w:szCs w:val="24"/>
          <w:lang w:val="en-CA"/>
        </w:rPr>
        <w:t xml:space="preserve">This column reports whether each agreement includes at least one </w:t>
      </w:r>
      <w:r w:rsidR="00CA4E5A">
        <w:rPr>
          <w:rFonts w:ascii="Garamond" w:hAnsi="Garamond" w:cs="Arial"/>
          <w:sz w:val="24"/>
          <w:szCs w:val="24"/>
          <w:lang w:val="en-CA"/>
        </w:rPr>
        <w:t>provision</w:t>
      </w:r>
      <w:r w:rsidRPr="00AF3EAE">
        <w:rPr>
          <w:rFonts w:ascii="Garamond" w:hAnsi="Garamond" w:cs="Arial"/>
          <w:sz w:val="24"/>
          <w:szCs w:val="24"/>
          <w:lang w:val="en-CA"/>
        </w:rPr>
        <w:t xml:space="preserve"> corresponding to type </w:t>
      </w:r>
      <w:r>
        <w:rPr>
          <w:rFonts w:ascii="Garamond" w:hAnsi="Garamond" w:cs="Arial"/>
          <w:sz w:val="24"/>
          <w:szCs w:val="24"/>
          <w:lang w:val="en-CA"/>
        </w:rPr>
        <w:t>2</w:t>
      </w:r>
      <w:r w:rsidRPr="00AF3EAE">
        <w:rPr>
          <w:rFonts w:ascii="Garamond" w:hAnsi="Garamond" w:cs="Arial"/>
          <w:sz w:val="24"/>
          <w:szCs w:val="24"/>
          <w:lang w:val="en-CA"/>
        </w:rPr>
        <w:t xml:space="preserve"> of the section on provisions related to federated entities: </w:t>
      </w:r>
      <w:r w:rsidRPr="006031E8">
        <w:rPr>
          <w:rFonts w:ascii="Garamond" w:hAnsi="Garamond" w:cs="Arial"/>
          <w:sz w:val="24"/>
          <w:szCs w:val="24"/>
          <w:lang w:val="en-CA"/>
        </w:rPr>
        <w:t>Federated entities must comply with obligations in the agreements, even if they don’t sign or ratify</w:t>
      </w:r>
      <w:r w:rsidRPr="00AF3EAE">
        <w:rPr>
          <w:rFonts w:ascii="Garamond" w:hAnsi="Garamond" w:cs="Arial"/>
          <w:sz w:val="24"/>
          <w:szCs w:val="24"/>
          <w:lang w:val="en-CA"/>
        </w:rPr>
        <w:t xml:space="preserve">. The presence is confirmed by a 1. </w:t>
      </w:r>
    </w:p>
    <w:p w14:paraId="2E2BEA33" w14:textId="77777777" w:rsidR="00A57C70" w:rsidRPr="002D0F6C" w:rsidRDefault="00A57C70" w:rsidP="00295F18">
      <w:pPr>
        <w:spacing w:after="0" w:line="240" w:lineRule="auto"/>
        <w:contextualSpacing/>
        <w:rPr>
          <w:rFonts w:ascii="Palatino Linotype" w:hAnsi="Palatino Linotype"/>
          <w:b/>
          <w:sz w:val="24"/>
          <w:szCs w:val="24"/>
          <w:lang w:val="en-CA"/>
        </w:rPr>
      </w:pPr>
    </w:p>
    <w:p w14:paraId="023C167B" w14:textId="34F48095" w:rsidR="00295F18" w:rsidRPr="00306300" w:rsidRDefault="00CA4E5A" w:rsidP="00295F18">
      <w:pPr>
        <w:pStyle w:val="titresousnormedites"/>
      </w:pPr>
      <w:bookmarkStart w:id="39" w:name="_Toc484439191"/>
      <w:bookmarkStart w:id="40" w:name="_Toc501098421"/>
      <w:bookmarkStart w:id="41" w:name="_Toc64659209"/>
      <w:r>
        <w:t>Provision</w:t>
      </w:r>
      <w:r w:rsidR="00295F18" w:rsidRPr="00306300">
        <w:t>3</w:t>
      </w:r>
      <w:bookmarkEnd w:id="39"/>
      <w:bookmarkEnd w:id="40"/>
      <w:r w:rsidR="00295F18">
        <w:t xml:space="preserve">: </w:t>
      </w:r>
      <w:r w:rsidR="00295F18" w:rsidRPr="00306300">
        <w:t>Participation of federated entities in the agreement’s implementation</w:t>
      </w:r>
      <w:bookmarkEnd w:id="41"/>
    </w:p>
    <w:p w14:paraId="56370E7A" w14:textId="22F59C49" w:rsidR="00295F18" w:rsidRDefault="00295F18" w:rsidP="00295F18">
      <w:pPr>
        <w:spacing w:after="0" w:line="240" w:lineRule="auto"/>
        <w:contextualSpacing/>
        <w:jc w:val="both"/>
        <w:rPr>
          <w:rFonts w:ascii="Garamond" w:hAnsi="Garamond" w:cs="Arial"/>
          <w:sz w:val="24"/>
          <w:szCs w:val="24"/>
          <w:lang w:val="en-CA"/>
        </w:rPr>
      </w:pPr>
      <w:r w:rsidRPr="00AF3EAE">
        <w:rPr>
          <w:rFonts w:ascii="Garamond" w:hAnsi="Garamond" w:cs="Arial"/>
          <w:sz w:val="24"/>
          <w:szCs w:val="24"/>
          <w:lang w:val="en-CA"/>
        </w:rPr>
        <w:t xml:space="preserve">This column reports whether each agreement includes at least one </w:t>
      </w:r>
      <w:r w:rsidR="00CA4E5A">
        <w:rPr>
          <w:rFonts w:ascii="Garamond" w:hAnsi="Garamond" w:cs="Arial"/>
          <w:sz w:val="24"/>
          <w:szCs w:val="24"/>
          <w:lang w:val="en-CA"/>
        </w:rPr>
        <w:t>provision</w:t>
      </w:r>
      <w:r w:rsidRPr="00AF3EAE">
        <w:rPr>
          <w:rFonts w:ascii="Garamond" w:hAnsi="Garamond" w:cs="Arial"/>
          <w:sz w:val="24"/>
          <w:szCs w:val="24"/>
          <w:lang w:val="en-CA"/>
        </w:rPr>
        <w:t xml:space="preserve"> corresponding to type </w:t>
      </w:r>
      <w:r>
        <w:rPr>
          <w:rFonts w:ascii="Garamond" w:hAnsi="Garamond" w:cs="Arial"/>
          <w:sz w:val="24"/>
          <w:szCs w:val="24"/>
          <w:lang w:val="en-CA"/>
        </w:rPr>
        <w:t>3</w:t>
      </w:r>
      <w:r w:rsidRPr="00AF3EAE">
        <w:rPr>
          <w:rFonts w:ascii="Garamond" w:hAnsi="Garamond" w:cs="Arial"/>
          <w:sz w:val="24"/>
          <w:szCs w:val="24"/>
          <w:lang w:val="en-CA"/>
        </w:rPr>
        <w:t xml:space="preserve"> of the section on provisions related to federated entities: </w:t>
      </w:r>
      <w:r>
        <w:rPr>
          <w:rFonts w:ascii="Garamond" w:hAnsi="Garamond" w:cs="Arial"/>
          <w:sz w:val="24"/>
          <w:szCs w:val="24"/>
          <w:lang w:val="en-CA"/>
        </w:rPr>
        <w:t>Participation of federated entities in the agreement’s implementation</w:t>
      </w:r>
      <w:r w:rsidRPr="00AF3EAE">
        <w:rPr>
          <w:rFonts w:ascii="Garamond" w:hAnsi="Garamond" w:cs="Arial"/>
          <w:sz w:val="24"/>
          <w:szCs w:val="24"/>
          <w:lang w:val="en-CA"/>
        </w:rPr>
        <w:t>. The presence is confirmed by a 1.</w:t>
      </w:r>
    </w:p>
    <w:p w14:paraId="1BC59FE7" w14:textId="77777777" w:rsidR="00A57C70" w:rsidRPr="00E57D23" w:rsidRDefault="00A57C70" w:rsidP="00A57C70">
      <w:pPr>
        <w:pStyle w:val="Titre3"/>
        <w:numPr>
          <w:ilvl w:val="0"/>
          <w:numId w:val="0"/>
        </w:numPr>
        <w:spacing w:after="0"/>
        <w:contextualSpacing/>
        <w:rPr>
          <w:rFonts w:cs="Arial"/>
        </w:rPr>
      </w:pPr>
    </w:p>
    <w:p w14:paraId="07940F01" w14:textId="43797349" w:rsidR="00A57C70" w:rsidRPr="005A4CB2" w:rsidRDefault="00A57C70" w:rsidP="00A57C70">
      <w:pPr>
        <w:pStyle w:val="Titre2"/>
        <w:spacing w:after="0" w:line="240" w:lineRule="auto"/>
        <w:contextualSpacing/>
        <w:rPr>
          <w:u w:val="none"/>
        </w:rPr>
      </w:pPr>
      <w:bookmarkStart w:id="42" w:name="_Toc64659210"/>
      <w:r w:rsidRPr="005A4CB2">
        <w:rPr>
          <w:u w:val="none"/>
        </w:rPr>
        <w:t>What count as a “</w:t>
      </w:r>
      <w:r w:rsidR="00CA4E5A">
        <w:rPr>
          <w:u w:val="none"/>
        </w:rPr>
        <w:t>provision</w:t>
      </w:r>
      <w:r w:rsidRPr="005A4CB2">
        <w:rPr>
          <w:u w:val="none"/>
        </w:rPr>
        <w:t>”?</w:t>
      </w:r>
      <w:bookmarkEnd w:id="42"/>
      <w:r w:rsidRPr="005A4CB2">
        <w:rPr>
          <w:u w:val="none"/>
        </w:rPr>
        <w:t xml:space="preserve"> </w:t>
      </w:r>
    </w:p>
    <w:p w14:paraId="561041AC" w14:textId="1EDA75C1" w:rsidR="00A57C70" w:rsidRPr="005A4CB2" w:rsidRDefault="00A57C70" w:rsidP="00A57C70">
      <w:pPr>
        <w:widowControl w:val="0"/>
        <w:numPr>
          <w:ilvl w:val="0"/>
          <w:numId w:val="21"/>
        </w:numPr>
        <w:tabs>
          <w:tab w:val="left" w:pos="567"/>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ind w:left="567" w:hanging="567"/>
        <w:contextualSpacing/>
        <w:jc w:val="both"/>
        <w:rPr>
          <w:rFonts w:ascii="Palatino Linotype" w:hAnsi="Palatino Linotype"/>
          <w:lang w:val="en-CA"/>
        </w:rPr>
      </w:pPr>
      <w:r w:rsidRPr="005A4CB2">
        <w:rPr>
          <w:rFonts w:ascii="Palatino Linotype" w:hAnsi="Palatino Linotype"/>
          <w:lang w:val="en-CA"/>
        </w:rPr>
        <w:t xml:space="preserve">Except when otherwise expressly indicated in this codebook, a </w:t>
      </w:r>
      <w:proofErr w:type="spellStart"/>
      <w:r w:rsidR="00CA4E5A">
        <w:rPr>
          <w:rFonts w:ascii="Palatino Linotype" w:hAnsi="Palatino Linotype"/>
          <w:lang w:val="en-CA"/>
        </w:rPr>
        <w:t>provisionprovision</w:t>
      </w:r>
      <w:proofErr w:type="spellEnd"/>
      <w:r w:rsidR="00CA4E5A" w:rsidRPr="005A4CB2">
        <w:rPr>
          <w:rFonts w:ascii="Palatino Linotype" w:hAnsi="Palatino Linotype"/>
          <w:lang w:val="en-CA"/>
        </w:rPr>
        <w:t xml:space="preserve"> </w:t>
      </w:r>
      <w:r w:rsidRPr="005A4CB2">
        <w:rPr>
          <w:rFonts w:ascii="Palatino Linotype" w:hAnsi="Palatino Linotype"/>
          <w:lang w:val="en-CA"/>
        </w:rPr>
        <w:t xml:space="preserve">does not need to have a high degree of commitment (“must”, “shall”, “will”, etc.). </w:t>
      </w:r>
      <w:r w:rsidR="00CA4E5A">
        <w:rPr>
          <w:rFonts w:ascii="Palatino Linotype" w:hAnsi="Palatino Linotype"/>
          <w:lang w:val="en-CA"/>
        </w:rPr>
        <w:t>Provision</w:t>
      </w:r>
      <w:r w:rsidRPr="005A4CB2">
        <w:rPr>
          <w:rFonts w:ascii="Palatino Linotype" w:hAnsi="Palatino Linotype"/>
          <w:lang w:val="en-CA"/>
        </w:rPr>
        <w:t xml:space="preserve">s with low degree of commitment (“may”, “could”, “best efforts”, “encourage”, “recognize”, etc.) are included. A </w:t>
      </w:r>
      <w:r w:rsidR="00CA4E5A">
        <w:rPr>
          <w:rFonts w:ascii="Palatino Linotype" w:hAnsi="Palatino Linotype"/>
          <w:lang w:val="en-CA"/>
        </w:rPr>
        <w:t>provision</w:t>
      </w:r>
      <w:r w:rsidRPr="005A4CB2">
        <w:rPr>
          <w:rFonts w:ascii="Palatino Linotype" w:hAnsi="Palatino Linotype"/>
          <w:lang w:val="en-CA"/>
        </w:rPr>
        <w:t xml:space="preserve"> can also be an example of a broader measure (“areas of cooperation may include”, “such as…”).</w:t>
      </w:r>
    </w:p>
    <w:p w14:paraId="48B4590C" w14:textId="3DE440E2" w:rsidR="00A57C70" w:rsidRPr="005A4CB2" w:rsidRDefault="00A57C70" w:rsidP="00A57C70">
      <w:pPr>
        <w:widowControl w:val="0"/>
        <w:numPr>
          <w:ilvl w:val="0"/>
          <w:numId w:val="21"/>
        </w:numPr>
        <w:tabs>
          <w:tab w:val="left" w:pos="567"/>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ind w:left="567" w:hanging="567"/>
        <w:contextualSpacing/>
        <w:jc w:val="both"/>
        <w:rPr>
          <w:rFonts w:ascii="Palatino Linotype" w:hAnsi="Palatino Linotype"/>
          <w:lang w:val="en-CA"/>
        </w:rPr>
      </w:pPr>
      <w:r w:rsidRPr="005A4CB2">
        <w:rPr>
          <w:rFonts w:ascii="Palatino Linotype" w:hAnsi="Palatino Linotype"/>
          <w:lang w:val="en-CA"/>
        </w:rPr>
        <w:t xml:space="preserve">A </w:t>
      </w:r>
      <w:r w:rsidR="00CA4E5A">
        <w:rPr>
          <w:rFonts w:ascii="Palatino Linotype" w:hAnsi="Palatino Linotype"/>
          <w:lang w:val="en-CA"/>
        </w:rPr>
        <w:t>provision</w:t>
      </w:r>
      <w:r w:rsidRPr="005A4CB2">
        <w:rPr>
          <w:rFonts w:ascii="Palatino Linotype" w:hAnsi="Palatino Linotype"/>
          <w:lang w:val="en-CA"/>
        </w:rPr>
        <w:t xml:space="preserve"> can be explicitly limited to a single Party. </w:t>
      </w:r>
    </w:p>
    <w:p w14:paraId="49C8FAF9" w14:textId="7899FAC9" w:rsidR="00A57C70" w:rsidRPr="005A4CB2" w:rsidRDefault="00A57C70" w:rsidP="00A57C70">
      <w:pPr>
        <w:widowControl w:val="0"/>
        <w:numPr>
          <w:ilvl w:val="0"/>
          <w:numId w:val="21"/>
        </w:numPr>
        <w:tabs>
          <w:tab w:val="left" w:pos="567"/>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ind w:left="567" w:hanging="567"/>
        <w:contextualSpacing/>
        <w:jc w:val="both"/>
        <w:rPr>
          <w:rFonts w:ascii="Palatino Linotype" w:hAnsi="Palatino Linotype"/>
          <w:lang w:val="en-CA"/>
        </w:rPr>
      </w:pPr>
      <w:r w:rsidRPr="005A4CB2">
        <w:rPr>
          <w:rFonts w:ascii="Palatino Linotype" w:hAnsi="Palatino Linotype"/>
          <w:lang w:val="en-CA"/>
        </w:rPr>
        <w:t xml:space="preserve">A single </w:t>
      </w:r>
      <w:r w:rsidR="00CA4E5A">
        <w:rPr>
          <w:rFonts w:ascii="Palatino Linotype" w:hAnsi="Palatino Linotype"/>
          <w:lang w:val="en-CA"/>
        </w:rPr>
        <w:t>provision</w:t>
      </w:r>
      <w:r w:rsidRPr="005A4CB2">
        <w:rPr>
          <w:rFonts w:ascii="Palatino Linotype" w:hAnsi="Palatino Linotype"/>
          <w:lang w:val="en-CA"/>
        </w:rPr>
        <w:t xml:space="preserve"> can be found in different parts of the same agreement. </w:t>
      </w:r>
    </w:p>
    <w:p w14:paraId="3E510596" w14:textId="4636E54F" w:rsidR="00A57C70" w:rsidRPr="005A4CB2" w:rsidRDefault="00A57C70" w:rsidP="00A57C70">
      <w:pPr>
        <w:widowControl w:val="0"/>
        <w:numPr>
          <w:ilvl w:val="0"/>
          <w:numId w:val="21"/>
        </w:numPr>
        <w:tabs>
          <w:tab w:val="left" w:pos="567"/>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ind w:left="567" w:hanging="567"/>
        <w:contextualSpacing/>
        <w:jc w:val="both"/>
        <w:rPr>
          <w:rFonts w:ascii="Palatino Linotype" w:hAnsi="Palatino Linotype"/>
          <w:lang w:val="en-CA"/>
        </w:rPr>
      </w:pPr>
      <w:r w:rsidRPr="005A4CB2">
        <w:rPr>
          <w:rFonts w:ascii="Palatino Linotype" w:hAnsi="Palatino Linotype"/>
          <w:lang w:val="en-CA"/>
        </w:rPr>
        <w:t xml:space="preserve">Except when otherwise indicated, a </w:t>
      </w:r>
      <w:r w:rsidR="00CA4E5A">
        <w:rPr>
          <w:rFonts w:ascii="Palatino Linotype" w:hAnsi="Palatino Linotype"/>
          <w:lang w:val="en-CA"/>
        </w:rPr>
        <w:t>provision</w:t>
      </w:r>
      <w:r w:rsidRPr="005A4CB2">
        <w:rPr>
          <w:rFonts w:ascii="Palatino Linotype" w:hAnsi="Palatino Linotype"/>
          <w:lang w:val="en-CA"/>
        </w:rPr>
        <w:t xml:space="preserve"> can be found in any part of the agreement, including the preamble, annexes, parallel documents, footnotes, exchanges of letters. </w:t>
      </w:r>
    </w:p>
    <w:p w14:paraId="4550313F" w14:textId="77777777" w:rsidR="00A57C70" w:rsidRPr="005A4CB2" w:rsidRDefault="00A57C70" w:rsidP="00A57C70">
      <w:pPr>
        <w:widowControl w:val="0"/>
        <w:numPr>
          <w:ilvl w:val="0"/>
          <w:numId w:val="21"/>
        </w:numPr>
        <w:tabs>
          <w:tab w:val="left" w:pos="567"/>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ind w:left="567" w:hanging="567"/>
        <w:contextualSpacing/>
        <w:jc w:val="both"/>
        <w:rPr>
          <w:rFonts w:ascii="Palatino Linotype" w:hAnsi="Palatino Linotype"/>
          <w:lang w:val="en-CA"/>
        </w:rPr>
      </w:pPr>
      <w:r w:rsidRPr="005A4CB2">
        <w:rPr>
          <w:rFonts w:ascii="Palatino Linotype" w:hAnsi="Palatino Linotype"/>
          <w:lang w:val="en-CA"/>
        </w:rPr>
        <w:t xml:space="preserve">Except when otherwise indicated, do not code the reservations. </w:t>
      </w:r>
    </w:p>
    <w:p w14:paraId="307E0AFD" w14:textId="1FDA4304" w:rsidR="00A57C70" w:rsidRPr="005A4CB2" w:rsidRDefault="00CA4E5A" w:rsidP="00A57C70">
      <w:pPr>
        <w:widowControl w:val="0"/>
        <w:numPr>
          <w:ilvl w:val="0"/>
          <w:numId w:val="21"/>
        </w:numPr>
        <w:tabs>
          <w:tab w:val="left" w:pos="567"/>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ind w:left="567" w:hanging="567"/>
        <w:contextualSpacing/>
        <w:jc w:val="both"/>
        <w:rPr>
          <w:rFonts w:ascii="Palatino Linotype" w:hAnsi="Palatino Linotype"/>
          <w:lang w:val="en-CA"/>
        </w:rPr>
      </w:pPr>
      <w:r>
        <w:rPr>
          <w:rFonts w:ascii="Palatino Linotype" w:hAnsi="Palatino Linotype"/>
          <w:lang w:val="en-CA"/>
        </w:rPr>
        <w:t>Provision</w:t>
      </w:r>
      <w:r w:rsidR="00A57C70" w:rsidRPr="005A4CB2">
        <w:rPr>
          <w:rFonts w:ascii="Palatino Linotype" w:hAnsi="Palatino Linotype"/>
          <w:lang w:val="en-CA"/>
        </w:rPr>
        <w:t xml:space="preserve">s are not mutually exclusive. A single article, or even a single sentence, can qualify for several different </w:t>
      </w:r>
      <w:r>
        <w:rPr>
          <w:rFonts w:ascii="Palatino Linotype" w:hAnsi="Palatino Linotype"/>
          <w:lang w:val="en-CA"/>
        </w:rPr>
        <w:t>provision</w:t>
      </w:r>
      <w:r w:rsidR="00A57C70" w:rsidRPr="005A4CB2">
        <w:rPr>
          <w:rFonts w:ascii="Palatino Linotype" w:hAnsi="Palatino Linotype"/>
          <w:lang w:val="en-CA"/>
        </w:rPr>
        <w:t xml:space="preserve">s. </w:t>
      </w:r>
    </w:p>
    <w:p w14:paraId="6E78623A" w14:textId="1349A97A" w:rsidR="00A57C70" w:rsidRPr="005A4CB2" w:rsidRDefault="00A57C70" w:rsidP="00A57C70">
      <w:pPr>
        <w:widowControl w:val="0"/>
        <w:numPr>
          <w:ilvl w:val="0"/>
          <w:numId w:val="21"/>
        </w:numPr>
        <w:tabs>
          <w:tab w:val="left" w:pos="567"/>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ind w:left="567" w:hanging="567"/>
        <w:contextualSpacing/>
        <w:jc w:val="both"/>
        <w:rPr>
          <w:rFonts w:ascii="Palatino Linotype" w:hAnsi="Palatino Linotype"/>
          <w:lang w:val="en-CA"/>
        </w:rPr>
      </w:pPr>
      <w:r w:rsidRPr="005A4CB2">
        <w:rPr>
          <w:rFonts w:ascii="Palatino Linotype" w:hAnsi="Palatino Linotype"/>
          <w:lang w:val="en-CA"/>
        </w:rPr>
        <w:lastRenderedPageBreak/>
        <w:t xml:space="preserve">Amendments to agreements must be coded </w:t>
      </w:r>
      <w:proofErr w:type="gramStart"/>
      <w:r w:rsidRPr="005A4CB2">
        <w:rPr>
          <w:rFonts w:ascii="Palatino Linotype" w:hAnsi="Palatino Linotype"/>
          <w:lang w:val="en-CA"/>
        </w:rPr>
        <w:t>taking into account</w:t>
      </w:r>
      <w:proofErr w:type="gramEnd"/>
      <w:r w:rsidRPr="005A4CB2">
        <w:rPr>
          <w:rFonts w:ascii="Palatino Linotype" w:hAnsi="Palatino Linotype"/>
          <w:lang w:val="en-CA"/>
        </w:rPr>
        <w:t xml:space="preserve"> of the original article that they modify. If the amendment only adds a single word to the original article, a </w:t>
      </w:r>
      <w:r w:rsidR="00CA4E5A">
        <w:rPr>
          <w:rFonts w:ascii="Palatino Linotype" w:hAnsi="Palatino Linotype"/>
          <w:lang w:val="en-CA"/>
        </w:rPr>
        <w:t>provision</w:t>
      </w:r>
      <w:r w:rsidRPr="005A4CB2">
        <w:rPr>
          <w:rFonts w:ascii="Palatino Linotype" w:hAnsi="Palatino Linotype"/>
          <w:lang w:val="en-CA"/>
        </w:rPr>
        <w:t xml:space="preserve"> can still be found in the amendment, since it is necessary to refer to the original article of the convention.</w:t>
      </w:r>
    </w:p>
    <w:p w14:paraId="1B5D2E81" w14:textId="77777777" w:rsidR="00A57C70" w:rsidRPr="005A4CB2" w:rsidRDefault="00A57C70" w:rsidP="00A57C70">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contextualSpacing/>
        <w:jc w:val="both"/>
        <w:rPr>
          <w:rFonts w:ascii="Palatino Linotype" w:hAnsi="Palatino Linotype"/>
          <w:b/>
          <w:lang w:val="en-CA"/>
        </w:rPr>
      </w:pPr>
      <w:bookmarkStart w:id="43" w:name="_30j0zll" w:colFirst="0" w:colLast="0"/>
      <w:bookmarkEnd w:id="43"/>
    </w:p>
    <w:p w14:paraId="60CDBFD6" w14:textId="77777777" w:rsidR="00A57C70" w:rsidRPr="005A4CB2" w:rsidRDefault="00A57C70" w:rsidP="00A57C70">
      <w:pPr>
        <w:pStyle w:val="Titre2"/>
        <w:spacing w:after="0" w:line="240" w:lineRule="auto"/>
        <w:contextualSpacing/>
        <w:rPr>
          <w:u w:val="none"/>
        </w:rPr>
      </w:pPr>
      <w:bookmarkStart w:id="44" w:name="_Toc64659211"/>
      <w:r w:rsidRPr="005A4CB2">
        <w:rPr>
          <w:u w:val="none"/>
        </w:rPr>
        <w:t>What count as a “federated entity”?</w:t>
      </w:r>
      <w:bookmarkEnd w:id="44"/>
    </w:p>
    <w:p w14:paraId="50455EB1" w14:textId="77777777" w:rsidR="00A57C70" w:rsidRDefault="00A57C70" w:rsidP="00A57C70">
      <w:pPr>
        <w:widowControl w:val="0"/>
        <w:numPr>
          <w:ilvl w:val="0"/>
          <w:numId w:val="21"/>
        </w:numPr>
        <w:tabs>
          <w:tab w:val="left" w:pos="567"/>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ind w:left="567" w:hanging="567"/>
        <w:contextualSpacing/>
        <w:jc w:val="both"/>
        <w:rPr>
          <w:rFonts w:ascii="Palatino Linotype" w:hAnsi="Palatino Linotype"/>
          <w:lang w:val="en-CA"/>
        </w:rPr>
      </w:pPr>
      <w:r w:rsidRPr="003833D6">
        <w:rPr>
          <w:rFonts w:ascii="Palatino Linotype" w:hAnsi="Palatino Linotype"/>
          <w:lang w:val="en-CA"/>
        </w:rPr>
        <w:t>For the purpose of this dataset, we define federated entities as the sub-state entities that are partially self-governing with a high degree of constitutionally guaranteed autonomy.</w:t>
      </w:r>
    </w:p>
    <w:p w14:paraId="104E8000" w14:textId="77777777" w:rsidR="00A57C70" w:rsidRDefault="00A57C70" w:rsidP="00A57C70">
      <w:pPr>
        <w:widowControl w:val="0"/>
        <w:numPr>
          <w:ilvl w:val="0"/>
          <w:numId w:val="21"/>
        </w:numPr>
        <w:tabs>
          <w:tab w:val="left" w:pos="567"/>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ind w:left="567" w:hanging="567"/>
        <w:contextualSpacing/>
        <w:jc w:val="both"/>
        <w:rPr>
          <w:rFonts w:ascii="Palatino Linotype" w:hAnsi="Palatino Linotype"/>
          <w:lang w:val="en-CA"/>
        </w:rPr>
      </w:pPr>
      <w:r w:rsidRPr="00C760D2">
        <w:rPr>
          <w:rFonts w:ascii="Palatino Linotype" w:hAnsi="Palatino Linotype"/>
          <w:lang w:val="en-CA"/>
        </w:rPr>
        <w:t>They also include autonomous regions, such as Greenland, Scotland and Catalonia, even though the sovereign states to which they are related are not federations.</w:t>
      </w:r>
    </w:p>
    <w:p w14:paraId="2E912F5B" w14:textId="77777777" w:rsidR="00A57C70" w:rsidRDefault="00A57C70" w:rsidP="00A57C70">
      <w:pPr>
        <w:widowControl w:val="0"/>
        <w:numPr>
          <w:ilvl w:val="0"/>
          <w:numId w:val="21"/>
        </w:numPr>
        <w:tabs>
          <w:tab w:val="left" w:pos="567"/>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ind w:left="567" w:hanging="567"/>
        <w:contextualSpacing/>
        <w:jc w:val="both"/>
        <w:rPr>
          <w:rFonts w:ascii="Palatino Linotype" w:hAnsi="Palatino Linotype"/>
          <w:lang w:val="en-CA"/>
        </w:rPr>
      </w:pPr>
      <w:r>
        <w:rPr>
          <w:rFonts w:ascii="Palatino Linotype" w:hAnsi="Palatino Linotype"/>
          <w:lang w:val="en-CA"/>
        </w:rPr>
        <w:t>W</w:t>
      </w:r>
      <w:r w:rsidRPr="00800552">
        <w:rPr>
          <w:rFonts w:ascii="Palatino Linotype" w:hAnsi="Palatino Linotype"/>
          <w:lang w:val="en-CA"/>
        </w:rPr>
        <w:t xml:space="preserve">e exclude from our definition of federated states free cities, indigenous communities’ traditional territories, and colonies, as they typically have a lower degree of autonomy. </w:t>
      </w:r>
    </w:p>
    <w:p w14:paraId="12D2881C" w14:textId="77777777" w:rsidR="00A57C70" w:rsidRPr="002D0F6C" w:rsidRDefault="00A57C70" w:rsidP="00A57C70">
      <w:pPr>
        <w:widowControl w:val="0"/>
        <w:numPr>
          <w:ilvl w:val="0"/>
          <w:numId w:val="21"/>
        </w:numPr>
        <w:tabs>
          <w:tab w:val="left" w:pos="567"/>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ind w:left="567" w:hanging="567"/>
        <w:contextualSpacing/>
        <w:jc w:val="both"/>
        <w:rPr>
          <w:rFonts w:ascii="Palatino Linotype" w:hAnsi="Palatino Linotype"/>
          <w:lang w:val="en-CA"/>
        </w:rPr>
      </w:pPr>
      <w:r w:rsidRPr="00800552">
        <w:rPr>
          <w:rFonts w:ascii="Palatino Linotype" w:hAnsi="Palatino Linotype"/>
          <w:lang w:val="en-CA"/>
        </w:rPr>
        <w:t>If a sovereign state later becomes part of a federation or if a federation secedes into different sovereign states, we consider only the status at the time of the agreement signature</w:t>
      </w:r>
      <w:r>
        <w:rPr>
          <w:rFonts w:ascii="Palatino Linotype" w:hAnsi="Palatino Linotype"/>
          <w:lang w:val="en-CA"/>
        </w:rPr>
        <w:t>.</w:t>
      </w:r>
    </w:p>
    <w:p w14:paraId="72BB7007" w14:textId="77777777" w:rsidR="00A57C70" w:rsidRPr="00A57C70" w:rsidRDefault="00A57C70" w:rsidP="005A4CB2">
      <w:pPr>
        <w:spacing w:after="0" w:line="240" w:lineRule="auto"/>
        <w:contextualSpacing/>
        <w:jc w:val="both"/>
        <w:rPr>
          <w:rFonts w:ascii="Garamond" w:hAnsi="Garamond"/>
          <w:b/>
          <w:sz w:val="24"/>
          <w:szCs w:val="24"/>
          <w:lang w:val="en-CA"/>
        </w:rPr>
      </w:pPr>
    </w:p>
    <w:sectPr w:rsidR="00A57C70" w:rsidRPr="00A57C70">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A81062" w14:textId="77777777" w:rsidR="003E49DD" w:rsidRDefault="003E49DD" w:rsidP="00E46FD0">
      <w:pPr>
        <w:spacing w:after="0" w:line="240" w:lineRule="auto"/>
      </w:pPr>
      <w:r>
        <w:separator/>
      </w:r>
    </w:p>
  </w:endnote>
  <w:endnote w:type="continuationSeparator" w:id="0">
    <w:p w14:paraId="1830CD22" w14:textId="77777777" w:rsidR="003E49DD" w:rsidRDefault="003E49DD" w:rsidP="00E46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Palatino">
    <w:altName w:val="Book Antiqua"/>
    <w:charset w:val="00"/>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9129458"/>
      <w:docPartObj>
        <w:docPartGallery w:val="Page Numbers (Bottom of Page)"/>
        <w:docPartUnique/>
      </w:docPartObj>
    </w:sdtPr>
    <w:sdtEndPr/>
    <w:sdtContent>
      <w:p w14:paraId="27D741F2" w14:textId="38C85C51" w:rsidR="0033551F" w:rsidRDefault="0033551F">
        <w:pPr>
          <w:pStyle w:val="Pieddepage"/>
          <w:jc w:val="right"/>
        </w:pPr>
        <w:r>
          <w:fldChar w:fldCharType="begin"/>
        </w:r>
        <w:r>
          <w:instrText>PAGE   \* MERGEFORMAT</w:instrText>
        </w:r>
        <w:r>
          <w:fldChar w:fldCharType="separate"/>
        </w:r>
        <w:r w:rsidRPr="00C70FD8">
          <w:rPr>
            <w:noProof/>
            <w:lang w:val="fr-FR"/>
          </w:rPr>
          <w:t>3</w:t>
        </w:r>
        <w:r>
          <w:fldChar w:fldCharType="end"/>
        </w:r>
      </w:p>
    </w:sdtContent>
  </w:sdt>
  <w:p w14:paraId="160F883F" w14:textId="77777777" w:rsidR="0033551F" w:rsidRDefault="0033551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5F7821" w14:textId="77777777" w:rsidR="003E49DD" w:rsidRDefault="003E49DD" w:rsidP="00E46FD0">
      <w:pPr>
        <w:spacing w:after="0" w:line="240" w:lineRule="auto"/>
      </w:pPr>
      <w:r>
        <w:separator/>
      </w:r>
    </w:p>
  </w:footnote>
  <w:footnote w:type="continuationSeparator" w:id="0">
    <w:p w14:paraId="324CA270" w14:textId="77777777" w:rsidR="003E49DD" w:rsidRDefault="003E49DD" w:rsidP="00E46FD0">
      <w:pPr>
        <w:spacing w:after="0" w:line="240" w:lineRule="auto"/>
      </w:pPr>
      <w:r>
        <w:continuationSeparator/>
      </w:r>
    </w:p>
  </w:footnote>
  <w:footnote w:id="1">
    <w:p w14:paraId="77FDF7A2" w14:textId="77777777" w:rsidR="005A4CB2" w:rsidRPr="00050EEB" w:rsidRDefault="005A4CB2" w:rsidP="005A4CB2">
      <w:pPr>
        <w:pStyle w:val="Notedebasdepage"/>
        <w:rPr>
          <w:rFonts w:ascii="Garamond" w:hAnsi="Garamond"/>
          <w:sz w:val="20"/>
          <w:szCs w:val="20"/>
          <w:lang w:val="en-CA"/>
        </w:rPr>
      </w:pPr>
      <w:r w:rsidRPr="00C434FF">
        <w:rPr>
          <w:rStyle w:val="Appelnotedebasdep"/>
          <w:rFonts w:ascii="Garamond" w:hAnsi="Garamond"/>
          <w:sz w:val="20"/>
          <w:szCs w:val="20"/>
        </w:rPr>
        <w:footnoteRef/>
      </w:r>
      <w:r w:rsidRPr="00050EEB">
        <w:rPr>
          <w:rFonts w:ascii="Garamond" w:hAnsi="Garamond"/>
          <w:sz w:val="20"/>
          <w:szCs w:val="20"/>
          <w:lang w:val="en-CA"/>
        </w:rPr>
        <w:t xml:space="preserve"> See at </w:t>
      </w:r>
      <w:r w:rsidR="007B1891">
        <w:fldChar w:fldCharType="begin"/>
      </w:r>
      <w:bookmarkStart w:id="3" w:name="_GoBack"/>
      <w:r w:rsidR="007B1891" w:rsidRPr="00A97600">
        <w:rPr>
          <w:lang w:val="en-CA"/>
        </w:rPr>
        <w:instrText xml:space="preserve"> HYPERLINK "https://iea.uoregon.edu/" </w:instrText>
      </w:r>
      <w:bookmarkEnd w:id="3"/>
      <w:r w:rsidR="007B1891">
        <w:fldChar w:fldCharType="separate"/>
      </w:r>
      <w:r w:rsidRPr="003A3C05">
        <w:rPr>
          <w:rStyle w:val="Lienhypertexte"/>
          <w:rFonts w:ascii="Garamond" w:hAnsi="Garamond"/>
          <w:sz w:val="20"/>
          <w:szCs w:val="20"/>
          <w:lang w:val="en-CA"/>
        </w:rPr>
        <w:t>https://iea.uoregon.edu/</w:t>
      </w:r>
      <w:r w:rsidR="007B1891">
        <w:rPr>
          <w:rStyle w:val="Lienhypertexte"/>
          <w:rFonts w:ascii="Garamond" w:hAnsi="Garamond"/>
          <w:sz w:val="20"/>
          <w:szCs w:val="20"/>
          <w:lang w:val="en-CA"/>
        </w:rPr>
        <w:fldChar w:fldCharType="end"/>
      </w:r>
      <w:r>
        <w:rPr>
          <w:rFonts w:ascii="Garamond" w:hAnsi="Garamond"/>
          <w:sz w:val="20"/>
          <w:szCs w:val="20"/>
          <w:lang w:val="en-CA"/>
        </w:rPr>
        <w:t xml:space="preserve">. We only included agreements classified as MEA or BEA by IEA, and not those from other non-binding classifications.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46DE1"/>
    <w:multiLevelType w:val="hybridMultilevel"/>
    <w:tmpl w:val="2F2AEBD8"/>
    <w:lvl w:ilvl="0" w:tplc="F57635EA">
      <w:numFmt w:val="bullet"/>
      <w:lvlText w:val="-"/>
      <w:lvlJc w:val="left"/>
      <w:pPr>
        <w:ind w:left="720" w:hanging="360"/>
      </w:pPr>
      <w:rPr>
        <w:rFonts w:ascii="Garamond" w:eastAsiaTheme="minorEastAsia" w:hAnsi="Garamond"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8A83C89"/>
    <w:multiLevelType w:val="hybridMultilevel"/>
    <w:tmpl w:val="0EA2B29A"/>
    <w:lvl w:ilvl="0" w:tplc="2786877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8F975BB"/>
    <w:multiLevelType w:val="multilevel"/>
    <w:tmpl w:val="20B63FF8"/>
    <w:lvl w:ilvl="0">
      <w:start w:val="1"/>
      <w:numFmt w:val="decimal"/>
      <w:pStyle w:val="titrenorme"/>
      <w:lvlText w:val="%1."/>
      <w:lvlJc w:val="left"/>
      <w:pPr>
        <w:ind w:left="720" w:hanging="360"/>
      </w:pPr>
      <w:rPr>
        <w:rFonts w:hint="default"/>
      </w:rPr>
    </w:lvl>
    <w:lvl w:ilvl="1">
      <w:start w:val="7"/>
      <w:numFmt w:val="decimalZero"/>
      <w:isLgl/>
      <w:lvlText w:val="%1.%2"/>
      <w:lvlJc w:val="left"/>
      <w:pPr>
        <w:ind w:left="960" w:hanging="600"/>
      </w:pPr>
      <w:rPr>
        <w:rFonts w:hint="default"/>
      </w:rPr>
    </w:lvl>
    <w:lvl w:ilvl="2">
      <w:start w:val="3"/>
      <w:numFmt w:val="decimalZero"/>
      <w:isLgl/>
      <w:lvlText w:val="%1.%2.%3"/>
      <w:lvlJc w:val="left"/>
      <w:pPr>
        <w:ind w:left="1080" w:hanging="720"/>
      </w:pPr>
      <w:rPr>
        <w:rFonts w:hint="default"/>
      </w:rPr>
    </w:lvl>
    <w:lvl w:ilvl="3">
      <w:start w:val="1"/>
      <w:numFmt w:val="decimalZero"/>
      <w:isLgl/>
      <w:lvlText w:val="%1.%2.%3.%4"/>
      <w:lvlJc w:val="left"/>
      <w:pPr>
        <w:ind w:left="1080" w:hanging="72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D663761"/>
    <w:multiLevelType w:val="hybridMultilevel"/>
    <w:tmpl w:val="3350ECBA"/>
    <w:lvl w:ilvl="0" w:tplc="7AC0A79A">
      <w:start w:val="1"/>
      <w:numFmt w:val="bullet"/>
      <w:lvlText w:val=""/>
      <w:lvlJc w:val="left"/>
      <w:pPr>
        <w:ind w:left="720" w:hanging="360"/>
      </w:pPr>
      <w:rPr>
        <w:rFonts w:ascii="Wingdings" w:eastAsiaTheme="minorHAnsi" w:hAnsi="Wingdings"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482775B"/>
    <w:multiLevelType w:val="multilevel"/>
    <w:tmpl w:val="88B4C1B8"/>
    <w:lvl w:ilvl="0">
      <w:start w:val="1"/>
      <w:numFmt w:val="decimal"/>
      <w:lvlText w:val="%1"/>
      <w:lvlJc w:val="left"/>
      <w:pPr>
        <w:ind w:left="432" w:hanging="432"/>
      </w:pPr>
    </w:lvl>
    <w:lvl w:ilvl="1">
      <w:start w:val="1"/>
      <w:numFmt w:val="decimal"/>
      <w:pStyle w:val="Titre3"/>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4B63CB0"/>
    <w:multiLevelType w:val="hybridMultilevel"/>
    <w:tmpl w:val="C9A8CC0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74730A2"/>
    <w:multiLevelType w:val="hybridMultilevel"/>
    <w:tmpl w:val="0448998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9662284"/>
    <w:multiLevelType w:val="hybridMultilevel"/>
    <w:tmpl w:val="A9743F2E"/>
    <w:lvl w:ilvl="0" w:tplc="1E0C15C0">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26120FB"/>
    <w:multiLevelType w:val="hybridMultilevel"/>
    <w:tmpl w:val="E4120452"/>
    <w:lvl w:ilvl="0" w:tplc="F57635EA">
      <w:numFmt w:val="bullet"/>
      <w:lvlText w:val="-"/>
      <w:lvlJc w:val="left"/>
      <w:pPr>
        <w:ind w:left="720" w:hanging="360"/>
      </w:pPr>
      <w:rPr>
        <w:rFonts w:ascii="Garamond" w:eastAsiaTheme="minorEastAsia" w:hAnsi="Garamond" w:cstheme="minorBidi"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6302E12"/>
    <w:multiLevelType w:val="hybridMultilevel"/>
    <w:tmpl w:val="497219FA"/>
    <w:lvl w:ilvl="0" w:tplc="8CAC2F8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27D71E98"/>
    <w:multiLevelType w:val="multilevel"/>
    <w:tmpl w:val="A3162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211353"/>
    <w:multiLevelType w:val="hybridMultilevel"/>
    <w:tmpl w:val="F1E0B160"/>
    <w:lvl w:ilvl="0" w:tplc="3372E88C">
      <w:start w:val="1"/>
      <w:numFmt w:val="bullet"/>
      <w:lvlText w:val=""/>
      <w:lvlJc w:val="left"/>
      <w:pPr>
        <w:ind w:left="720" w:hanging="360"/>
      </w:pPr>
      <w:rPr>
        <w:rFonts w:ascii="Wingdings" w:eastAsiaTheme="minorHAnsi" w:hAnsi="Wingdings"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29612C25"/>
    <w:multiLevelType w:val="hybridMultilevel"/>
    <w:tmpl w:val="32229C2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31461A98"/>
    <w:multiLevelType w:val="hybridMultilevel"/>
    <w:tmpl w:val="9C12EBAC"/>
    <w:lvl w:ilvl="0" w:tplc="C2664376">
      <w:start w:val="1"/>
      <w:numFmt w:val="bullet"/>
      <w:lvlText w:val=""/>
      <w:lvlJc w:val="left"/>
      <w:pPr>
        <w:ind w:left="720" w:hanging="360"/>
      </w:pPr>
      <w:rPr>
        <w:rFonts w:ascii="Wingdings" w:eastAsiaTheme="minorHAnsi" w:hAnsi="Wingdings"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340C6F8D"/>
    <w:multiLevelType w:val="multilevel"/>
    <w:tmpl w:val="CE9CC216"/>
    <w:lvl w:ilvl="0">
      <w:start w:val="1"/>
      <w:numFmt w:val="bullet"/>
      <w:lvlText w:val=""/>
      <w:lvlJc w:val="left"/>
      <w:pPr>
        <w:ind w:left="1068" w:firstLine="1776"/>
      </w:pPr>
      <w:rPr>
        <w:rFonts w:ascii="Wingdings" w:hAnsi="Wingdings" w:hint="default"/>
        <w:sz w:val="22"/>
        <w:szCs w:val="22"/>
      </w:rPr>
    </w:lvl>
    <w:lvl w:ilvl="1">
      <w:start w:val="1"/>
      <w:numFmt w:val="bullet"/>
      <w:lvlText w:val="○"/>
      <w:lvlJc w:val="left"/>
      <w:pPr>
        <w:ind w:left="1788" w:firstLine="3216"/>
      </w:pPr>
      <w:rPr>
        <w:rFonts w:ascii="Arial" w:eastAsia="Arial" w:hAnsi="Arial" w:cs="Arial"/>
      </w:rPr>
    </w:lvl>
    <w:lvl w:ilvl="2">
      <w:start w:val="1"/>
      <w:numFmt w:val="bullet"/>
      <w:lvlText w:val="■"/>
      <w:lvlJc w:val="left"/>
      <w:pPr>
        <w:ind w:left="2508" w:firstLine="4656"/>
      </w:pPr>
      <w:rPr>
        <w:rFonts w:ascii="Arial" w:eastAsia="Arial" w:hAnsi="Arial" w:cs="Arial"/>
      </w:rPr>
    </w:lvl>
    <w:lvl w:ilvl="3">
      <w:start w:val="1"/>
      <w:numFmt w:val="bullet"/>
      <w:lvlText w:val="●"/>
      <w:lvlJc w:val="left"/>
      <w:pPr>
        <w:ind w:left="3228" w:firstLine="6096"/>
      </w:pPr>
      <w:rPr>
        <w:rFonts w:ascii="Arial" w:eastAsia="Arial" w:hAnsi="Arial" w:cs="Arial"/>
      </w:rPr>
    </w:lvl>
    <w:lvl w:ilvl="4">
      <w:start w:val="1"/>
      <w:numFmt w:val="bullet"/>
      <w:lvlText w:val="○"/>
      <w:lvlJc w:val="left"/>
      <w:pPr>
        <w:ind w:left="3948" w:firstLine="7536"/>
      </w:pPr>
      <w:rPr>
        <w:rFonts w:ascii="Arial" w:eastAsia="Arial" w:hAnsi="Arial" w:cs="Arial"/>
      </w:rPr>
    </w:lvl>
    <w:lvl w:ilvl="5">
      <w:start w:val="1"/>
      <w:numFmt w:val="bullet"/>
      <w:lvlText w:val="■"/>
      <w:lvlJc w:val="left"/>
      <w:pPr>
        <w:ind w:left="4668" w:firstLine="8976"/>
      </w:pPr>
      <w:rPr>
        <w:rFonts w:ascii="Arial" w:eastAsia="Arial" w:hAnsi="Arial" w:cs="Arial"/>
      </w:rPr>
    </w:lvl>
    <w:lvl w:ilvl="6">
      <w:start w:val="1"/>
      <w:numFmt w:val="bullet"/>
      <w:lvlText w:val="●"/>
      <w:lvlJc w:val="left"/>
      <w:pPr>
        <w:ind w:left="5388" w:firstLine="10416"/>
      </w:pPr>
      <w:rPr>
        <w:rFonts w:ascii="Arial" w:eastAsia="Arial" w:hAnsi="Arial" w:cs="Arial"/>
      </w:rPr>
    </w:lvl>
    <w:lvl w:ilvl="7">
      <w:start w:val="1"/>
      <w:numFmt w:val="bullet"/>
      <w:lvlText w:val="○"/>
      <w:lvlJc w:val="left"/>
      <w:pPr>
        <w:ind w:left="6108" w:firstLine="11856"/>
      </w:pPr>
      <w:rPr>
        <w:rFonts w:ascii="Arial" w:eastAsia="Arial" w:hAnsi="Arial" w:cs="Arial"/>
      </w:rPr>
    </w:lvl>
    <w:lvl w:ilvl="8">
      <w:start w:val="1"/>
      <w:numFmt w:val="bullet"/>
      <w:lvlText w:val="■"/>
      <w:lvlJc w:val="left"/>
      <w:pPr>
        <w:ind w:left="6828" w:firstLine="13296"/>
      </w:pPr>
      <w:rPr>
        <w:rFonts w:ascii="Arial" w:eastAsia="Arial" w:hAnsi="Arial" w:cs="Arial"/>
      </w:rPr>
    </w:lvl>
  </w:abstractNum>
  <w:abstractNum w:abstractNumId="15" w15:restartNumberingAfterBreak="0">
    <w:nsid w:val="34F60D26"/>
    <w:multiLevelType w:val="hybridMultilevel"/>
    <w:tmpl w:val="484AC6BA"/>
    <w:lvl w:ilvl="0" w:tplc="266A0ACA">
      <w:numFmt w:val="bullet"/>
      <w:lvlText w:val="-"/>
      <w:lvlJc w:val="left"/>
      <w:pPr>
        <w:ind w:left="720" w:hanging="360"/>
      </w:pPr>
      <w:rPr>
        <w:rFonts w:ascii="Garamond" w:eastAsiaTheme="minorEastAsia" w:hAnsi="Garamond"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67E4DE4"/>
    <w:multiLevelType w:val="hybridMultilevel"/>
    <w:tmpl w:val="E2E069C0"/>
    <w:lvl w:ilvl="0" w:tplc="8CAC2F8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42E93830"/>
    <w:multiLevelType w:val="hybridMultilevel"/>
    <w:tmpl w:val="9D9C1084"/>
    <w:lvl w:ilvl="0" w:tplc="8F1C8E82">
      <w:start w:val="1"/>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5B7A193A"/>
    <w:multiLevelType w:val="hybridMultilevel"/>
    <w:tmpl w:val="B17EBD00"/>
    <w:lvl w:ilvl="0" w:tplc="5A04A03C">
      <w:start w:val="1"/>
      <w:numFmt w:val="bullet"/>
      <w:lvlText w:val="-"/>
      <w:lvlJc w:val="left"/>
      <w:pPr>
        <w:ind w:left="1080" w:hanging="360"/>
      </w:pPr>
      <w:rPr>
        <w:rFonts w:ascii="Arial" w:eastAsiaTheme="minorEastAsia" w:hAnsi="Arial" w:cs="Aria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674E5F0B"/>
    <w:multiLevelType w:val="hybridMultilevel"/>
    <w:tmpl w:val="BE6CBD2E"/>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7FC90C4D"/>
    <w:multiLevelType w:val="hybridMultilevel"/>
    <w:tmpl w:val="E39A1D4C"/>
    <w:lvl w:ilvl="0" w:tplc="86481896">
      <w:start w:val="1"/>
      <w:numFmt w:val="bullet"/>
      <w:pStyle w:val="textenorme"/>
      <w:lvlText w:val=""/>
      <w:lvlJc w:val="left"/>
      <w:pPr>
        <w:ind w:left="720" w:hanging="360"/>
      </w:pPr>
      <w:rPr>
        <w:rFonts w:ascii="Wingdings" w:hAnsi="Wingdings" w:hint="default"/>
        <w:sz w:val="20"/>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18"/>
  </w:num>
  <w:num w:numId="4">
    <w:abstractNumId w:val="4"/>
  </w:num>
  <w:num w:numId="5">
    <w:abstractNumId w:val="4"/>
    <w:lvlOverride w:ilvl="0">
      <w:startOverride w:val="1"/>
    </w:lvlOverride>
    <w:lvlOverride w:ilvl="1">
      <w:startOverride w:val="6"/>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5"/>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21"/>
    </w:lvlOverride>
  </w:num>
  <w:num w:numId="14">
    <w:abstractNumId w:val="12"/>
  </w:num>
  <w:num w:numId="15">
    <w:abstractNumId w:val="6"/>
  </w:num>
  <w:num w:numId="16">
    <w:abstractNumId w:val="5"/>
  </w:num>
  <w:num w:numId="17">
    <w:abstractNumId w:val="9"/>
  </w:num>
  <w:num w:numId="18">
    <w:abstractNumId w:val="7"/>
  </w:num>
  <w:num w:numId="19">
    <w:abstractNumId w:val="2"/>
  </w:num>
  <w:num w:numId="20">
    <w:abstractNumId w:val="20"/>
  </w:num>
  <w:num w:numId="21">
    <w:abstractNumId w:val="14"/>
  </w:num>
  <w:num w:numId="22">
    <w:abstractNumId w:val="19"/>
  </w:num>
  <w:num w:numId="23">
    <w:abstractNumId w:val="13"/>
  </w:num>
  <w:num w:numId="24">
    <w:abstractNumId w:val="3"/>
  </w:num>
  <w:num w:numId="25">
    <w:abstractNumId w:val="11"/>
  </w:num>
  <w:num w:numId="26">
    <w:abstractNumId w:val="17"/>
  </w:num>
  <w:num w:numId="27">
    <w:abstractNumId w:val="4"/>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E08"/>
    <w:rsid w:val="00004A6E"/>
    <w:rsid w:val="00014CE1"/>
    <w:rsid w:val="00016B6A"/>
    <w:rsid w:val="00020CFA"/>
    <w:rsid w:val="000233DA"/>
    <w:rsid w:val="000279C6"/>
    <w:rsid w:val="00032A77"/>
    <w:rsid w:val="0003416C"/>
    <w:rsid w:val="00034503"/>
    <w:rsid w:val="000714A1"/>
    <w:rsid w:val="00073683"/>
    <w:rsid w:val="000771D8"/>
    <w:rsid w:val="00081A15"/>
    <w:rsid w:val="00081EFA"/>
    <w:rsid w:val="00087149"/>
    <w:rsid w:val="00093502"/>
    <w:rsid w:val="00095971"/>
    <w:rsid w:val="000A12BF"/>
    <w:rsid w:val="000B4F70"/>
    <w:rsid w:val="000B7AF6"/>
    <w:rsid w:val="000D3EE0"/>
    <w:rsid w:val="000E01D3"/>
    <w:rsid w:val="000E3D61"/>
    <w:rsid w:val="000E4D9F"/>
    <w:rsid w:val="000E7915"/>
    <w:rsid w:val="000F0E9E"/>
    <w:rsid w:val="000F35D6"/>
    <w:rsid w:val="000F79EC"/>
    <w:rsid w:val="00102671"/>
    <w:rsid w:val="001115E8"/>
    <w:rsid w:val="00112396"/>
    <w:rsid w:val="00117FE2"/>
    <w:rsid w:val="00117FF9"/>
    <w:rsid w:val="00120BD1"/>
    <w:rsid w:val="00126801"/>
    <w:rsid w:val="001364F5"/>
    <w:rsid w:val="00141F83"/>
    <w:rsid w:val="001437D1"/>
    <w:rsid w:val="00153891"/>
    <w:rsid w:val="00163A81"/>
    <w:rsid w:val="001642AE"/>
    <w:rsid w:val="001706BB"/>
    <w:rsid w:val="001722B8"/>
    <w:rsid w:val="00172A04"/>
    <w:rsid w:val="00197080"/>
    <w:rsid w:val="001A57C0"/>
    <w:rsid w:val="001A673C"/>
    <w:rsid w:val="001E678A"/>
    <w:rsid w:val="001F7B2A"/>
    <w:rsid w:val="00204A06"/>
    <w:rsid w:val="0022406E"/>
    <w:rsid w:val="00234113"/>
    <w:rsid w:val="002419DD"/>
    <w:rsid w:val="00245940"/>
    <w:rsid w:val="00256143"/>
    <w:rsid w:val="00257482"/>
    <w:rsid w:val="00260466"/>
    <w:rsid w:val="00277459"/>
    <w:rsid w:val="0027762A"/>
    <w:rsid w:val="00277657"/>
    <w:rsid w:val="00277C32"/>
    <w:rsid w:val="00281BA5"/>
    <w:rsid w:val="00281CFF"/>
    <w:rsid w:val="0028411E"/>
    <w:rsid w:val="002901EC"/>
    <w:rsid w:val="00295F18"/>
    <w:rsid w:val="002A5234"/>
    <w:rsid w:val="002B1B3D"/>
    <w:rsid w:val="002C1628"/>
    <w:rsid w:val="002C7AC1"/>
    <w:rsid w:val="002D0F6C"/>
    <w:rsid w:val="002E3ABC"/>
    <w:rsid w:val="002E6956"/>
    <w:rsid w:val="002F392F"/>
    <w:rsid w:val="002F58A0"/>
    <w:rsid w:val="002F771C"/>
    <w:rsid w:val="00306300"/>
    <w:rsid w:val="00312E38"/>
    <w:rsid w:val="00320A32"/>
    <w:rsid w:val="00326CEE"/>
    <w:rsid w:val="0033551F"/>
    <w:rsid w:val="00340211"/>
    <w:rsid w:val="0034148B"/>
    <w:rsid w:val="00343330"/>
    <w:rsid w:val="00345475"/>
    <w:rsid w:val="0035041F"/>
    <w:rsid w:val="00351E26"/>
    <w:rsid w:val="00351F9A"/>
    <w:rsid w:val="00363389"/>
    <w:rsid w:val="003646A5"/>
    <w:rsid w:val="00366294"/>
    <w:rsid w:val="00372026"/>
    <w:rsid w:val="003833D6"/>
    <w:rsid w:val="00385D9D"/>
    <w:rsid w:val="00387272"/>
    <w:rsid w:val="00393925"/>
    <w:rsid w:val="003A69D2"/>
    <w:rsid w:val="003B19B1"/>
    <w:rsid w:val="003B4A6A"/>
    <w:rsid w:val="003B641E"/>
    <w:rsid w:val="003C2849"/>
    <w:rsid w:val="003D23B9"/>
    <w:rsid w:val="003D4C71"/>
    <w:rsid w:val="003D628A"/>
    <w:rsid w:val="003E49DD"/>
    <w:rsid w:val="003E4A99"/>
    <w:rsid w:val="003F2191"/>
    <w:rsid w:val="003F3C01"/>
    <w:rsid w:val="004139FF"/>
    <w:rsid w:val="004162B5"/>
    <w:rsid w:val="00417224"/>
    <w:rsid w:val="00455189"/>
    <w:rsid w:val="004567D2"/>
    <w:rsid w:val="00473820"/>
    <w:rsid w:val="00474608"/>
    <w:rsid w:val="0048099F"/>
    <w:rsid w:val="004817DF"/>
    <w:rsid w:val="00483702"/>
    <w:rsid w:val="004920F3"/>
    <w:rsid w:val="00494672"/>
    <w:rsid w:val="0049476F"/>
    <w:rsid w:val="00497BAB"/>
    <w:rsid w:val="004A06B1"/>
    <w:rsid w:val="004A125C"/>
    <w:rsid w:val="004A5688"/>
    <w:rsid w:val="004B7964"/>
    <w:rsid w:val="004C05D8"/>
    <w:rsid w:val="004C119A"/>
    <w:rsid w:val="004C652C"/>
    <w:rsid w:val="004E3F8D"/>
    <w:rsid w:val="004E778D"/>
    <w:rsid w:val="004F01B5"/>
    <w:rsid w:val="0050062C"/>
    <w:rsid w:val="00513C51"/>
    <w:rsid w:val="00515452"/>
    <w:rsid w:val="00520536"/>
    <w:rsid w:val="005242D4"/>
    <w:rsid w:val="00536D00"/>
    <w:rsid w:val="0054079A"/>
    <w:rsid w:val="0054431B"/>
    <w:rsid w:val="00554786"/>
    <w:rsid w:val="00556070"/>
    <w:rsid w:val="0056627B"/>
    <w:rsid w:val="0056629B"/>
    <w:rsid w:val="00577BA9"/>
    <w:rsid w:val="00583E73"/>
    <w:rsid w:val="00585C6A"/>
    <w:rsid w:val="00592465"/>
    <w:rsid w:val="00592976"/>
    <w:rsid w:val="005A4CB2"/>
    <w:rsid w:val="005A59FF"/>
    <w:rsid w:val="005B58EE"/>
    <w:rsid w:val="005C18EE"/>
    <w:rsid w:val="005D03BE"/>
    <w:rsid w:val="005D242B"/>
    <w:rsid w:val="005D50A3"/>
    <w:rsid w:val="005E28F9"/>
    <w:rsid w:val="005E2E5B"/>
    <w:rsid w:val="005E539C"/>
    <w:rsid w:val="005F0E7E"/>
    <w:rsid w:val="0060122A"/>
    <w:rsid w:val="00601B01"/>
    <w:rsid w:val="006031E8"/>
    <w:rsid w:val="00611E5C"/>
    <w:rsid w:val="006147FC"/>
    <w:rsid w:val="006172E8"/>
    <w:rsid w:val="00623BFC"/>
    <w:rsid w:val="00644FD4"/>
    <w:rsid w:val="0065259B"/>
    <w:rsid w:val="00652D0A"/>
    <w:rsid w:val="00655353"/>
    <w:rsid w:val="00663638"/>
    <w:rsid w:val="006663D5"/>
    <w:rsid w:val="00671C57"/>
    <w:rsid w:val="00681D9E"/>
    <w:rsid w:val="00693F4C"/>
    <w:rsid w:val="00695E88"/>
    <w:rsid w:val="006B041A"/>
    <w:rsid w:val="006C29D6"/>
    <w:rsid w:val="006C6958"/>
    <w:rsid w:val="006D4F66"/>
    <w:rsid w:val="006E2DA0"/>
    <w:rsid w:val="006E615E"/>
    <w:rsid w:val="006F5427"/>
    <w:rsid w:val="006F56FD"/>
    <w:rsid w:val="00727146"/>
    <w:rsid w:val="0075343D"/>
    <w:rsid w:val="00756E26"/>
    <w:rsid w:val="00763B4F"/>
    <w:rsid w:val="0076700E"/>
    <w:rsid w:val="007739A2"/>
    <w:rsid w:val="00776235"/>
    <w:rsid w:val="00780B17"/>
    <w:rsid w:val="007822DA"/>
    <w:rsid w:val="00783989"/>
    <w:rsid w:val="00785643"/>
    <w:rsid w:val="00786363"/>
    <w:rsid w:val="00791A27"/>
    <w:rsid w:val="007962E9"/>
    <w:rsid w:val="007B1891"/>
    <w:rsid w:val="007C1A54"/>
    <w:rsid w:val="007D0A17"/>
    <w:rsid w:val="007D4FD1"/>
    <w:rsid w:val="007E3BCA"/>
    <w:rsid w:val="007E3E4A"/>
    <w:rsid w:val="007F57F2"/>
    <w:rsid w:val="00800552"/>
    <w:rsid w:val="008028EE"/>
    <w:rsid w:val="00830EBC"/>
    <w:rsid w:val="00834D8E"/>
    <w:rsid w:val="00840C83"/>
    <w:rsid w:val="00843FE2"/>
    <w:rsid w:val="008459AC"/>
    <w:rsid w:val="00870CDD"/>
    <w:rsid w:val="00872911"/>
    <w:rsid w:val="008735B8"/>
    <w:rsid w:val="00874A35"/>
    <w:rsid w:val="00880EDC"/>
    <w:rsid w:val="008823B4"/>
    <w:rsid w:val="00882925"/>
    <w:rsid w:val="00893D88"/>
    <w:rsid w:val="008A275D"/>
    <w:rsid w:val="008A7ED4"/>
    <w:rsid w:val="008C28CF"/>
    <w:rsid w:val="008D56B4"/>
    <w:rsid w:val="008E201E"/>
    <w:rsid w:val="008E7BEA"/>
    <w:rsid w:val="008F391F"/>
    <w:rsid w:val="008F3A17"/>
    <w:rsid w:val="008F6377"/>
    <w:rsid w:val="00916550"/>
    <w:rsid w:val="009331AF"/>
    <w:rsid w:val="00934FF9"/>
    <w:rsid w:val="00943657"/>
    <w:rsid w:val="009439C5"/>
    <w:rsid w:val="00957374"/>
    <w:rsid w:val="0096381C"/>
    <w:rsid w:val="009808B5"/>
    <w:rsid w:val="0098091B"/>
    <w:rsid w:val="00983B70"/>
    <w:rsid w:val="009900EC"/>
    <w:rsid w:val="00994CB9"/>
    <w:rsid w:val="009A38FB"/>
    <w:rsid w:val="009B2DFF"/>
    <w:rsid w:val="009B542C"/>
    <w:rsid w:val="009B67CE"/>
    <w:rsid w:val="009C484A"/>
    <w:rsid w:val="009E7010"/>
    <w:rsid w:val="009F14C9"/>
    <w:rsid w:val="009F6C3E"/>
    <w:rsid w:val="009F7F11"/>
    <w:rsid w:val="00A03614"/>
    <w:rsid w:val="00A03C64"/>
    <w:rsid w:val="00A1067A"/>
    <w:rsid w:val="00A153CD"/>
    <w:rsid w:val="00A27B73"/>
    <w:rsid w:val="00A33292"/>
    <w:rsid w:val="00A404AA"/>
    <w:rsid w:val="00A545F8"/>
    <w:rsid w:val="00A5757A"/>
    <w:rsid w:val="00A57C70"/>
    <w:rsid w:val="00A61046"/>
    <w:rsid w:val="00A6278E"/>
    <w:rsid w:val="00A6789D"/>
    <w:rsid w:val="00A7450B"/>
    <w:rsid w:val="00A81066"/>
    <w:rsid w:val="00A97600"/>
    <w:rsid w:val="00A97D33"/>
    <w:rsid w:val="00AA6A36"/>
    <w:rsid w:val="00AB0B1E"/>
    <w:rsid w:val="00AC03AE"/>
    <w:rsid w:val="00AC1B0B"/>
    <w:rsid w:val="00AC359E"/>
    <w:rsid w:val="00AC4620"/>
    <w:rsid w:val="00AC46F8"/>
    <w:rsid w:val="00AC65E4"/>
    <w:rsid w:val="00AD5AA5"/>
    <w:rsid w:val="00AE4DBB"/>
    <w:rsid w:val="00AE5681"/>
    <w:rsid w:val="00AF3B04"/>
    <w:rsid w:val="00AF3EAE"/>
    <w:rsid w:val="00AF4998"/>
    <w:rsid w:val="00B02C53"/>
    <w:rsid w:val="00B104FE"/>
    <w:rsid w:val="00B10E52"/>
    <w:rsid w:val="00B14AA7"/>
    <w:rsid w:val="00B1575B"/>
    <w:rsid w:val="00B2069D"/>
    <w:rsid w:val="00B20FD9"/>
    <w:rsid w:val="00B21773"/>
    <w:rsid w:val="00B27AF2"/>
    <w:rsid w:val="00B45ECE"/>
    <w:rsid w:val="00B47195"/>
    <w:rsid w:val="00B5586C"/>
    <w:rsid w:val="00B648CF"/>
    <w:rsid w:val="00B70AF9"/>
    <w:rsid w:val="00B805BB"/>
    <w:rsid w:val="00B819DB"/>
    <w:rsid w:val="00B825CD"/>
    <w:rsid w:val="00B85B90"/>
    <w:rsid w:val="00B92884"/>
    <w:rsid w:val="00B95498"/>
    <w:rsid w:val="00B965C7"/>
    <w:rsid w:val="00B97A65"/>
    <w:rsid w:val="00BD40D3"/>
    <w:rsid w:val="00BE48B6"/>
    <w:rsid w:val="00C04BDC"/>
    <w:rsid w:val="00C1166C"/>
    <w:rsid w:val="00C13905"/>
    <w:rsid w:val="00C16B58"/>
    <w:rsid w:val="00C209DC"/>
    <w:rsid w:val="00C3384C"/>
    <w:rsid w:val="00C52FEA"/>
    <w:rsid w:val="00C55470"/>
    <w:rsid w:val="00C6324E"/>
    <w:rsid w:val="00C67FE1"/>
    <w:rsid w:val="00C70E08"/>
    <w:rsid w:val="00C70FD8"/>
    <w:rsid w:val="00C760D2"/>
    <w:rsid w:val="00C80772"/>
    <w:rsid w:val="00C813BF"/>
    <w:rsid w:val="00C901BB"/>
    <w:rsid w:val="00CA4E5A"/>
    <w:rsid w:val="00CA5792"/>
    <w:rsid w:val="00CB153B"/>
    <w:rsid w:val="00CC0224"/>
    <w:rsid w:val="00CC549C"/>
    <w:rsid w:val="00CC617B"/>
    <w:rsid w:val="00CE741D"/>
    <w:rsid w:val="00CF08DB"/>
    <w:rsid w:val="00D0107E"/>
    <w:rsid w:val="00D07A4B"/>
    <w:rsid w:val="00D229FD"/>
    <w:rsid w:val="00D240AE"/>
    <w:rsid w:val="00D25500"/>
    <w:rsid w:val="00D306E9"/>
    <w:rsid w:val="00D54143"/>
    <w:rsid w:val="00D64968"/>
    <w:rsid w:val="00D804D6"/>
    <w:rsid w:val="00DA0636"/>
    <w:rsid w:val="00DB1DFE"/>
    <w:rsid w:val="00DB5EE2"/>
    <w:rsid w:val="00DC375F"/>
    <w:rsid w:val="00DD4623"/>
    <w:rsid w:val="00DD7ACC"/>
    <w:rsid w:val="00DF608E"/>
    <w:rsid w:val="00DF77D2"/>
    <w:rsid w:val="00DF7F0A"/>
    <w:rsid w:val="00E12942"/>
    <w:rsid w:val="00E24B12"/>
    <w:rsid w:val="00E2745B"/>
    <w:rsid w:val="00E46A20"/>
    <w:rsid w:val="00E46FD0"/>
    <w:rsid w:val="00E50655"/>
    <w:rsid w:val="00E904CB"/>
    <w:rsid w:val="00E91170"/>
    <w:rsid w:val="00E97679"/>
    <w:rsid w:val="00EA187B"/>
    <w:rsid w:val="00EB3693"/>
    <w:rsid w:val="00EB3BF2"/>
    <w:rsid w:val="00EC4779"/>
    <w:rsid w:val="00ED2154"/>
    <w:rsid w:val="00EE4066"/>
    <w:rsid w:val="00EF12B0"/>
    <w:rsid w:val="00EF2DFF"/>
    <w:rsid w:val="00EF7B06"/>
    <w:rsid w:val="00F238EB"/>
    <w:rsid w:val="00F25742"/>
    <w:rsid w:val="00F32275"/>
    <w:rsid w:val="00F35A84"/>
    <w:rsid w:val="00F51289"/>
    <w:rsid w:val="00F52142"/>
    <w:rsid w:val="00F57F48"/>
    <w:rsid w:val="00F77101"/>
    <w:rsid w:val="00F861BD"/>
    <w:rsid w:val="00FA4BDF"/>
    <w:rsid w:val="00FB2C56"/>
    <w:rsid w:val="00FB2D2B"/>
    <w:rsid w:val="00FB56A5"/>
    <w:rsid w:val="00FF6D25"/>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72E325"/>
  <w15:docId w15:val="{219BD1AA-D01E-4650-B837-A5716E5F6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2" w:uiPriority="42"/>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E46FD0"/>
    <w:pPr>
      <w:keepNext/>
      <w:keepLines/>
      <w:spacing w:before="480" w:after="0" w:line="240" w:lineRule="auto"/>
      <w:outlineLvl w:val="0"/>
    </w:pPr>
    <w:rPr>
      <w:rFonts w:asciiTheme="majorHAnsi" w:eastAsiaTheme="majorEastAsia" w:hAnsiTheme="majorHAnsi" w:cstheme="majorBidi"/>
      <w:b/>
      <w:bCs/>
      <w:color w:val="2D4F8E" w:themeColor="accent1" w:themeShade="B5"/>
      <w:sz w:val="32"/>
      <w:szCs w:val="32"/>
      <w:lang w:eastAsia="fr-FR"/>
    </w:rPr>
  </w:style>
  <w:style w:type="paragraph" w:styleId="Titre2">
    <w:name w:val="heading 2"/>
    <w:basedOn w:val="Normal"/>
    <w:next w:val="Normal"/>
    <w:link w:val="Titre2Car"/>
    <w:uiPriority w:val="9"/>
    <w:unhideWhenUsed/>
    <w:qFormat/>
    <w:rsid w:val="004C05D8"/>
    <w:pPr>
      <w:outlineLvl w:val="1"/>
    </w:pPr>
    <w:rPr>
      <w:rFonts w:ascii="Palatino Linotype" w:hAnsi="Palatino Linotype"/>
      <w:b/>
      <w:szCs w:val="20"/>
      <w:u w:val="single"/>
      <w:lang w:val="en-CA"/>
    </w:rPr>
  </w:style>
  <w:style w:type="paragraph" w:styleId="Titre3">
    <w:name w:val="heading 3"/>
    <w:basedOn w:val="subtitle"/>
    <w:next w:val="Normal"/>
    <w:link w:val="Titre3Car"/>
    <w:uiPriority w:val="9"/>
    <w:unhideWhenUsed/>
    <w:qFormat/>
    <w:rsid w:val="004C05D8"/>
    <w:pPr>
      <w:numPr>
        <w:ilvl w:val="1"/>
        <w:numId w:val="4"/>
      </w:numPr>
      <w:outlineLvl w:val="2"/>
    </w:pPr>
    <w:rPr>
      <w:u w:val="none"/>
    </w:rPr>
  </w:style>
  <w:style w:type="paragraph" w:styleId="Titre4">
    <w:name w:val="heading 4"/>
    <w:basedOn w:val="Normal"/>
    <w:next w:val="Normal"/>
    <w:link w:val="Titre4Car"/>
    <w:uiPriority w:val="9"/>
    <w:unhideWhenUsed/>
    <w:qFormat/>
    <w:rsid w:val="00B20FD9"/>
    <w:pPr>
      <w:spacing w:after="240"/>
      <w:ind w:firstLine="708"/>
      <w:jc w:val="both"/>
      <w:outlineLvl w:val="3"/>
    </w:pPr>
    <w:rPr>
      <w:rFonts w:ascii="Garamond" w:hAnsi="Garamond"/>
      <w:b/>
      <w:sz w:val="24"/>
      <w:lang w:val="en-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46FD0"/>
    <w:rPr>
      <w:rFonts w:asciiTheme="majorHAnsi" w:eastAsiaTheme="majorEastAsia" w:hAnsiTheme="majorHAnsi" w:cstheme="majorBidi"/>
      <w:b/>
      <w:bCs/>
      <w:color w:val="2D4F8E" w:themeColor="accent1" w:themeShade="B5"/>
      <w:sz w:val="32"/>
      <w:szCs w:val="32"/>
      <w:lang w:eastAsia="fr-FR"/>
    </w:rPr>
  </w:style>
  <w:style w:type="character" w:customStyle="1" w:styleId="Titre2Car">
    <w:name w:val="Titre 2 Car"/>
    <w:basedOn w:val="Policepardfaut"/>
    <w:link w:val="Titre2"/>
    <w:uiPriority w:val="9"/>
    <w:rsid w:val="004C05D8"/>
    <w:rPr>
      <w:rFonts w:ascii="Palatino Linotype" w:hAnsi="Palatino Linotype"/>
      <w:b/>
      <w:szCs w:val="20"/>
      <w:u w:val="single"/>
      <w:lang w:val="en-CA"/>
    </w:rPr>
  </w:style>
  <w:style w:type="character" w:customStyle="1" w:styleId="Titre3Car">
    <w:name w:val="Titre 3 Car"/>
    <w:basedOn w:val="Policepardfaut"/>
    <w:link w:val="Titre3"/>
    <w:uiPriority w:val="9"/>
    <w:rsid w:val="004C05D8"/>
    <w:rPr>
      <w:rFonts w:ascii="Palatino Linotype" w:hAnsi="Palatino Linotype"/>
      <w:b/>
      <w:szCs w:val="20"/>
      <w:lang w:val="en-CA"/>
    </w:rPr>
  </w:style>
  <w:style w:type="character" w:styleId="Marquedecommentaire">
    <w:name w:val="annotation reference"/>
    <w:basedOn w:val="Policepardfaut"/>
    <w:uiPriority w:val="99"/>
    <w:semiHidden/>
    <w:unhideWhenUsed/>
    <w:rsid w:val="00830EBC"/>
    <w:rPr>
      <w:sz w:val="16"/>
      <w:szCs w:val="16"/>
    </w:rPr>
  </w:style>
  <w:style w:type="paragraph" w:styleId="Commentaire">
    <w:name w:val="annotation text"/>
    <w:basedOn w:val="Normal"/>
    <w:link w:val="CommentaireCar"/>
    <w:uiPriority w:val="99"/>
    <w:semiHidden/>
    <w:unhideWhenUsed/>
    <w:rsid w:val="00830EBC"/>
    <w:pPr>
      <w:spacing w:line="240" w:lineRule="auto"/>
    </w:pPr>
    <w:rPr>
      <w:sz w:val="20"/>
      <w:szCs w:val="20"/>
    </w:rPr>
  </w:style>
  <w:style w:type="character" w:customStyle="1" w:styleId="CommentaireCar">
    <w:name w:val="Commentaire Car"/>
    <w:basedOn w:val="Policepardfaut"/>
    <w:link w:val="Commentaire"/>
    <w:uiPriority w:val="99"/>
    <w:semiHidden/>
    <w:rsid w:val="00830EBC"/>
    <w:rPr>
      <w:sz w:val="20"/>
      <w:szCs w:val="20"/>
    </w:rPr>
  </w:style>
  <w:style w:type="paragraph" w:styleId="Objetducommentaire">
    <w:name w:val="annotation subject"/>
    <w:basedOn w:val="Commentaire"/>
    <w:next w:val="Commentaire"/>
    <w:link w:val="ObjetducommentaireCar"/>
    <w:uiPriority w:val="99"/>
    <w:semiHidden/>
    <w:unhideWhenUsed/>
    <w:rsid w:val="00830EBC"/>
    <w:rPr>
      <w:b/>
      <w:bCs/>
    </w:rPr>
  </w:style>
  <w:style w:type="character" w:customStyle="1" w:styleId="ObjetducommentaireCar">
    <w:name w:val="Objet du commentaire Car"/>
    <w:basedOn w:val="CommentaireCar"/>
    <w:link w:val="Objetducommentaire"/>
    <w:uiPriority w:val="99"/>
    <w:semiHidden/>
    <w:rsid w:val="00830EBC"/>
    <w:rPr>
      <w:b/>
      <w:bCs/>
      <w:sz w:val="20"/>
      <w:szCs w:val="20"/>
    </w:rPr>
  </w:style>
  <w:style w:type="paragraph" w:styleId="Textedebulles">
    <w:name w:val="Balloon Text"/>
    <w:basedOn w:val="Normal"/>
    <w:link w:val="TextedebullesCar"/>
    <w:uiPriority w:val="99"/>
    <w:semiHidden/>
    <w:unhideWhenUsed/>
    <w:rsid w:val="00830EB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30EBC"/>
    <w:rPr>
      <w:rFonts w:ascii="Segoe UI" w:hAnsi="Segoe UI" w:cs="Segoe UI"/>
      <w:sz w:val="18"/>
      <w:szCs w:val="18"/>
    </w:rPr>
  </w:style>
  <w:style w:type="paragraph" w:styleId="Paragraphedeliste">
    <w:name w:val="List Paragraph"/>
    <w:basedOn w:val="Normal"/>
    <w:uiPriority w:val="34"/>
    <w:qFormat/>
    <w:rsid w:val="00E46FD0"/>
    <w:pPr>
      <w:spacing w:after="200" w:line="276" w:lineRule="auto"/>
      <w:ind w:left="720"/>
      <w:contextualSpacing/>
    </w:pPr>
  </w:style>
  <w:style w:type="table" w:customStyle="1" w:styleId="Tableausimple21">
    <w:name w:val="Tableau simple 21"/>
    <w:basedOn w:val="TableauNormal"/>
    <w:uiPriority w:val="42"/>
    <w:rsid w:val="00E46FD0"/>
    <w:pPr>
      <w:spacing w:after="0" w:line="240" w:lineRule="auto"/>
    </w:pPr>
    <w:rPr>
      <w:rFonts w:eastAsiaTheme="minorEastAsia"/>
    </w:rPr>
    <w:tblPr>
      <w:tblStyleRowBandSize w:val="1"/>
      <w:tblStyleColBandSize w:val="1"/>
      <w:jc w:val="center"/>
      <w:tblBorders>
        <w:top w:val="single" w:sz="4" w:space="0" w:color="7F7F7F" w:themeColor="text1" w:themeTint="80"/>
        <w:bottom w:val="single" w:sz="4" w:space="0" w:color="7F7F7F" w:themeColor="text1" w:themeTint="80"/>
      </w:tblBorders>
    </w:tblPr>
    <w:trPr>
      <w:jc w:val="center"/>
    </w:tr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En-ttedetabledesmatires">
    <w:name w:val="TOC Heading"/>
    <w:basedOn w:val="Titre1"/>
    <w:next w:val="Normal"/>
    <w:uiPriority w:val="39"/>
    <w:unhideWhenUsed/>
    <w:qFormat/>
    <w:rsid w:val="00E46FD0"/>
    <w:pPr>
      <w:spacing w:line="276" w:lineRule="auto"/>
      <w:outlineLvl w:val="9"/>
    </w:pPr>
    <w:rPr>
      <w:color w:val="2F5496" w:themeColor="accent1" w:themeShade="BF"/>
      <w:sz w:val="28"/>
      <w:szCs w:val="28"/>
    </w:rPr>
  </w:style>
  <w:style w:type="paragraph" w:styleId="TM1">
    <w:name w:val="toc 1"/>
    <w:basedOn w:val="Normal"/>
    <w:next w:val="Normal"/>
    <w:autoRedefine/>
    <w:uiPriority w:val="39"/>
    <w:unhideWhenUsed/>
    <w:rsid w:val="00AC03AE"/>
    <w:pPr>
      <w:spacing w:before="120" w:after="0" w:line="276" w:lineRule="auto"/>
    </w:pPr>
    <w:rPr>
      <w:rFonts w:ascii="Garamond" w:eastAsiaTheme="minorEastAsia" w:hAnsi="Garamond"/>
      <w:b/>
      <w:smallCaps/>
      <w:sz w:val="24"/>
      <w:szCs w:val="24"/>
    </w:rPr>
  </w:style>
  <w:style w:type="paragraph" w:styleId="TM2">
    <w:name w:val="toc 2"/>
    <w:basedOn w:val="Normal"/>
    <w:next w:val="Normal"/>
    <w:autoRedefine/>
    <w:uiPriority w:val="39"/>
    <w:unhideWhenUsed/>
    <w:rsid w:val="00172A04"/>
    <w:pPr>
      <w:spacing w:after="0" w:line="276" w:lineRule="auto"/>
      <w:ind w:left="220"/>
    </w:pPr>
    <w:rPr>
      <w:rFonts w:ascii="Garamond" w:eastAsiaTheme="minorEastAsia" w:hAnsi="Garamond"/>
      <w:b/>
    </w:rPr>
  </w:style>
  <w:style w:type="paragraph" w:styleId="TM3">
    <w:name w:val="toc 3"/>
    <w:basedOn w:val="Normal"/>
    <w:next w:val="Normal"/>
    <w:autoRedefine/>
    <w:uiPriority w:val="39"/>
    <w:unhideWhenUsed/>
    <w:rsid w:val="00172A04"/>
    <w:pPr>
      <w:spacing w:after="0" w:line="276" w:lineRule="auto"/>
      <w:ind w:left="440"/>
    </w:pPr>
    <w:rPr>
      <w:rFonts w:ascii="Garamond" w:eastAsiaTheme="minorEastAsia" w:hAnsi="Garamond"/>
      <w:sz w:val="20"/>
    </w:rPr>
  </w:style>
  <w:style w:type="character" w:styleId="Lienhypertexte">
    <w:name w:val="Hyperlink"/>
    <w:basedOn w:val="Policepardfaut"/>
    <w:uiPriority w:val="99"/>
    <w:unhideWhenUsed/>
    <w:rsid w:val="00E46FD0"/>
    <w:rPr>
      <w:color w:val="0563C1" w:themeColor="hyperlink"/>
      <w:u w:val="single"/>
    </w:rPr>
  </w:style>
  <w:style w:type="paragraph" w:customStyle="1" w:styleId="Titre10">
    <w:name w:val="Titre1"/>
    <w:basedOn w:val="titrenorme"/>
    <w:next w:val="Titre2"/>
    <w:link w:val="titleCar"/>
    <w:qFormat/>
    <w:rsid w:val="00163A81"/>
    <w:pPr>
      <w:numPr>
        <w:numId w:val="0"/>
      </w:numPr>
      <w:jc w:val="center"/>
    </w:pPr>
    <w:rPr>
      <w:rFonts w:ascii="Palatino Linotype" w:hAnsi="Palatino Linotype"/>
      <w:smallCaps/>
      <w:sz w:val="24"/>
    </w:rPr>
  </w:style>
  <w:style w:type="character" w:customStyle="1" w:styleId="titleCar">
    <w:name w:val="title Car"/>
    <w:basedOn w:val="Titre1Car"/>
    <w:link w:val="Titre10"/>
    <w:rsid w:val="00163A81"/>
    <w:rPr>
      <w:rFonts w:ascii="Palatino Linotype" w:eastAsiaTheme="majorEastAsia" w:hAnsi="Palatino Linotype" w:cs="Times New Roman"/>
      <w:b/>
      <w:bCs w:val="0"/>
      <w:smallCaps/>
      <w:color w:val="000000" w:themeColor="text1"/>
      <w:sz w:val="24"/>
      <w:szCs w:val="24"/>
      <w:lang w:val="en-CA" w:eastAsia="fr-FR"/>
    </w:rPr>
  </w:style>
  <w:style w:type="paragraph" w:customStyle="1" w:styleId="subtitle">
    <w:name w:val="sub title"/>
    <w:basedOn w:val="Titre2"/>
    <w:next w:val="Titre3"/>
    <w:link w:val="subtitleCar"/>
    <w:qFormat/>
    <w:rsid w:val="00E46FD0"/>
    <w:pPr>
      <w:spacing w:line="240" w:lineRule="auto"/>
    </w:pPr>
  </w:style>
  <w:style w:type="character" w:customStyle="1" w:styleId="subtitleCar">
    <w:name w:val="sub title Car"/>
    <w:basedOn w:val="Titre2Car"/>
    <w:link w:val="subtitle"/>
    <w:rsid w:val="00E46FD0"/>
    <w:rPr>
      <w:rFonts w:ascii="Palatino Linotype" w:eastAsiaTheme="majorEastAsia" w:hAnsi="Palatino Linotype" w:cstheme="majorBidi"/>
      <w:b/>
      <w:bCs w:val="0"/>
      <w:smallCaps w:val="0"/>
      <w:color w:val="000000" w:themeColor="text1"/>
      <w:sz w:val="28"/>
      <w:szCs w:val="28"/>
      <w:u w:val="single"/>
      <w:lang w:val="en-CA"/>
    </w:rPr>
  </w:style>
  <w:style w:type="table" w:customStyle="1" w:styleId="Tableausimple211">
    <w:name w:val="Tableau simple 211"/>
    <w:basedOn w:val="TableauNormal"/>
    <w:uiPriority w:val="42"/>
    <w:rsid w:val="00E46FD0"/>
    <w:pPr>
      <w:spacing w:after="0" w:line="240" w:lineRule="auto"/>
    </w:pPr>
    <w:rPr>
      <w:rFonts w:eastAsiaTheme="minorEastAsia"/>
    </w:rPr>
    <w:tblPr>
      <w:tblStyleRowBandSize w:val="1"/>
      <w:tblStyleColBandSize w:val="1"/>
      <w:jc w:val="center"/>
      <w:tblBorders>
        <w:top w:val="single" w:sz="4" w:space="0" w:color="7F7F7F" w:themeColor="text1" w:themeTint="80"/>
        <w:bottom w:val="single" w:sz="4" w:space="0" w:color="7F7F7F" w:themeColor="text1" w:themeTint="80"/>
      </w:tblBorders>
    </w:tblPr>
    <w:trPr>
      <w:jc w:val="center"/>
    </w:tr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ausimple212">
    <w:name w:val="Tableau simple 212"/>
    <w:basedOn w:val="TableauNormal"/>
    <w:uiPriority w:val="42"/>
    <w:rsid w:val="00E46FD0"/>
    <w:pPr>
      <w:spacing w:after="0" w:line="240" w:lineRule="auto"/>
    </w:pPr>
    <w:rPr>
      <w:rFonts w:eastAsiaTheme="minorEastAsia"/>
    </w:rPr>
    <w:tblPr>
      <w:tblStyleRowBandSize w:val="1"/>
      <w:tblStyleColBandSize w:val="1"/>
      <w:jc w:val="center"/>
      <w:tblBorders>
        <w:top w:val="single" w:sz="4" w:space="0" w:color="7F7F7F" w:themeColor="text1" w:themeTint="80"/>
        <w:bottom w:val="single" w:sz="4" w:space="0" w:color="7F7F7F" w:themeColor="text1" w:themeTint="80"/>
      </w:tblBorders>
    </w:tblPr>
    <w:trPr>
      <w:jc w:val="center"/>
    </w:tr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tedebasdepage">
    <w:name w:val="footnote text"/>
    <w:basedOn w:val="Normal"/>
    <w:link w:val="NotedebasdepageCar"/>
    <w:uiPriority w:val="99"/>
    <w:unhideWhenUsed/>
    <w:rsid w:val="00E46FD0"/>
    <w:pPr>
      <w:spacing w:after="0" w:line="240" w:lineRule="auto"/>
    </w:pPr>
    <w:rPr>
      <w:rFonts w:eastAsiaTheme="minorEastAsia"/>
      <w:sz w:val="24"/>
      <w:szCs w:val="24"/>
    </w:rPr>
  </w:style>
  <w:style w:type="character" w:customStyle="1" w:styleId="NotedebasdepageCar">
    <w:name w:val="Note de bas de page Car"/>
    <w:basedOn w:val="Policepardfaut"/>
    <w:link w:val="Notedebasdepage"/>
    <w:uiPriority w:val="99"/>
    <w:rsid w:val="00E46FD0"/>
    <w:rPr>
      <w:rFonts w:eastAsiaTheme="minorEastAsia"/>
      <w:sz w:val="24"/>
      <w:szCs w:val="24"/>
    </w:rPr>
  </w:style>
  <w:style w:type="character" w:styleId="Appelnotedebasdep">
    <w:name w:val="footnote reference"/>
    <w:basedOn w:val="Policepardfaut"/>
    <w:uiPriority w:val="99"/>
    <w:unhideWhenUsed/>
    <w:rsid w:val="00E46FD0"/>
    <w:rPr>
      <w:vertAlign w:val="superscript"/>
    </w:rPr>
  </w:style>
  <w:style w:type="paragraph" w:styleId="En-tte">
    <w:name w:val="header"/>
    <w:basedOn w:val="Normal"/>
    <w:link w:val="En-tteCar"/>
    <w:uiPriority w:val="99"/>
    <w:unhideWhenUsed/>
    <w:rsid w:val="00E46FD0"/>
    <w:pPr>
      <w:tabs>
        <w:tab w:val="center" w:pos="4536"/>
        <w:tab w:val="right" w:pos="9072"/>
      </w:tabs>
      <w:spacing w:after="0" w:line="240" w:lineRule="auto"/>
    </w:pPr>
    <w:rPr>
      <w:rFonts w:eastAsiaTheme="minorEastAsia"/>
    </w:rPr>
  </w:style>
  <w:style w:type="character" w:customStyle="1" w:styleId="En-tteCar">
    <w:name w:val="En-tête Car"/>
    <w:basedOn w:val="Policepardfaut"/>
    <w:link w:val="En-tte"/>
    <w:uiPriority w:val="99"/>
    <w:rsid w:val="00E46FD0"/>
    <w:rPr>
      <w:rFonts w:eastAsiaTheme="minorEastAsia"/>
    </w:rPr>
  </w:style>
  <w:style w:type="paragraph" w:styleId="Pieddepage">
    <w:name w:val="footer"/>
    <w:basedOn w:val="Normal"/>
    <w:link w:val="PieddepageCar"/>
    <w:uiPriority w:val="99"/>
    <w:unhideWhenUsed/>
    <w:rsid w:val="00E46FD0"/>
    <w:pPr>
      <w:tabs>
        <w:tab w:val="center" w:pos="4536"/>
        <w:tab w:val="right" w:pos="9072"/>
      </w:tabs>
      <w:spacing w:after="0" w:line="240" w:lineRule="auto"/>
    </w:pPr>
    <w:rPr>
      <w:rFonts w:eastAsiaTheme="minorEastAsia"/>
    </w:rPr>
  </w:style>
  <w:style w:type="character" w:customStyle="1" w:styleId="PieddepageCar">
    <w:name w:val="Pied de page Car"/>
    <w:basedOn w:val="Policepardfaut"/>
    <w:link w:val="Pieddepage"/>
    <w:uiPriority w:val="99"/>
    <w:rsid w:val="00E46FD0"/>
    <w:rPr>
      <w:rFonts w:eastAsiaTheme="minorEastAsia"/>
    </w:rPr>
  </w:style>
  <w:style w:type="table" w:styleId="Tableausimple2">
    <w:name w:val="Plain Table 2"/>
    <w:basedOn w:val="TableauNormal"/>
    <w:uiPriority w:val="42"/>
    <w:rsid w:val="00E46FD0"/>
    <w:pPr>
      <w:spacing w:after="0" w:line="240" w:lineRule="auto"/>
    </w:pPr>
    <w:rPr>
      <w:rFonts w:eastAsiaTheme="minorEastAsia"/>
      <w:sz w:val="20"/>
    </w:rPr>
    <w:tblPr>
      <w:tblStyleRowBandSize w:val="1"/>
      <w:tblStyleColBandSize w:val="1"/>
      <w:jc w:val="center"/>
      <w:tblBorders>
        <w:top w:val="single" w:sz="4" w:space="0" w:color="7F7F7F" w:themeColor="text1" w:themeTint="80"/>
        <w:bottom w:val="single" w:sz="4" w:space="0" w:color="7F7F7F" w:themeColor="text1" w:themeTint="80"/>
      </w:tblBorders>
    </w:tblPr>
    <w:trPr>
      <w:jc w:val="center"/>
    </w:tr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PrformatHTML">
    <w:name w:val="HTML Preformatted"/>
    <w:basedOn w:val="Normal"/>
    <w:link w:val="PrformatHTMLCar"/>
    <w:uiPriority w:val="99"/>
    <w:semiHidden/>
    <w:unhideWhenUsed/>
    <w:rsid w:val="00F512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CA"/>
    </w:rPr>
  </w:style>
  <w:style w:type="character" w:customStyle="1" w:styleId="PrformatHTMLCar">
    <w:name w:val="Préformaté HTML Car"/>
    <w:basedOn w:val="Policepardfaut"/>
    <w:link w:val="PrformatHTML"/>
    <w:uiPriority w:val="99"/>
    <w:semiHidden/>
    <w:rsid w:val="00F51289"/>
    <w:rPr>
      <w:rFonts w:ascii="Courier New" w:eastAsia="Times New Roman" w:hAnsi="Courier New" w:cs="Courier New"/>
      <w:sz w:val="20"/>
      <w:szCs w:val="20"/>
      <w:lang w:eastAsia="fr-CA"/>
    </w:rPr>
  </w:style>
  <w:style w:type="paragraph" w:customStyle="1" w:styleId="exemplenorme">
    <w:name w:val="exemple norme"/>
    <w:basedOn w:val="Normal"/>
    <w:link w:val="exemplenormeCar"/>
    <w:qFormat/>
    <w:rsid w:val="000A12B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ind w:left="360"/>
      <w:contextualSpacing/>
      <w:jc w:val="both"/>
    </w:pPr>
    <w:rPr>
      <w:rFonts w:ascii="Palatino Linotype" w:hAnsi="Palatino Linotype" w:cs="Times New Roman"/>
      <w:i/>
      <w:color w:val="000000"/>
      <w:sz w:val="20"/>
      <w:szCs w:val="24"/>
      <w:lang w:val="en-US"/>
    </w:rPr>
  </w:style>
  <w:style w:type="character" w:customStyle="1" w:styleId="exemplenormeCar">
    <w:name w:val="exemple norme Car"/>
    <w:basedOn w:val="Policepardfaut"/>
    <w:link w:val="exemplenorme"/>
    <w:rsid w:val="000A12BF"/>
    <w:rPr>
      <w:rFonts w:ascii="Palatino Linotype" w:hAnsi="Palatino Linotype" w:cs="Times New Roman"/>
      <w:i/>
      <w:color w:val="000000"/>
      <w:sz w:val="20"/>
      <w:szCs w:val="24"/>
      <w:lang w:val="en-US"/>
    </w:rPr>
  </w:style>
  <w:style w:type="paragraph" w:customStyle="1" w:styleId="textenorme">
    <w:name w:val="texte norme"/>
    <w:basedOn w:val="Normal"/>
    <w:link w:val="textenormeCar"/>
    <w:qFormat/>
    <w:rsid w:val="000A12BF"/>
    <w:pPr>
      <w:numPr>
        <w:numId w:val="20"/>
      </w:numPr>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ind w:left="357" w:hanging="357"/>
      <w:contextualSpacing/>
      <w:jc w:val="both"/>
    </w:pPr>
    <w:rPr>
      <w:rFonts w:ascii="Palatino Linotype" w:hAnsi="Palatino Linotype" w:cs="Times New Roman"/>
      <w:color w:val="000000" w:themeColor="text1"/>
      <w:sz w:val="20"/>
      <w:szCs w:val="24"/>
      <w:lang w:val="en-US"/>
    </w:rPr>
  </w:style>
  <w:style w:type="character" w:customStyle="1" w:styleId="textenormeCar">
    <w:name w:val="texte norme Car"/>
    <w:basedOn w:val="Policepardfaut"/>
    <w:link w:val="textenorme"/>
    <w:rsid w:val="000A12BF"/>
    <w:rPr>
      <w:rFonts w:ascii="Palatino Linotype" w:hAnsi="Palatino Linotype" w:cs="Times New Roman"/>
      <w:color w:val="000000" w:themeColor="text1"/>
      <w:sz w:val="20"/>
      <w:szCs w:val="24"/>
      <w:lang w:val="en-US"/>
    </w:rPr>
  </w:style>
  <w:style w:type="paragraph" w:customStyle="1" w:styleId="titrenorme">
    <w:name w:val="titre norme"/>
    <w:basedOn w:val="Normal"/>
    <w:link w:val="titrenormeCar"/>
    <w:qFormat/>
    <w:rsid w:val="000A12BF"/>
    <w:pPr>
      <w:numPr>
        <w:numId w:val="19"/>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contextualSpacing/>
      <w:jc w:val="both"/>
      <w:outlineLvl w:val="0"/>
    </w:pPr>
    <w:rPr>
      <w:rFonts w:ascii="Palatino" w:hAnsi="Palatino" w:cs="Times New Roman"/>
      <w:b/>
      <w:color w:val="000000" w:themeColor="text1"/>
      <w:sz w:val="28"/>
      <w:szCs w:val="24"/>
      <w:lang w:val="en-CA"/>
    </w:rPr>
  </w:style>
  <w:style w:type="character" w:customStyle="1" w:styleId="titrenormeCar">
    <w:name w:val="titre norme Car"/>
    <w:basedOn w:val="Policepardfaut"/>
    <w:link w:val="titrenorme"/>
    <w:rsid w:val="000A12BF"/>
    <w:rPr>
      <w:rFonts w:ascii="Palatino" w:hAnsi="Palatino" w:cs="Times New Roman"/>
      <w:b/>
      <w:color w:val="000000" w:themeColor="text1"/>
      <w:sz w:val="28"/>
      <w:szCs w:val="24"/>
      <w:lang w:val="en-CA"/>
    </w:rPr>
  </w:style>
  <w:style w:type="paragraph" w:customStyle="1" w:styleId="titresoussousnormedites">
    <w:name w:val="titre sous sous norme dites"/>
    <w:basedOn w:val="Normal"/>
    <w:link w:val="titresoussousnormeditesCar"/>
    <w:qFormat/>
    <w:rsid w:val="000A12BF"/>
    <w:pPr>
      <w:keepNext/>
      <w:keepLines/>
      <w:widowControl w:val="0"/>
      <w:tabs>
        <w:tab w:val="left" w:pos="559"/>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outlineLvl w:val="2"/>
    </w:pPr>
    <w:rPr>
      <w:rFonts w:ascii="Palatino Linotype" w:eastAsia="Times New Roman" w:hAnsi="Palatino Linotype" w:cs="Times New Roman"/>
      <w:b/>
      <w:color w:val="000000"/>
      <w:sz w:val="20"/>
      <w:szCs w:val="24"/>
      <w:lang w:val="en-CA" w:eastAsia="fr-CA"/>
    </w:rPr>
  </w:style>
  <w:style w:type="character" w:customStyle="1" w:styleId="titresoussousnormeditesCar">
    <w:name w:val="titre sous sous norme dites Car"/>
    <w:basedOn w:val="Policepardfaut"/>
    <w:link w:val="titresoussousnormedites"/>
    <w:rsid w:val="000A12BF"/>
    <w:rPr>
      <w:rFonts w:ascii="Palatino Linotype" w:eastAsia="Times New Roman" w:hAnsi="Palatino Linotype" w:cs="Times New Roman"/>
      <w:b/>
      <w:color w:val="000000"/>
      <w:sz w:val="20"/>
      <w:szCs w:val="24"/>
      <w:lang w:val="en-CA" w:eastAsia="fr-CA"/>
    </w:rPr>
  </w:style>
  <w:style w:type="paragraph" w:customStyle="1" w:styleId="titresousnormedites">
    <w:name w:val="titre sous norme dites"/>
    <w:basedOn w:val="Titre2"/>
    <w:link w:val="titresousnormeditesCar"/>
    <w:autoRedefine/>
    <w:qFormat/>
    <w:rsid w:val="005A4CB2"/>
    <w:pPr>
      <w:spacing w:after="0" w:line="240" w:lineRule="auto"/>
      <w:contextualSpacing/>
    </w:pPr>
    <w:rPr>
      <w:szCs w:val="22"/>
      <w:u w:val="none"/>
    </w:rPr>
  </w:style>
  <w:style w:type="character" w:customStyle="1" w:styleId="titresousnormeditesCar">
    <w:name w:val="titre sous norme dites Car"/>
    <w:basedOn w:val="Policepardfaut"/>
    <w:link w:val="titresousnormedites"/>
    <w:rsid w:val="005A4CB2"/>
    <w:rPr>
      <w:rFonts w:ascii="Palatino Linotype" w:hAnsi="Palatino Linotype"/>
      <w:b/>
      <w:lang w:val="en-CA"/>
    </w:rPr>
  </w:style>
  <w:style w:type="character" w:styleId="Mentionnonrsolue">
    <w:name w:val="Unresolved Mention"/>
    <w:basedOn w:val="Policepardfaut"/>
    <w:uiPriority w:val="99"/>
    <w:semiHidden/>
    <w:unhideWhenUsed/>
    <w:rsid w:val="00B95498"/>
    <w:rPr>
      <w:color w:val="605E5C"/>
      <w:shd w:val="clear" w:color="auto" w:fill="E1DFDD"/>
    </w:rPr>
  </w:style>
  <w:style w:type="character" w:customStyle="1" w:styleId="Titre4Car">
    <w:name w:val="Titre 4 Car"/>
    <w:basedOn w:val="Policepardfaut"/>
    <w:link w:val="Titre4"/>
    <w:uiPriority w:val="9"/>
    <w:rsid w:val="00B20FD9"/>
    <w:rPr>
      <w:rFonts w:ascii="Garamond" w:hAnsi="Garamond"/>
      <w:b/>
      <w:sz w:val="24"/>
      <w:lang w:val="en-CA"/>
    </w:rPr>
  </w:style>
  <w:style w:type="paragraph" w:styleId="TM4">
    <w:name w:val="toc 4"/>
    <w:basedOn w:val="Normal"/>
    <w:next w:val="Normal"/>
    <w:autoRedefine/>
    <w:uiPriority w:val="39"/>
    <w:semiHidden/>
    <w:unhideWhenUsed/>
    <w:rsid w:val="00172A04"/>
    <w:pPr>
      <w:spacing w:after="100"/>
      <w:ind w:left="660"/>
    </w:pPr>
    <w:rPr>
      <w:rFonts w:ascii="Garamond" w:hAnsi="Garamond"/>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9320328">
      <w:bodyDiv w:val="1"/>
      <w:marLeft w:val="0"/>
      <w:marRight w:val="0"/>
      <w:marTop w:val="0"/>
      <w:marBottom w:val="0"/>
      <w:divBdr>
        <w:top w:val="none" w:sz="0" w:space="0" w:color="auto"/>
        <w:left w:val="none" w:sz="0" w:space="0" w:color="auto"/>
        <w:bottom w:val="none" w:sz="0" w:space="0" w:color="auto"/>
        <w:right w:val="none" w:sz="0" w:space="0" w:color="auto"/>
      </w:divBdr>
    </w:div>
    <w:div w:id="93798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32A0F-93F7-4123-905D-0CE7D2C1B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8</Pages>
  <Words>2670</Words>
  <Characters>14688</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183</cp:revision>
  <dcterms:created xsi:type="dcterms:W3CDTF">2021-02-18T21:04:00Z</dcterms:created>
  <dcterms:modified xsi:type="dcterms:W3CDTF">2021-08-11T19:03:00Z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zotero-version="5.0.87"&gt;&lt;session id="RRR0Xjfs"/&gt;&lt;style id="http://www.zotero.org/styles/american-political-science-association" locale="fr-FR" hasBibliography="1" bibliographyStyleHasBeenSet="0"/&gt;&lt;prefs&gt;&lt;pref name="fieldType" value=</vt:lpwstr>
  </property>
  <property fmtid="{D5CDD505-2E9C-101B-9397-08002B2CF9AE}" pid="3" name="ZOTERO_PREF_2">
    <vt:lpwstr>"Field"/&gt;&lt;/prefs&gt;&lt;/data&gt;</vt:lpwstr>
  </property>
</Properties>
</file>