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0B" w:rsidRPr="005157C8" w:rsidRDefault="00E63EE3" w:rsidP="0024530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57C8">
        <w:rPr>
          <w:rFonts w:ascii="Times New Roman" w:hAnsi="Times New Roman" w:cs="Times New Roman"/>
          <w:i/>
          <w:sz w:val="24"/>
          <w:szCs w:val="24"/>
        </w:rPr>
        <w:t xml:space="preserve">Table </w:t>
      </w:r>
      <w:r w:rsidR="00FB0C80">
        <w:rPr>
          <w:rFonts w:ascii="Times New Roman" w:hAnsi="Times New Roman" w:cs="Times New Roman"/>
          <w:i/>
          <w:sz w:val="24"/>
          <w:szCs w:val="24"/>
        </w:rPr>
        <w:t>S</w:t>
      </w:r>
      <w:r w:rsidRPr="005157C8">
        <w:rPr>
          <w:rFonts w:ascii="Times New Roman" w:hAnsi="Times New Roman" w:cs="Times New Roman"/>
          <w:i/>
          <w:sz w:val="24"/>
          <w:szCs w:val="24"/>
        </w:rPr>
        <w:t>1</w:t>
      </w:r>
      <w:r w:rsidR="0024530B" w:rsidRPr="005157C8">
        <w:rPr>
          <w:rFonts w:ascii="Times New Roman" w:hAnsi="Times New Roman" w:cs="Times New Roman"/>
          <w:i/>
          <w:sz w:val="24"/>
          <w:szCs w:val="24"/>
        </w:rPr>
        <w:t>: Overview of purpose</w:t>
      </w:r>
      <w:r w:rsidR="00C14BBA" w:rsidRPr="005157C8">
        <w:rPr>
          <w:rFonts w:ascii="Times New Roman" w:hAnsi="Times New Roman" w:cs="Times New Roman"/>
          <w:i/>
          <w:sz w:val="24"/>
          <w:szCs w:val="24"/>
        </w:rPr>
        <w:t>, r</w:t>
      </w:r>
      <w:bookmarkStart w:id="0" w:name="_GoBack"/>
      <w:bookmarkEnd w:id="0"/>
      <w:r w:rsidR="00C14BBA" w:rsidRPr="005157C8">
        <w:rPr>
          <w:rFonts w:ascii="Times New Roman" w:hAnsi="Times New Roman" w:cs="Times New Roman"/>
          <w:i/>
          <w:sz w:val="24"/>
          <w:szCs w:val="24"/>
        </w:rPr>
        <w:t>ole,</w:t>
      </w:r>
      <w:r w:rsidR="0024530B" w:rsidRPr="005157C8">
        <w:rPr>
          <w:rFonts w:ascii="Times New Roman" w:hAnsi="Times New Roman" w:cs="Times New Roman"/>
          <w:i/>
          <w:sz w:val="24"/>
          <w:szCs w:val="24"/>
        </w:rPr>
        <w:t xml:space="preserve"> achievement</w:t>
      </w:r>
      <w:r w:rsidR="008219CD" w:rsidRPr="005157C8">
        <w:rPr>
          <w:rFonts w:ascii="Times New Roman" w:hAnsi="Times New Roman" w:cs="Times New Roman"/>
          <w:i/>
          <w:sz w:val="24"/>
          <w:szCs w:val="24"/>
        </w:rPr>
        <w:t xml:space="preserve"> and tensions </w:t>
      </w:r>
      <w:r w:rsidR="000753CF" w:rsidRPr="005157C8">
        <w:rPr>
          <w:rFonts w:ascii="Times New Roman" w:hAnsi="Times New Roman" w:cs="Times New Roman"/>
          <w:i/>
          <w:sz w:val="24"/>
          <w:szCs w:val="24"/>
        </w:rPr>
        <w:t>in</w:t>
      </w:r>
      <w:r w:rsidR="0024530B" w:rsidRPr="005157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9CD" w:rsidRPr="005157C8">
        <w:rPr>
          <w:rFonts w:ascii="Times New Roman" w:hAnsi="Times New Roman" w:cs="Times New Roman"/>
          <w:i/>
          <w:sz w:val="24"/>
          <w:szCs w:val="24"/>
        </w:rPr>
        <w:t>DFBA</w:t>
      </w:r>
      <w:r w:rsidR="000753CF" w:rsidRPr="005157C8">
        <w:rPr>
          <w:rFonts w:ascii="Times New Roman" w:hAnsi="Times New Roman" w:cs="Times New Roman"/>
          <w:i/>
          <w:sz w:val="24"/>
          <w:szCs w:val="24"/>
        </w:rPr>
        <w:t>-</w:t>
      </w:r>
      <w:r w:rsidR="008219CD" w:rsidRPr="005157C8">
        <w:rPr>
          <w:rFonts w:ascii="Times New Roman" w:hAnsi="Times New Roman" w:cs="Times New Roman"/>
          <w:i/>
          <w:sz w:val="24"/>
          <w:szCs w:val="24"/>
        </w:rPr>
        <w:t xml:space="preserve">linked </w:t>
      </w:r>
      <w:r w:rsidR="0024530B" w:rsidRPr="005157C8">
        <w:rPr>
          <w:rFonts w:ascii="Times New Roman" w:hAnsi="Times New Roman" w:cs="Times New Roman"/>
          <w:i/>
          <w:sz w:val="24"/>
          <w:szCs w:val="24"/>
        </w:rPr>
        <w:t xml:space="preserve">hub </w:t>
      </w:r>
      <w:r w:rsidR="008219CD" w:rsidRPr="005157C8">
        <w:rPr>
          <w:rFonts w:ascii="Times New Roman" w:hAnsi="Times New Roman" w:cs="Times New Roman"/>
          <w:i/>
          <w:sz w:val="24"/>
          <w:szCs w:val="24"/>
        </w:rPr>
        <w:t xml:space="preserve">coordination </w:t>
      </w:r>
      <w:r w:rsidR="00C14BBA" w:rsidRPr="005157C8">
        <w:rPr>
          <w:rFonts w:ascii="Times New Roman" w:hAnsi="Times New Roman" w:cs="Times New Roman"/>
          <w:i/>
          <w:sz w:val="24"/>
          <w:szCs w:val="24"/>
        </w:rPr>
        <w:t>to</w:t>
      </w:r>
      <w:r w:rsidR="000753CF" w:rsidRPr="005157C8">
        <w:rPr>
          <w:rFonts w:ascii="Times New Roman" w:hAnsi="Times New Roman" w:cs="Times New Roman"/>
          <w:i/>
          <w:sz w:val="24"/>
          <w:szCs w:val="24"/>
        </w:rPr>
        <w:t xml:space="preserve"> address smallholders’ challenges </w:t>
      </w:r>
      <w:r w:rsidR="0024530B" w:rsidRPr="005157C8">
        <w:rPr>
          <w:rFonts w:ascii="Times New Roman" w:hAnsi="Times New Roman" w:cs="Times New Roman"/>
          <w:i/>
          <w:sz w:val="24"/>
          <w:szCs w:val="24"/>
        </w:rPr>
        <w:t xml:space="preserve">in value chains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665"/>
        <w:gridCol w:w="2636"/>
        <w:gridCol w:w="2629"/>
        <w:gridCol w:w="2623"/>
      </w:tblGrid>
      <w:tr w:rsidR="0024530B" w:rsidRPr="005157C8" w:rsidTr="00D81034"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  <w:b/>
              </w:rPr>
            </w:pPr>
            <w:r w:rsidRPr="005157C8">
              <w:rPr>
                <w:rFonts w:ascii="Times New Roman" w:hAnsi="Times New Roman" w:cs="Times New Roman"/>
                <w:b/>
              </w:rPr>
              <w:t>Type of coordination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30B" w:rsidRPr="005157C8" w:rsidRDefault="005E5E85" w:rsidP="00871713">
            <w:pPr>
              <w:rPr>
                <w:rFonts w:ascii="Times New Roman" w:hAnsi="Times New Roman" w:cs="Times New Roman"/>
                <w:b/>
              </w:rPr>
            </w:pPr>
            <w:r w:rsidRPr="005157C8">
              <w:rPr>
                <w:rFonts w:ascii="Times New Roman" w:hAnsi="Times New Roman" w:cs="Times New Roman"/>
                <w:b/>
              </w:rPr>
              <w:t>Purpose of hub</w:t>
            </w:r>
          </w:p>
          <w:p w:rsidR="0024530B" w:rsidRPr="005157C8" w:rsidRDefault="0024530B" w:rsidP="00871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30B" w:rsidRPr="005157C8" w:rsidRDefault="0024530B" w:rsidP="008219CD">
            <w:pPr>
              <w:rPr>
                <w:rFonts w:ascii="Times New Roman" w:hAnsi="Times New Roman" w:cs="Times New Roman"/>
                <w:b/>
              </w:rPr>
            </w:pPr>
            <w:r w:rsidRPr="005157C8">
              <w:rPr>
                <w:rFonts w:ascii="Times New Roman" w:hAnsi="Times New Roman" w:cs="Times New Roman"/>
                <w:b/>
              </w:rPr>
              <w:t xml:space="preserve">Role fulfilled </w:t>
            </w:r>
            <w:r w:rsidR="008219CD" w:rsidRPr="005157C8">
              <w:rPr>
                <w:rFonts w:ascii="Times New Roman" w:hAnsi="Times New Roman" w:cs="Times New Roman"/>
                <w:b/>
              </w:rPr>
              <w:t xml:space="preserve">in </w:t>
            </w:r>
            <w:r w:rsidRPr="005157C8">
              <w:rPr>
                <w:rFonts w:ascii="Times New Roman" w:hAnsi="Times New Roman" w:cs="Times New Roman"/>
                <w:b/>
              </w:rPr>
              <w:t>the hub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  <w:b/>
              </w:rPr>
            </w:pPr>
            <w:r w:rsidRPr="005157C8">
              <w:rPr>
                <w:rFonts w:ascii="Times New Roman" w:hAnsi="Times New Roman" w:cs="Times New Roman"/>
                <w:b/>
              </w:rPr>
              <w:t xml:space="preserve">Achievement  of hub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  <w:b/>
              </w:rPr>
            </w:pPr>
            <w:r w:rsidRPr="005157C8">
              <w:rPr>
                <w:rFonts w:ascii="Times New Roman" w:hAnsi="Times New Roman" w:cs="Times New Roman"/>
                <w:b/>
              </w:rPr>
              <w:t xml:space="preserve">Tensions and  emerging issues </w:t>
            </w:r>
          </w:p>
        </w:tc>
      </w:tr>
      <w:tr w:rsidR="0024530B" w:rsidRPr="005157C8" w:rsidTr="00D81034"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Horizontal</w:t>
            </w:r>
            <w:r w:rsidR="009231C9" w:rsidRPr="005157C8">
              <w:rPr>
                <w:rFonts w:ascii="Times New Roman" w:hAnsi="Times New Roman" w:cs="Times New Roman"/>
              </w:rPr>
              <w:t xml:space="preserve"> (among farmers)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Enhance cooperation and</w:t>
            </w:r>
            <w:r w:rsidR="001550E4" w:rsidRPr="005157C8">
              <w:rPr>
                <w:rFonts w:ascii="Times New Roman" w:hAnsi="Times New Roman" w:cs="Times New Roman"/>
              </w:rPr>
              <w:t xml:space="preserve"> business support (entrepreneurship) </w:t>
            </w:r>
            <w:r w:rsidR="00C14BBA" w:rsidRPr="005157C8">
              <w:rPr>
                <w:rFonts w:ascii="Times New Roman" w:hAnsi="Times New Roman" w:cs="Times New Roman"/>
              </w:rPr>
              <w:t xml:space="preserve">to </w:t>
            </w:r>
            <w:r w:rsidRPr="005157C8">
              <w:rPr>
                <w:rFonts w:ascii="Times New Roman" w:hAnsi="Times New Roman" w:cs="Times New Roman"/>
              </w:rPr>
              <w:t>mobili</w:t>
            </w:r>
            <w:r w:rsidR="000753CF" w:rsidRPr="005157C8">
              <w:rPr>
                <w:rFonts w:ascii="Times New Roman" w:hAnsi="Times New Roman" w:cs="Times New Roman"/>
              </w:rPr>
              <w:t>s</w:t>
            </w:r>
            <w:r w:rsidR="00C14BBA" w:rsidRPr="005157C8">
              <w:rPr>
                <w:rFonts w:ascii="Times New Roman" w:hAnsi="Times New Roman" w:cs="Times New Roman"/>
              </w:rPr>
              <w:t>e</w:t>
            </w:r>
            <w:r w:rsidRPr="005157C8">
              <w:rPr>
                <w:rFonts w:ascii="Times New Roman" w:hAnsi="Times New Roman" w:cs="Times New Roman"/>
              </w:rPr>
              <w:t xml:space="preserve"> economies of scale</w:t>
            </w:r>
          </w:p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4530B" w:rsidRPr="005157C8" w:rsidRDefault="0024530B" w:rsidP="00C14BBA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Brokering the day</w:t>
            </w:r>
            <w:r w:rsidR="000753CF" w:rsidRPr="005157C8">
              <w:rPr>
                <w:rFonts w:ascii="Times New Roman" w:hAnsi="Times New Roman" w:cs="Times New Roman"/>
              </w:rPr>
              <w:t>-</w:t>
            </w:r>
            <w:r w:rsidRPr="005157C8">
              <w:rPr>
                <w:rFonts w:ascii="Times New Roman" w:hAnsi="Times New Roman" w:cs="Times New Roman"/>
              </w:rPr>
              <w:t xml:space="preserve"> to</w:t>
            </w:r>
            <w:r w:rsidR="000753CF" w:rsidRPr="005157C8">
              <w:rPr>
                <w:rFonts w:ascii="Times New Roman" w:hAnsi="Times New Roman" w:cs="Times New Roman"/>
              </w:rPr>
              <w:t>-</w:t>
            </w:r>
            <w:r w:rsidRPr="005157C8">
              <w:rPr>
                <w:rFonts w:ascii="Times New Roman" w:hAnsi="Times New Roman" w:cs="Times New Roman"/>
              </w:rPr>
              <w:t xml:space="preserve">day interaction between farmers </w:t>
            </w:r>
            <w:r w:rsidR="00087708" w:rsidRPr="005157C8">
              <w:rPr>
                <w:rFonts w:ascii="Times New Roman" w:hAnsi="Times New Roman" w:cs="Times New Roman"/>
              </w:rPr>
              <w:t xml:space="preserve">and DFBA </w:t>
            </w:r>
            <w:r w:rsidR="008219CD" w:rsidRPr="005157C8">
              <w:rPr>
                <w:rFonts w:ascii="Times New Roman" w:hAnsi="Times New Roman" w:cs="Times New Roman"/>
              </w:rPr>
              <w:t>(broker role)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4530B" w:rsidRPr="005157C8" w:rsidRDefault="0024530B" w:rsidP="003262AC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Many farmers joined the DFBA (as shareholders) and were supplying milk to the CP</w:t>
            </w:r>
            <w:r w:rsidR="003262AC" w:rsidRPr="005157C8">
              <w:rPr>
                <w:rFonts w:ascii="Times New Roman" w:hAnsi="Times New Roman" w:cs="Times New Roman"/>
              </w:rPr>
              <w:t>,</w:t>
            </w:r>
            <w:r w:rsidRPr="005157C8">
              <w:rPr>
                <w:rFonts w:ascii="Times New Roman" w:hAnsi="Times New Roman" w:cs="Times New Roman"/>
              </w:rPr>
              <w:t xml:space="preserve"> symbolis</w:t>
            </w:r>
            <w:r w:rsidR="003262AC" w:rsidRPr="005157C8">
              <w:rPr>
                <w:rFonts w:ascii="Times New Roman" w:hAnsi="Times New Roman" w:cs="Times New Roman"/>
              </w:rPr>
              <w:t>ing</w:t>
            </w:r>
            <w:r w:rsidRPr="005157C8">
              <w:rPr>
                <w:rFonts w:ascii="Times New Roman" w:hAnsi="Times New Roman" w:cs="Times New Roman"/>
              </w:rPr>
              <w:t xml:space="preserve"> improved cooperation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4530B" w:rsidRPr="005157C8" w:rsidRDefault="0024530B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Market forces (with competing marketing channels) contribute to farmers (including shareholders) side-selling milk</w:t>
            </w:r>
            <w:r w:rsidR="00F118C8" w:rsidRPr="005157C8">
              <w:rPr>
                <w:rFonts w:ascii="Times New Roman" w:hAnsi="Times New Roman" w:cs="Times New Roman"/>
              </w:rPr>
              <w:t>,</w:t>
            </w:r>
            <w:r w:rsidRPr="005157C8">
              <w:rPr>
                <w:rFonts w:ascii="Times New Roman" w:hAnsi="Times New Roman" w:cs="Times New Roman"/>
              </w:rPr>
              <w:t xml:space="preserve"> thus still affecting cooperation and loyalty</w:t>
            </w:r>
          </w:p>
        </w:tc>
      </w:tr>
      <w:tr w:rsidR="0024530B" w:rsidRPr="005157C8" w:rsidTr="00D81034">
        <w:tc>
          <w:tcPr>
            <w:tcW w:w="2834" w:type="dxa"/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Improve mutual trust/reciprocity </w:t>
            </w:r>
            <w:r w:rsidR="008219CD" w:rsidRPr="005157C8">
              <w:rPr>
                <w:rFonts w:ascii="Times New Roman" w:hAnsi="Times New Roman" w:cs="Times New Roman"/>
              </w:rPr>
              <w:t xml:space="preserve">and </w:t>
            </w:r>
            <w:r w:rsidR="001550E4" w:rsidRPr="005157C8">
              <w:rPr>
                <w:rFonts w:ascii="Times New Roman" w:hAnsi="Times New Roman" w:cs="Times New Roman"/>
              </w:rPr>
              <w:t>loyalty</w:t>
            </w:r>
            <w:r w:rsidR="008219CD" w:rsidRPr="005157C8">
              <w:rPr>
                <w:rFonts w:ascii="Times New Roman" w:hAnsi="Times New Roman" w:cs="Times New Roman"/>
              </w:rPr>
              <w:t xml:space="preserve"> </w:t>
            </w:r>
            <w:r w:rsidRPr="005157C8">
              <w:rPr>
                <w:rFonts w:ascii="Times New Roman" w:hAnsi="Times New Roman" w:cs="Times New Roman"/>
              </w:rPr>
              <w:t>among farmers</w:t>
            </w:r>
          </w:p>
        </w:tc>
        <w:tc>
          <w:tcPr>
            <w:tcW w:w="2835" w:type="dxa"/>
            <w:shd w:val="clear" w:color="auto" w:fill="auto"/>
          </w:tcPr>
          <w:p w:rsidR="008219CD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Clustering farmers into </w:t>
            </w:r>
            <w:r w:rsidR="008219CD" w:rsidRPr="005157C8">
              <w:rPr>
                <w:rFonts w:ascii="Times New Roman" w:hAnsi="Times New Roman" w:cs="Times New Roman"/>
              </w:rPr>
              <w:t>DMGs</w:t>
            </w:r>
          </w:p>
          <w:p w:rsidR="0024530B" w:rsidRPr="005157C8" w:rsidRDefault="008219CD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(cluster role)</w:t>
            </w:r>
            <w:r w:rsidR="0024530B" w:rsidRPr="005157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4530B" w:rsidRPr="005157C8" w:rsidRDefault="0024530B" w:rsidP="00C14BBA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Some farmers joined the DMGs as local units of farmer</w:t>
            </w:r>
            <w:r w:rsidR="003262AC" w:rsidRPr="005157C8">
              <w:rPr>
                <w:rFonts w:ascii="Times New Roman" w:hAnsi="Times New Roman" w:cs="Times New Roman"/>
              </w:rPr>
              <w:t>-</w:t>
            </w:r>
            <w:r w:rsidRPr="005157C8">
              <w:rPr>
                <w:rFonts w:ascii="Times New Roman" w:hAnsi="Times New Roman" w:cs="Times New Roman"/>
              </w:rPr>
              <w:t>to</w:t>
            </w:r>
            <w:r w:rsidR="003262AC" w:rsidRPr="005157C8">
              <w:rPr>
                <w:rFonts w:ascii="Times New Roman" w:hAnsi="Times New Roman" w:cs="Times New Roman"/>
              </w:rPr>
              <w:t>-</w:t>
            </w:r>
            <w:r w:rsidRPr="005157C8">
              <w:rPr>
                <w:rFonts w:ascii="Times New Roman" w:hAnsi="Times New Roman" w:cs="Times New Roman"/>
              </w:rPr>
              <w:t>farmer cooperation</w:t>
            </w:r>
            <w:r w:rsidR="003262AC" w:rsidRPr="005157C8">
              <w:rPr>
                <w:rFonts w:ascii="Times New Roman" w:hAnsi="Times New Roman" w:cs="Times New Roman"/>
              </w:rPr>
              <w:t>,</w:t>
            </w:r>
            <w:r w:rsidRPr="005157C8">
              <w:rPr>
                <w:rFonts w:ascii="Times New Roman" w:hAnsi="Times New Roman" w:cs="Times New Roman"/>
              </w:rPr>
              <w:t xml:space="preserve"> enabl</w:t>
            </w:r>
            <w:r w:rsidR="003262AC" w:rsidRPr="005157C8">
              <w:rPr>
                <w:rFonts w:ascii="Times New Roman" w:hAnsi="Times New Roman" w:cs="Times New Roman"/>
              </w:rPr>
              <w:t>ing</w:t>
            </w:r>
            <w:r w:rsidRPr="005157C8">
              <w:rPr>
                <w:rFonts w:ascii="Times New Roman" w:hAnsi="Times New Roman" w:cs="Times New Roman"/>
              </w:rPr>
              <w:t xml:space="preserve"> reciprocity through working together and exchanging ideas</w:t>
            </w:r>
          </w:p>
        </w:tc>
        <w:tc>
          <w:tcPr>
            <w:tcW w:w="2835" w:type="dxa"/>
            <w:shd w:val="clear" w:color="auto" w:fill="auto"/>
          </w:tcPr>
          <w:p w:rsidR="0024530B" w:rsidRPr="005157C8" w:rsidRDefault="00F118C8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Non-DMG f</w:t>
            </w:r>
            <w:r w:rsidR="0024530B" w:rsidRPr="005157C8">
              <w:rPr>
                <w:rFonts w:ascii="Times New Roman" w:hAnsi="Times New Roman" w:cs="Times New Roman"/>
              </w:rPr>
              <w:t>armers</w:t>
            </w:r>
            <w:r w:rsidRPr="005157C8">
              <w:rPr>
                <w:rFonts w:ascii="Times New Roman" w:hAnsi="Times New Roman" w:cs="Times New Roman"/>
              </w:rPr>
              <w:t xml:space="preserve"> </w:t>
            </w:r>
            <w:r w:rsidR="008B5614" w:rsidRPr="005157C8">
              <w:rPr>
                <w:rFonts w:ascii="Times New Roman" w:hAnsi="Times New Roman" w:cs="Times New Roman"/>
              </w:rPr>
              <w:t>a</w:t>
            </w:r>
            <w:r w:rsidRPr="005157C8">
              <w:rPr>
                <w:rFonts w:ascii="Times New Roman" w:hAnsi="Times New Roman" w:cs="Times New Roman"/>
              </w:rPr>
              <w:t>re</w:t>
            </w:r>
            <w:r w:rsidR="0024530B" w:rsidRPr="005157C8">
              <w:rPr>
                <w:rFonts w:ascii="Times New Roman" w:hAnsi="Times New Roman" w:cs="Times New Roman"/>
              </w:rPr>
              <w:t xml:space="preserve"> excluded from accessing some services</w:t>
            </w:r>
          </w:p>
        </w:tc>
      </w:tr>
      <w:tr w:rsidR="0024530B" w:rsidRPr="005157C8" w:rsidTr="00D81034">
        <w:tc>
          <w:tcPr>
            <w:tcW w:w="2834" w:type="dxa"/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4530B" w:rsidRPr="005157C8" w:rsidRDefault="0024530B" w:rsidP="000753CF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Inclu</w:t>
            </w:r>
            <w:r w:rsidR="000753CF" w:rsidRPr="005157C8">
              <w:rPr>
                <w:rFonts w:ascii="Times New Roman" w:hAnsi="Times New Roman" w:cs="Times New Roman"/>
              </w:rPr>
              <w:t>de</w:t>
            </w:r>
            <w:r w:rsidRPr="005157C8">
              <w:rPr>
                <w:rFonts w:ascii="Times New Roman" w:hAnsi="Times New Roman" w:cs="Times New Roman"/>
              </w:rPr>
              <w:t xml:space="preserve"> all farmers and their representation in decision making</w:t>
            </w:r>
          </w:p>
        </w:tc>
        <w:tc>
          <w:tcPr>
            <w:tcW w:w="2835" w:type="dxa"/>
            <w:shd w:val="clear" w:color="auto" w:fill="auto"/>
          </w:tcPr>
          <w:p w:rsidR="0024530B" w:rsidRPr="005157C8" w:rsidRDefault="0024530B" w:rsidP="00C14BBA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Brokering and facilitating farmers</w:t>
            </w:r>
            <w:r w:rsidR="00E62FAC" w:rsidRPr="005157C8">
              <w:rPr>
                <w:rFonts w:ascii="Times New Roman" w:hAnsi="Times New Roman" w:cs="Times New Roman"/>
              </w:rPr>
              <w:t>’</w:t>
            </w:r>
            <w:r w:rsidRPr="005157C8">
              <w:rPr>
                <w:rFonts w:ascii="Times New Roman" w:hAnsi="Times New Roman" w:cs="Times New Roman"/>
              </w:rPr>
              <w:t xml:space="preserve"> participation  in the DFBA</w:t>
            </w:r>
            <w:r w:rsidR="00C14BBA" w:rsidRPr="005157C8">
              <w:rPr>
                <w:rFonts w:ascii="Times New Roman" w:hAnsi="Times New Roman" w:cs="Times New Roman"/>
              </w:rPr>
              <w:t>,</w:t>
            </w:r>
            <w:r w:rsidRPr="005157C8">
              <w:rPr>
                <w:rFonts w:ascii="Times New Roman" w:hAnsi="Times New Roman" w:cs="Times New Roman"/>
              </w:rPr>
              <w:t xml:space="preserve"> including in the </w:t>
            </w:r>
            <w:r w:rsidR="008219CD" w:rsidRPr="005157C8">
              <w:rPr>
                <w:rFonts w:ascii="Times New Roman" w:hAnsi="Times New Roman" w:cs="Times New Roman"/>
              </w:rPr>
              <w:t>selection</w:t>
            </w:r>
            <w:r w:rsidRPr="005157C8">
              <w:rPr>
                <w:rFonts w:ascii="Times New Roman" w:hAnsi="Times New Roman" w:cs="Times New Roman"/>
              </w:rPr>
              <w:t xml:space="preserve"> of representatives (</w:t>
            </w:r>
            <w:r w:rsidR="008219CD" w:rsidRPr="005157C8">
              <w:rPr>
                <w:rFonts w:ascii="Times New Roman" w:hAnsi="Times New Roman" w:cs="Times New Roman"/>
              </w:rPr>
              <w:t xml:space="preserve">broker role) </w:t>
            </w:r>
          </w:p>
        </w:tc>
        <w:tc>
          <w:tcPr>
            <w:tcW w:w="2835" w:type="dxa"/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All farmers within the catchment were eligible to supply milk to the DFBA without being shareholders</w:t>
            </w:r>
            <w:r w:rsidR="003262AC" w:rsidRPr="005157C8">
              <w:rPr>
                <w:rFonts w:ascii="Times New Roman" w:hAnsi="Times New Roman" w:cs="Times New Roman"/>
              </w:rPr>
              <w:t>,</w:t>
            </w:r>
            <w:r w:rsidRPr="005157C8">
              <w:rPr>
                <w:rFonts w:ascii="Times New Roman" w:hAnsi="Times New Roman" w:cs="Times New Roman"/>
              </w:rPr>
              <w:t xml:space="preserve"> thus increasing supply</w:t>
            </w:r>
          </w:p>
        </w:tc>
        <w:tc>
          <w:tcPr>
            <w:tcW w:w="2835" w:type="dxa"/>
            <w:shd w:val="clear" w:color="auto" w:fill="auto"/>
          </w:tcPr>
          <w:p w:rsidR="0024530B" w:rsidRPr="005157C8" w:rsidRDefault="0024530B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Opting out of being a shareholder influence</w:t>
            </w:r>
            <w:r w:rsidR="008B5614" w:rsidRPr="005157C8">
              <w:rPr>
                <w:rFonts w:ascii="Times New Roman" w:hAnsi="Times New Roman" w:cs="Times New Roman"/>
              </w:rPr>
              <w:t>s</w:t>
            </w:r>
            <w:r w:rsidRPr="005157C8">
              <w:rPr>
                <w:rFonts w:ascii="Times New Roman" w:hAnsi="Times New Roman" w:cs="Times New Roman"/>
              </w:rPr>
              <w:t xml:space="preserve"> </w:t>
            </w:r>
            <w:r w:rsidR="00C14BBA" w:rsidRPr="005157C8">
              <w:rPr>
                <w:rFonts w:ascii="Times New Roman" w:hAnsi="Times New Roman" w:cs="Times New Roman"/>
              </w:rPr>
              <w:t>farmers’</w:t>
            </w:r>
            <w:r w:rsidRPr="005157C8">
              <w:rPr>
                <w:rFonts w:ascii="Times New Roman" w:hAnsi="Times New Roman" w:cs="Times New Roman"/>
              </w:rPr>
              <w:t xml:space="preserve"> loyalty to the DFBA</w:t>
            </w:r>
          </w:p>
        </w:tc>
      </w:tr>
      <w:tr w:rsidR="0024530B" w:rsidRPr="005157C8" w:rsidTr="00D81034">
        <w:tc>
          <w:tcPr>
            <w:tcW w:w="2834" w:type="dxa"/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Improve transparency in leadership and decision making</w:t>
            </w:r>
          </w:p>
        </w:tc>
        <w:tc>
          <w:tcPr>
            <w:tcW w:w="2835" w:type="dxa"/>
            <w:shd w:val="clear" w:color="auto" w:fill="auto"/>
          </w:tcPr>
          <w:p w:rsidR="0024530B" w:rsidRPr="005157C8" w:rsidRDefault="008219CD" w:rsidP="00C14BBA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F</w:t>
            </w:r>
            <w:r w:rsidR="0024530B" w:rsidRPr="005157C8">
              <w:rPr>
                <w:rFonts w:ascii="Times New Roman" w:hAnsi="Times New Roman" w:cs="Times New Roman"/>
              </w:rPr>
              <w:t>acilitating farmers</w:t>
            </w:r>
            <w:r w:rsidR="00E62FAC" w:rsidRPr="005157C8">
              <w:rPr>
                <w:rFonts w:ascii="Times New Roman" w:hAnsi="Times New Roman" w:cs="Times New Roman"/>
              </w:rPr>
              <w:t>’</w:t>
            </w:r>
            <w:r w:rsidR="0024530B" w:rsidRPr="005157C8">
              <w:rPr>
                <w:rFonts w:ascii="Times New Roman" w:hAnsi="Times New Roman" w:cs="Times New Roman"/>
              </w:rPr>
              <w:t xml:space="preserve"> par</w:t>
            </w:r>
            <w:r w:rsidR="00C14BBA" w:rsidRPr="005157C8">
              <w:rPr>
                <w:rFonts w:ascii="Times New Roman" w:hAnsi="Times New Roman" w:cs="Times New Roman"/>
              </w:rPr>
              <w:t xml:space="preserve">ticipation  in board selection </w:t>
            </w:r>
            <w:r w:rsidR="0024530B" w:rsidRPr="005157C8">
              <w:rPr>
                <w:rFonts w:ascii="Times New Roman" w:hAnsi="Times New Roman" w:cs="Times New Roman"/>
              </w:rPr>
              <w:t>(through elections) and ensuring a transparent process for</w:t>
            </w:r>
            <w:r w:rsidR="00C14BBA" w:rsidRPr="005157C8">
              <w:rPr>
                <w:rFonts w:ascii="Times New Roman" w:hAnsi="Times New Roman" w:cs="Times New Roman"/>
              </w:rPr>
              <w:t xml:space="preserve"> hiring</w:t>
            </w:r>
            <w:r w:rsidR="0024530B" w:rsidRPr="005157C8">
              <w:rPr>
                <w:rFonts w:ascii="Times New Roman" w:hAnsi="Times New Roman" w:cs="Times New Roman"/>
              </w:rPr>
              <w:t xml:space="preserve"> the management</w:t>
            </w:r>
            <w:r w:rsidRPr="005157C8">
              <w:rPr>
                <w:rFonts w:ascii="Times New Roman" w:hAnsi="Times New Roman" w:cs="Times New Roman"/>
              </w:rPr>
              <w:t xml:space="preserve"> (broker role</w:t>
            </w:r>
            <w:r w:rsidR="00E62FAC" w:rsidRPr="005157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24530B" w:rsidRPr="005157C8" w:rsidRDefault="0024530B" w:rsidP="003262AC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New governance model with clear separation of roles between board and</w:t>
            </w:r>
            <w:r w:rsidR="003262AC" w:rsidRPr="005157C8">
              <w:rPr>
                <w:rFonts w:ascii="Times New Roman" w:hAnsi="Times New Roman" w:cs="Times New Roman"/>
              </w:rPr>
              <w:t xml:space="preserve"> professionally hired</w:t>
            </w:r>
            <w:r w:rsidRPr="005157C8">
              <w:rPr>
                <w:rFonts w:ascii="Times New Roman" w:hAnsi="Times New Roman" w:cs="Times New Roman"/>
              </w:rPr>
              <w:t xml:space="preserve"> management team increase</w:t>
            </w:r>
            <w:r w:rsidR="003262AC" w:rsidRPr="005157C8">
              <w:rPr>
                <w:rFonts w:ascii="Times New Roman" w:hAnsi="Times New Roman" w:cs="Times New Roman"/>
              </w:rPr>
              <w:t>d</w:t>
            </w:r>
            <w:r w:rsidRPr="005157C8">
              <w:rPr>
                <w:rFonts w:ascii="Times New Roman" w:hAnsi="Times New Roman" w:cs="Times New Roman"/>
              </w:rPr>
              <w:t xml:space="preserve"> a sense of transparency</w:t>
            </w:r>
          </w:p>
        </w:tc>
        <w:tc>
          <w:tcPr>
            <w:tcW w:w="2835" w:type="dxa"/>
            <w:shd w:val="clear" w:color="auto" w:fill="auto"/>
          </w:tcPr>
          <w:p w:rsidR="0024530B" w:rsidRPr="005157C8" w:rsidRDefault="00C14BBA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D</w:t>
            </w:r>
            <w:r w:rsidR="0024530B" w:rsidRPr="005157C8">
              <w:rPr>
                <w:rFonts w:ascii="Times New Roman" w:hAnsi="Times New Roman" w:cs="Times New Roman"/>
              </w:rPr>
              <w:t xml:space="preserve">istrust of the DFBA leadership </w:t>
            </w:r>
            <w:r w:rsidRPr="005157C8">
              <w:rPr>
                <w:rFonts w:ascii="Times New Roman" w:hAnsi="Times New Roman" w:cs="Times New Roman"/>
              </w:rPr>
              <w:t>linger</w:t>
            </w:r>
            <w:r w:rsidR="008B5614" w:rsidRPr="005157C8">
              <w:rPr>
                <w:rFonts w:ascii="Times New Roman" w:hAnsi="Times New Roman" w:cs="Times New Roman"/>
              </w:rPr>
              <w:t>s</w:t>
            </w:r>
            <w:r w:rsidRPr="005157C8">
              <w:rPr>
                <w:rFonts w:ascii="Times New Roman" w:hAnsi="Times New Roman" w:cs="Times New Roman"/>
              </w:rPr>
              <w:t xml:space="preserve"> </w:t>
            </w:r>
            <w:r w:rsidR="0024530B" w:rsidRPr="005157C8">
              <w:rPr>
                <w:rFonts w:ascii="Times New Roman" w:hAnsi="Times New Roman" w:cs="Times New Roman"/>
              </w:rPr>
              <w:t>due to the historical context of  the collapse of dairy cooperatives coupled with tensions relat</w:t>
            </w:r>
            <w:r w:rsidR="00F118C8" w:rsidRPr="005157C8">
              <w:rPr>
                <w:rFonts w:ascii="Times New Roman" w:hAnsi="Times New Roman" w:cs="Times New Roman"/>
              </w:rPr>
              <w:t>ing to</w:t>
            </w:r>
            <w:r w:rsidR="0024530B" w:rsidRPr="005157C8">
              <w:rPr>
                <w:rFonts w:ascii="Times New Roman" w:hAnsi="Times New Roman" w:cs="Times New Roman"/>
              </w:rPr>
              <w:t xml:space="preserve"> benefit</w:t>
            </w:r>
            <w:r w:rsidR="00F118C8" w:rsidRPr="005157C8">
              <w:rPr>
                <w:rFonts w:ascii="Times New Roman" w:hAnsi="Times New Roman" w:cs="Times New Roman"/>
              </w:rPr>
              <w:t>-</w:t>
            </w:r>
            <w:r w:rsidR="0024530B" w:rsidRPr="005157C8">
              <w:rPr>
                <w:rFonts w:ascii="Times New Roman" w:hAnsi="Times New Roman" w:cs="Times New Roman"/>
              </w:rPr>
              <w:t>sharing through such collective action</w:t>
            </w:r>
          </w:p>
        </w:tc>
      </w:tr>
    </w:tbl>
    <w:p w:rsidR="0024530B" w:rsidRPr="005157C8" w:rsidRDefault="0024530B" w:rsidP="002453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27"/>
        <w:gridCol w:w="2629"/>
        <w:gridCol w:w="2639"/>
        <w:gridCol w:w="2630"/>
      </w:tblGrid>
      <w:tr w:rsidR="00090FFB" w:rsidRPr="005157C8" w:rsidTr="00EF2443">
        <w:tc>
          <w:tcPr>
            <w:tcW w:w="2834" w:type="dxa"/>
            <w:tcBorders>
              <w:top w:val="single" w:sz="4" w:space="0" w:color="auto"/>
            </w:tcBorders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Vertical (between farmers and </w:t>
            </w:r>
            <w:r w:rsidR="008763E9" w:rsidRPr="005157C8">
              <w:rPr>
                <w:rFonts w:ascii="Times New Roman" w:hAnsi="Times New Roman" w:cs="Times New Roman"/>
              </w:rPr>
              <w:t xml:space="preserve">output </w:t>
            </w:r>
            <w:r w:rsidRPr="005157C8">
              <w:rPr>
                <w:rFonts w:ascii="Times New Roman" w:hAnsi="Times New Roman" w:cs="Times New Roman"/>
              </w:rPr>
              <w:t>market actors)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30B" w:rsidRPr="005157C8" w:rsidRDefault="00164ADB" w:rsidP="00164ADB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Form business linkages and e</w:t>
            </w:r>
            <w:r w:rsidR="0024530B" w:rsidRPr="005157C8">
              <w:rPr>
                <w:rFonts w:ascii="Times New Roman" w:hAnsi="Times New Roman" w:cs="Times New Roman"/>
              </w:rPr>
              <w:t xml:space="preserve">nhance trust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30B" w:rsidRPr="005157C8" w:rsidRDefault="008B5614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Installation by </w:t>
            </w:r>
            <w:r w:rsidR="00F44E3E" w:rsidRPr="005157C8">
              <w:rPr>
                <w:rFonts w:ascii="Times New Roman" w:hAnsi="Times New Roman" w:cs="Times New Roman"/>
              </w:rPr>
              <w:t xml:space="preserve">DFBA </w:t>
            </w:r>
            <w:r w:rsidRPr="005157C8">
              <w:rPr>
                <w:rFonts w:ascii="Times New Roman" w:hAnsi="Times New Roman" w:cs="Times New Roman"/>
              </w:rPr>
              <w:t>of</w:t>
            </w:r>
            <w:r w:rsidR="00F44E3E" w:rsidRPr="005157C8">
              <w:rPr>
                <w:rFonts w:ascii="Times New Roman" w:hAnsi="Times New Roman" w:cs="Times New Roman"/>
              </w:rPr>
              <w:t xml:space="preserve"> CP for bulking and </w:t>
            </w:r>
            <w:r w:rsidR="00090FFB" w:rsidRPr="005157C8">
              <w:rPr>
                <w:rFonts w:ascii="Times New Roman" w:hAnsi="Times New Roman" w:cs="Times New Roman"/>
              </w:rPr>
              <w:t>facilitat</w:t>
            </w:r>
            <w:r w:rsidRPr="005157C8">
              <w:rPr>
                <w:rFonts w:ascii="Times New Roman" w:hAnsi="Times New Roman" w:cs="Times New Roman"/>
              </w:rPr>
              <w:t>ing</w:t>
            </w:r>
            <w:r w:rsidR="00090FFB" w:rsidRPr="005157C8">
              <w:rPr>
                <w:rFonts w:ascii="Times New Roman" w:hAnsi="Times New Roman" w:cs="Times New Roman"/>
              </w:rPr>
              <w:t xml:space="preserve"> </w:t>
            </w:r>
            <w:r w:rsidR="0024530B" w:rsidRPr="005157C8">
              <w:rPr>
                <w:rFonts w:ascii="Times New Roman" w:hAnsi="Times New Roman" w:cs="Times New Roman"/>
              </w:rPr>
              <w:t>collective marketing</w:t>
            </w:r>
            <w:r w:rsidR="008219CD" w:rsidRPr="005157C8">
              <w:rPr>
                <w:rFonts w:ascii="Times New Roman" w:hAnsi="Times New Roman" w:cs="Times New Roman"/>
              </w:rPr>
              <w:t xml:space="preserve"> </w:t>
            </w:r>
            <w:r w:rsidR="00090FFB" w:rsidRPr="005157C8">
              <w:rPr>
                <w:rFonts w:ascii="Times New Roman" w:hAnsi="Times New Roman" w:cs="Times New Roman"/>
              </w:rPr>
              <w:t xml:space="preserve"> of quality milk </w:t>
            </w:r>
            <w:r w:rsidR="008219CD" w:rsidRPr="005157C8">
              <w:rPr>
                <w:rFonts w:ascii="Times New Roman" w:hAnsi="Times New Roman" w:cs="Times New Roman"/>
              </w:rPr>
              <w:t>(broker role)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30B" w:rsidRPr="005157C8" w:rsidRDefault="0024530B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DFBAs signed supply contracts with processors aimed at consolidating the</w:t>
            </w:r>
            <w:r w:rsidR="00C14BBA" w:rsidRPr="005157C8">
              <w:rPr>
                <w:rFonts w:ascii="Times New Roman" w:hAnsi="Times New Roman" w:cs="Times New Roman"/>
              </w:rPr>
              <w:t xml:space="preserve"> DFBAs’</w:t>
            </w:r>
            <w:r w:rsidRPr="005157C8">
              <w:rPr>
                <w:rFonts w:ascii="Times New Roman" w:hAnsi="Times New Roman" w:cs="Times New Roman"/>
              </w:rPr>
              <w:t xml:space="preserve"> position in the market and enhanc</w:t>
            </w:r>
            <w:r w:rsidR="003262AC" w:rsidRPr="005157C8">
              <w:rPr>
                <w:rFonts w:ascii="Times New Roman" w:hAnsi="Times New Roman" w:cs="Times New Roman"/>
              </w:rPr>
              <w:t>ing</w:t>
            </w:r>
            <w:r w:rsidRPr="005157C8">
              <w:rPr>
                <w:rFonts w:ascii="Times New Roman" w:hAnsi="Times New Roman" w:cs="Times New Roman"/>
              </w:rPr>
              <w:t xml:space="preserve"> trust with their farmer members and with the processing companies</w:t>
            </w:r>
            <w:r w:rsidR="008B5614" w:rsidRPr="005157C8">
              <w:rPr>
                <w:rFonts w:ascii="Times New Roman" w:hAnsi="Times New Roman" w:cs="Times New Roman"/>
              </w:rPr>
              <w:t>.</w:t>
            </w:r>
            <w:r w:rsidRPr="005157C8">
              <w:rPr>
                <w:rFonts w:ascii="Times New Roman" w:hAnsi="Times New Roman" w:cs="Times New Roman"/>
              </w:rPr>
              <w:t xml:space="preserve"> The contract was</w:t>
            </w:r>
            <w:r w:rsidR="003262AC" w:rsidRPr="005157C8">
              <w:rPr>
                <w:rFonts w:ascii="Times New Roman" w:hAnsi="Times New Roman" w:cs="Times New Roman"/>
              </w:rPr>
              <w:t xml:space="preserve"> intended</w:t>
            </w:r>
            <w:r w:rsidRPr="005157C8">
              <w:rPr>
                <w:rFonts w:ascii="Times New Roman" w:hAnsi="Times New Roman" w:cs="Times New Roman"/>
              </w:rPr>
              <w:t xml:space="preserve"> to stabili</w:t>
            </w:r>
            <w:r w:rsidR="003262AC" w:rsidRPr="005157C8">
              <w:rPr>
                <w:rFonts w:ascii="Times New Roman" w:hAnsi="Times New Roman" w:cs="Times New Roman"/>
              </w:rPr>
              <w:t>s</w:t>
            </w:r>
            <w:r w:rsidRPr="005157C8">
              <w:rPr>
                <w:rFonts w:ascii="Times New Roman" w:hAnsi="Times New Roman" w:cs="Times New Roman"/>
              </w:rPr>
              <w:t>e prices and restore farmers</w:t>
            </w:r>
            <w:r w:rsidR="00C14BBA" w:rsidRPr="005157C8">
              <w:rPr>
                <w:rFonts w:ascii="Times New Roman" w:hAnsi="Times New Roman" w:cs="Times New Roman"/>
              </w:rPr>
              <w:t>’</w:t>
            </w:r>
            <w:r w:rsidRPr="005157C8">
              <w:rPr>
                <w:rFonts w:ascii="Times New Roman" w:hAnsi="Times New Roman" w:cs="Times New Roman"/>
              </w:rPr>
              <w:t xml:space="preserve"> trust in the market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30B" w:rsidRPr="005157C8" w:rsidRDefault="00F118C8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Because</w:t>
            </w:r>
            <w:r w:rsidR="0024530B" w:rsidRPr="005157C8">
              <w:rPr>
                <w:rFonts w:ascii="Times New Roman" w:hAnsi="Times New Roman" w:cs="Times New Roman"/>
              </w:rPr>
              <w:t xml:space="preserve"> seasonality affect</w:t>
            </w:r>
            <w:r w:rsidR="00C14BBA" w:rsidRPr="005157C8">
              <w:rPr>
                <w:rFonts w:ascii="Times New Roman" w:hAnsi="Times New Roman" w:cs="Times New Roman"/>
              </w:rPr>
              <w:t>s</w:t>
            </w:r>
            <w:r w:rsidR="0024530B" w:rsidRPr="005157C8">
              <w:rPr>
                <w:rFonts w:ascii="Times New Roman" w:hAnsi="Times New Roman" w:cs="Times New Roman"/>
              </w:rPr>
              <w:t xml:space="preserve"> milk volumes, processors </w:t>
            </w:r>
            <w:r w:rsidR="008B5614" w:rsidRPr="005157C8">
              <w:rPr>
                <w:rFonts w:ascii="Times New Roman" w:hAnsi="Times New Roman" w:cs="Times New Roman"/>
              </w:rPr>
              <w:t>a</w:t>
            </w:r>
            <w:r w:rsidR="0024530B" w:rsidRPr="005157C8">
              <w:rPr>
                <w:rFonts w:ascii="Times New Roman" w:hAnsi="Times New Roman" w:cs="Times New Roman"/>
              </w:rPr>
              <w:t>re not consistent about prices and milk quality issues (information asymmetry). This affect</w:t>
            </w:r>
            <w:r w:rsidR="008B5614" w:rsidRPr="005157C8">
              <w:rPr>
                <w:rFonts w:ascii="Times New Roman" w:hAnsi="Times New Roman" w:cs="Times New Roman"/>
              </w:rPr>
              <w:t>s</w:t>
            </w:r>
            <w:r w:rsidR="0024530B" w:rsidRPr="005157C8">
              <w:rPr>
                <w:rFonts w:ascii="Times New Roman" w:hAnsi="Times New Roman" w:cs="Times New Roman"/>
              </w:rPr>
              <w:t xml:space="preserve">  farmers</w:t>
            </w:r>
            <w:r w:rsidRPr="005157C8">
              <w:rPr>
                <w:rFonts w:ascii="Times New Roman" w:hAnsi="Times New Roman" w:cs="Times New Roman"/>
              </w:rPr>
              <w:t>’</w:t>
            </w:r>
            <w:r w:rsidR="0024530B" w:rsidRPr="005157C8">
              <w:rPr>
                <w:rFonts w:ascii="Times New Roman" w:hAnsi="Times New Roman" w:cs="Times New Roman"/>
              </w:rPr>
              <w:t xml:space="preserve"> trust of the processors and their loyalty</w:t>
            </w:r>
          </w:p>
        </w:tc>
      </w:tr>
      <w:tr w:rsidR="00090FFB" w:rsidRPr="005157C8" w:rsidTr="00EF2443">
        <w:tc>
          <w:tcPr>
            <w:tcW w:w="2834" w:type="dxa"/>
            <w:tcBorders>
              <w:bottom w:val="single" w:sz="4" w:space="0" w:color="auto"/>
            </w:tcBorders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Reduce inconsistency and uncertainty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530B" w:rsidRPr="005157C8" w:rsidRDefault="008B5614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Negotiation by </w:t>
            </w:r>
            <w:r w:rsidR="00F44E3E" w:rsidRPr="005157C8">
              <w:rPr>
                <w:rFonts w:ascii="Times New Roman" w:hAnsi="Times New Roman" w:cs="Times New Roman"/>
              </w:rPr>
              <w:t xml:space="preserve">DFBA </w:t>
            </w:r>
            <w:r w:rsidRPr="005157C8">
              <w:rPr>
                <w:rFonts w:ascii="Times New Roman" w:hAnsi="Times New Roman" w:cs="Times New Roman"/>
              </w:rPr>
              <w:t xml:space="preserve">of </w:t>
            </w:r>
            <w:r w:rsidR="008219CD" w:rsidRPr="005157C8">
              <w:rPr>
                <w:rFonts w:ascii="Times New Roman" w:hAnsi="Times New Roman" w:cs="Times New Roman"/>
              </w:rPr>
              <w:t>supply agreements with buyer</w:t>
            </w:r>
            <w:r w:rsidR="00E62FAC" w:rsidRPr="005157C8">
              <w:rPr>
                <w:rFonts w:ascii="Times New Roman" w:hAnsi="Times New Roman" w:cs="Times New Roman"/>
              </w:rPr>
              <w:t>s</w:t>
            </w:r>
            <w:r w:rsidR="008219CD" w:rsidRPr="005157C8">
              <w:rPr>
                <w:rFonts w:ascii="Times New Roman" w:hAnsi="Times New Roman" w:cs="Times New Roman"/>
              </w:rPr>
              <w:t xml:space="preserve"> to ensure </w:t>
            </w:r>
            <w:r w:rsidR="00090FFB" w:rsidRPr="005157C8">
              <w:rPr>
                <w:rFonts w:ascii="Times New Roman" w:hAnsi="Times New Roman" w:cs="Times New Roman"/>
              </w:rPr>
              <w:t>(quality)</w:t>
            </w:r>
            <w:r w:rsidR="008219CD" w:rsidRPr="005157C8">
              <w:rPr>
                <w:rFonts w:ascii="Times New Roman" w:hAnsi="Times New Roman" w:cs="Times New Roman"/>
              </w:rPr>
              <w:t xml:space="preserve"> market for both farmers and processors (broker, one</w:t>
            </w:r>
            <w:r w:rsidR="005E5E85" w:rsidRPr="005157C8">
              <w:rPr>
                <w:rFonts w:ascii="Times New Roman" w:hAnsi="Times New Roman" w:cs="Times New Roman"/>
              </w:rPr>
              <w:t>-</w:t>
            </w:r>
            <w:r w:rsidR="008219CD" w:rsidRPr="005157C8">
              <w:rPr>
                <w:rFonts w:ascii="Times New Roman" w:hAnsi="Times New Roman" w:cs="Times New Roman"/>
              </w:rPr>
              <w:t>stop shop</w:t>
            </w:r>
            <w:r w:rsidR="00146BB5" w:rsidRPr="005157C8">
              <w:rPr>
                <w:rFonts w:ascii="Times New Roman" w:hAnsi="Times New Roman" w:cs="Times New Roman"/>
              </w:rPr>
              <w:t xml:space="preserve"> role</w:t>
            </w:r>
            <w:r w:rsidR="008219CD" w:rsidRPr="005157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530B" w:rsidRPr="005157C8" w:rsidRDefault="0024530B" w:rsidP="00C14BBA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Access to servi</w:t>
            </w:r>
            <w:r w:rsidR="00C14BBA" w:rsidRPr="005157C8">
              <w:rPr>
                <w:rFonts w:ascii="Times New Roman" w:hAnsi="Times New Roman" w:cs="Times New Roman"/>
              </w:rPr>
              <w:t xml:space="preserve">ces offered through the hub aimed </w:t>
            </w:r>
            <w:r w:rsidRPr="005157C8">
              <w:rPr>
                <w:rFonts w:ascii="Times New Roman" w:hAnsi="Times New Roman" w:cs="Times New Roman"/>
              </w:rPr>
              <w:t xml:space="preserve">to reduce inconsistency and uncertainty of farmers delivering milk </w:t>
            </w:r>
            <w:r w:rsidR="00C14BBA" w:rsidRPr="005157C8">
              <w:rPr>
                <w:rFonts w:ascii="Times New Roman" w:hAnsi="Times New Roman" w:cs="Times New Roman"/>
              </w:rPr>
              <w:t>to</w:t>
            </w:r>
            <w:r w:rsidRPr="005157C8">
              <w:rPr>
                <w:rFonts w:ascii="Times New Roman" w:hAnsi="Times New Roman" w:cs="Times New Roman"/>
              </w:rPr>
              <w:t xml:space="preserve"> the DFBA for collective marketing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530B" w:rsidRPr="005157C8" w:rsidRDefault="00F118C8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Farmers’ divided loyalty </w:t>
            </w:r>
            <w:r w:rsidR="0024530B" w:rsidRPr="005157C8">
              <w:rPr>
                <w:rFonts w:ascii="Times New Roman" w:hAnsi="Times New Roman" w:cs="Times New Roman"/>
              </w:rPr>
              <w:t>(due to alternative</w:t>
            </w:r>
            <w:r w:rsidR="008B5614" w:rsidRPr="005157C8">
              <w:rPr>
                <w:rFonts w:ascii="Times New Roman" w:hAnsi="Times New Roman" w:cs="Times New Roman"/>
              </w:rPr>
              <w:t>,</w:t>
            </w:r>
            <w:r w:rsidR="0024530B" w:rsidRPr="005157C8">
              <w:rPr>
                <w:rFonts w:ascii="Times New Roman" w:hAnsi="Times New Roman" w:cs="Times New Roman"/>
              </w:rPr>
              <w:t xml:space="preserve"> attractive markets) result</w:t>
            </w:r>
            <w:r w:rsidR="008B5614" w:rsidRPr="005157C8">
              <w:rPr>
                <w:rFonts w:ascii="Times New Roman" w:hAnsi="Times New Roman" w:cs="Times New Roman"/>
              </w:rPr>
              <w:t>s</w:t>
            </w:r>
            <w:r w:rsidR="0024530B" w:rsidRPr="005157C8">
              <w:rPr>
                <w:rFonts w:ascii="Times New Roman" w:hAnsi="Times New Roman" w:cs="Times New Roman"/>
              </w:rPr>
              <w:t xml:space="preserve"> in side</w:t>
            </w:r>
            <w:r w:rsidRPr="005157C8">
              <w:rPr>
                <w:rFonts w:ascii="Times New Roman" w:hAnsi="Times New Roman" w:cs="Times New Roman"/>
              </w:rPr>
              <w:t>-</w:t>
            </w:r>
            <w:r w:rsidR="0024530B" w:rsidRPr="005157C8">
              <w:rPr>
                <w:rFonts w:ascii="Times New Roman" w:hAnsi="Times New Roman" w:cs="Times New Roman"/>
              </w:rPr>
              <w:t>selling and fragment</w:t>
            </w:r>
            <w:r w:rsidRPr="005157C8">
              <w:rPr>
                <w:rFonts w:ascii="Times New Roman" w:hAnsi="Times New Roman" w:cs="Times New Roman"/>
              </w:rPr>
              <w:t>ation</w:t>
            </w:r>
            <w:r w:rsidR="0024530B" w:rsidRPr="005157C8">
              <w:rPr>
                <w:rFonts w:ascii="Times New Roman" w:hAnsi="Times New Roman" w:cs="Times New Roman"/>
              </w:rPr>
              <w:t xml:space="preserve"> of milk due to inconsistency in volumes supplied to the DFBA</w:t>
            </w:r>
          </w:p>
        </w:tc>
      </w:tr>
      <w:tr w:rsidR="00090FFB" w:rsidRPr="005157C8" w:rsidTr="00EF2443">
        <w:trPr>
          <w:trHeight w:val="1553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Balance power relations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530B" w:rsidRPr="005157C8" w:rsidRDefault="008B5614" w:rsidP="00F44E3E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B</w:t>
            </w:r>
            <w:r w:rsidR="00F44E3E" w:rsidRPr="005157C8">
              <w:rPr>
                <w:rFonts w:ascii="Times New Roman" w:hAnsi="Times New Roman" w:cs="Times New Roman"/>
              </w:rPr>
              <w:t>ulking and entering into agreement</w:t>
            </w:r>
            <w:r w:rsidRPr="005157C8">
              <w:rPr>
                <w:rFonts w:ascii="Times New Roman" w:hAnsi="Times New Roman" w:cs="Times New Roman"/>
              </w:rPr>
              <w:t>s</w:t>
            </w:r>
            <w:r w:rsidR="00F44E3E" w:rsidRPr="005157C8">
              <w:rPr>
                <w:rFonts w:ascii="Times New Roman" w:hAnsi="Times New Roman" w:cs="Times New Roman"/>
              </w:rPr>
              <w:t xml:space="preserve"> with buyers to ensure mutual dependence</w:t>
            </w:r>
            <w:r w:rsidR="0024530B" w:rsidRPr="005157C8">
              <w:rPr>
                <w:rFonts w:ascii="Times New Roman" w:hAnsi="Times New Roman" w:cs="Times New Roman"/>
              </w:rPr>
              <w:t>s</w:t>
            </w:r>
            <w:r w:rsidR="00146BB5" w:rsidRPr="005157C8">
              <w:rPr>
                <w:rFonts w:ascii="Times New Roman" w:hAnsi="Times New Roman" w:cs="Times New Roman"/>
              </w:rPr>
              <w:t xml:space="preserve"> (broker)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530B" w:rsidRPr="005157C8" w:rsidRDefault="0024530B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The DFBA was able to mobili</w:t>
            </w:r>
            <w:r w:rsidR="008B5614" w:rsidRPr="005157C8">
              <w:rPr>
                <w:rFonts w:ascii="Times New Roman" w:hAnsi="Times New Roman" w:cs="Times New Roman"/>
              </w:rPr>
              <w:t>s</w:t>
            </w:r>
            <w:r w:rsidRPr="005157C8">
              <w:rPr>
                <w:rFonts w:ascii="Times New Roman" w:hAnsi="Times New Roman" w:cs="Times New Roman"/>
              </w:rPr>
              <w:t xml:space="preserve">e milk volumes from farmers and </w:t>
            </w:r>
            <w:r w:rsidR="008B5614" w:rsidRPr="005157C8">
              <w:rPr>
                <w:rFonts w:ascii="Times New Roman" w:hAnsi="Times New Roman" w:cs="Times New Roman"/>
              </w:rPr>
              <w:t>en</w:t>
            </w:r>
            <w:r w:rsidRPr="005157C8">
              <w:rPr>
                <w:rFonts w:ascii="Times New Roman" w:hAnsi="Times New Roman" w:cs="Times New Roman"/>
              </w:rPr>
              <w:t xml:space="preserve">sure quality through chilling. This gave DFBA/farmers some bargaining power and resulted in higher prices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530B" w:rsidRPr="005157C8" w:rsidRDefault="0024530B" w:rsidP="00EF244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Dairy processors ha</w:t>
            </w:r>
            <w:r w:rsidR="008B5614" w:rsidRPr="005157C8">
              <w:rPr>
                <w:rFonts w:ascii="Times New Roman" w:hAnsi="Times New Roman" w:cs="Times New Roman"/>
              </w:rPr>
              <w:t>ve a</w:t>
            </w:r>
            <w:r w:rsidRPr="005157C8">
              <w:rPr>
                <w:rFonts w:ascii="Times New Roman" w:hAnsi="Times New Roman" w:cs="Times New Roman"/>
              </w:rPr>
              <w:t xml:space="preserve"> relative</w:t>
            </w:r>
            <w:r w:rsidR="00EF2443" w:rsidRPr="005157C8">
              <w:rPr>
                <w:rFonts w:ascii="Times New Roman" w:hAnsi="Times New Roman" w:cs="Times New Roman"/>
              </w:rPr>
              <w:t>ly</w:t>
            </w:r>
            <w:r w:rsidRPr="005157C8">
              <w:rPr>
                <w:rFonts w:ascii="Times New Roman" w:hAnsi="Times New Roman" w:cs="Times New Roman"/>
              </w:rPr>
              <w:t xml:space="preserve"> monopol</w:t>
            </w:r>
            <w:r w:rsidR="00EF2443" w:rsidRPr="005157C8">
              <w:rPr>
                <w:rFonts w:ascii="Times New Roman" w:hAnsi="Times New Roman" w:cs="Times New Roman"/>
              </w:rPr>
              <w:t>istic</w:t>
            </w:r>
            <w:r w:rsidRPr="005157C8">
              <w:rPr>
                <w:rFonts w:ascii="Times New Roman" w:hAnsi="Times New Roman" w:cs="Times New Roman"/>
              </w:rPr>
              <w:t xml:space="preserve"> market </w:t>
            </w:r>
            <w:r w:rsidR="00EF2443" w:rsidRPr="005157C8">
              <w:rPr>
                <w:rFonts w:ascii="Times New Roman" w:hAnsi="Times New Roman" w:cs="Times New Roman"/>
              </w:rPr>
              <w:t xml:space="preserve">position vis-à-vis </w:t>
            </w:r>
            <w:r w:rsidRPr="005157C8">
              <w:rPr>
                <w:rFonts w:ascii="Times New Roman" w:hAnsi="Times New Roman" w:cs="Times New Roman"/>
              </w:rPr>
              <w:t xml:space="preserve">the DFBAs who </w:t>
            </w:r>
            <w:r w:rsidR="008B5614" w:rsidRPr="005157C8">
              <w:rPr>
                <w:rFonts w:ascii="Times New Roman" w:hAnsi="Times New Roman" w:cs="Times New Roman"/>
              </w:rPr>
              <w:t>a</w:t>
            </w:r>
            <w:r w:rsidRPr="005157C8">
              <w:rPr>
                <w:rFonts w:ascii="Times New Roman" w:hAnsi="Times New Roman" w:cs="Times New Roman"/>
              </w:rPr>
              <w:t>re</w:t>
            </w:r>
            <w:r w:rsidR="008B5614" w:rsidRPr="005157C8">
              <w:rPr>
                <w:rFonts w:ascii="Times New Roman" w:hAnsi="Times New Roman" w:cs="Times New Roman"/>
              </w:rPr>
              <w:t xml:space="preserve"> targeting the cold milk chain</w:t>
            </w:r>
          </w:p>
        </w:tc>
      </w:tr>
      <w:tr w:rsidR="00090FFB" w:rsidRPr="005157C8" w:rsidTr="00871713">
        <w:tc>
          <w:tcPr>
            <w:tcW w:w="2834" w:type="dxa"/>
            <w:tcBorders>
              <w:top w:val="single" w:sz="4" w:space="0" w:color="auto"/>
            </w:tcBorders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Vertical (between farmers and input/innovation support service actors)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30B" w:rsidRPr="005157C8" w:rsidRDefault="00164AD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Enhance business links and i</w:t>
            </w:r>
            <w:r w:rsidR="0024530B" w:rsidRPr="005157C8">
              <w:rPr>
                <w:rFonts w:ascii="Times New Roman" w:hAnsi="Times New Roman" w:cs="Times New Roman"/>
              </w:rPr>
              <w:t>mprove reliability and commitment in input service delivery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30B" w:rsidRPr="005157C8" w:rsidRDefault="00146BB5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Facilitat</w:t>
            </w:r>
            <w:r w:rsidR="008B5614" w:rsidRPr="005157C8">
              <w:rPr>
                <w:rFonts w:ascii="Times New Roman" w:hAnsi="Times New Roman" w:cs="Times New Roman"/>
              </w:rPr>
              <w:t>ing</w:t>
            </w:r>
            <w:r w:rsidR="0024530B" w:rsidRPr="005157C8">
              <w:rPr>
                <w:rFonts w:ascii="Times New Roman" w:hAnsi="Times New Roman" w:cs="Times New Roman"/>
              </w:rPr>
              <w:t xml:space="preserve"> linkages with  various </w:t>
            </w:r>
            <w:r w:rsidR="008219CD" w:rsidRPr="005157C8">
              <w:rPr>
                <w:rFonts w:ascii="Times New Roman" w:hAnsi="Times New Roman" w:cs="Times New Roman"/>
              </w:rPr>
              <w:t>inputs/</w:t>
            </w:r>
            <w:r w:rsidR="0024530B" w:rsidRPr="005157C8">
              <w:rPr>
                <w:rFonts w:ascii="Times New Roman" w:hAnsi="Times New Roman" w:cs="Times New Roman"/>
              </w:rPr>
              <w:t xml:space="preserve">service providers </w:t>
            </w:r>
            <w:r w:rsidRPr="005157C8">
              <w:rPr>
                <w:rFonts w:ascii="Times New Roman" w:hAnsi="Times New Roman" w:cs="Times New Roman"/>
              </w:rPr>
              <w:t>(broker and one</w:t>
            </w:r>
            <w:r w:rsidR="00F118C8" w:rsidRPr="005157C8">
              <w:rPr>
                <w:rFonts w:ascii="Times New Roman" w:hAnsi="Times New Roman" w:cs="Times New Roman"/>
              </w:rPr>
              <w:t>-</w:t>
            </w:r>
            <w:r w:rsidRPr="005157C8">
              <w:rPr>
                <w:rFonts w:ascii="Times New Roman" w:hAnsi="Times New Roman" w:cs="Times New Roman"/>
              </w:rPr>
              <w:t>stop shop role)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30B" w:rsidRPr="005157C8" w:rsidRDefault="0024530B" w:rsidP="00F118C8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Access to services enhanced  through the hub arrangements interlinked through the check-off  system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Problems with the quality of some service delivery due to lack of  adequate monitoring </w:t>
            </w:r>
          </w:p>
        </w:tc>
      </w:tr>
      <w:tr w:rsidR="00090FFB" w:rsidRPr="005157C8" w:rsidTr="00EF2443">
        <w:tc>
          <w:tcPr>
            <w:tcW w:w="2834" w:type="dxa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530B" w:rsidRPr="005157C8" w:rsidRDefault="00F118C8" w:rsidP="00F118C8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Enhance quality assurance </w:t>
            </w:r>
            <w:r w:rsidR="0024530B" w:rsidRPr="005157C8">
              <w:rPr>
                <w:rFonts w:ascii="Times New Roman" w:hAnsi="Times New Roman" w:cs="Times New Roman"/>
              </w:rPr>
              <w:t>and adequateness of support</w:t>
            </w:r>
          </w:p>
        </w:tc>
        <w:tc>
          <w:tcPr>
            <w:tcW w:w="2835" w:type="dxa"/>
          </w:tcPr>
          <w:p w:rsidR="0024530B" w:rsidRPr="005157C8" w:rsidRDefault="0024530B" w:rsidP="00F118C8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Clustering of service providers (e.g. AI, AHA, CESP) and matching them to farmers </w:t>
            </w:r>
            <w:r w:rsidR="00146BB5" w:rsidRPr="005157C8">
              <w:rPr>
                <w:rFonts w:ascii="Times New Roman" w:hAnsi="Times New Roman" w:cs="Times New Roman"/>
              </w:rPr>
              <w:t>through check-off system</w:t>
            </w:r>
            <w:r w:rsidR="008B5614" w:rsidRPr="005157C8">
              <w:rPr>
                <w:rFonts w:ascii="Times New Roman" w:hAnsi="Times New Roman" w:cs="Times New Roman"/>
              </w:rPr>
              <w:t xml:space="preserve"> </w:t>
            </w:r>
            <w:r w:rsidR="00146BB5" w:rsidRPr="005157C8">
              <w:rPr>
                <w:rFonts w:ascii="Times New Roman" w:hAnsi="Times New Roman" w:cs="Times New Roman"/>
              </w:rPr>
              <w:t>(cluster, one</w:t>
            </w:r>
            <w:r w:rsidR="00F118C8" w:rsidRPr="005157C8">
              <w:rPr>
                <w:rFonts w:ascii="Times New Roman" w:hAnsi="Times New Roman" w:cs="Times New Roman"/>
              </w:rPr>
              <w:t>-</w:t>
            </w:r>
            <w:r w:rsidR="00146BB5" w:rsidRPr="005157C8">
              <w:rPr>
                <w:rFonts w:ascii="Times New Roman" w:hAnsi="Times New Roman" w:cs="Times New Roman"/>
              </w:rPr>
              <w:t>stop shop role)</w:t>
            </w:r>
          </w:p>
        </w:tc>
        <w:tc>
          <w:tcPr>
            <w:tcW w:w="2835" w:type="dxa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Services providers directly linked to the DFBA and paid through the check-off system. This was expected to enhance quality and adequateness of service delivery</w:t>
            </w:r>
          </w:p>
        </w:tc>
        <w:tc>
          <w:tcPr>
            <w:tcW w:w="2835" w:type="dxa"/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Emerging problems with quality and adequateness of some of the services (e.g. AI and extension)</w:t>
            </w:r>
          </w:p>
        </w:tc>
      </w:tr>
      <w:tr w:rsidR="00090FFB" w:rsidRPr="005157C8" w:rsidTr="00EF2443">
        <w:tc>
          <w:tcPr>
            <w:tcW w:w="2834" w:type="dxa"/>
            <w:tcBorders>
              <w:bottom w:val="single" w:sz="4" w:space="0" w:color="auto"/>
            </w:tcBorders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530B" w:rsidRPr="005157C8" w:rsidRDefault="0024530B" w:rsidP="00871713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Balance power relations and enhance trust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0FFB" w:rsidRPr="005157C8" w:rsidRDefault="00090FFB" w:rsidP="008B561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Linking service providers to farmers through service agreements and check</w:t>
            </w:r>
            <w:r w:rsidR="008B5614" w:rsidRPr="005157C8">
              <w:rPr>
                <w:rFonts w:ascii="Times New Roman" w:hAnsi="Times New Roman" w:cs="Times New Roman"/>
              </w:rPr>
              <w:t>-</w:t>
            </w:r>
            <w:r w:rsidRPr="005157C8">
              <w:rPr>
                <w:rFonts w:ascii="Times New Roman" w:hAnsi="Times New Roman" w:cs="Times New Roman"/>
              </w:rPr>
              <w:t xml:space="preserve">off </w:t>
            </w:r>
            <w:r w:rsidR="00EF2443" w:rsidRPr="005157C8">
              <w:rPr>
                <w:rFonts w:ascii="Times New Roman" w:hAnsi="Times New Roman" w:cs="Times New Roman"/>
              </w:rPr>
              <w:t xml:space="preserve">systems </w:t>
            </w:r>
            <w:r w:rsidRPr="005157C8">
              <w:rPr>
                <w:rFonts w:ascii="Times New Roman" w:hAnsi="Times New Roman" w:cs="Times New Roman"/>
              </w:rPr>
              <w:t>to en</w:t>
            </w:r>
            <w:r w:rsidR="00BF5EC7" w:rsidRPr="005157C8">
              <w:rPr>
                <w:rFonts w:ascii="Times New Roman" w:hAnsi="Times New Roman" w:cs="Times New Roman"/>
              </w:rPr>
              <w:t>sure access (broker and one</w:t>
            </w:r>
            <w:r w:rsidR="00F118C8" w:rsidRPr="005157C8">
              <w:rPr>
                <w:rFonts w:ascii="Times New Roman" w:hAnsi="Times New Roman" w:cs="Times New Roman"/>
              </w:rPr>
              <w:t>-</w:t>
            </w:r>
            <w:r w:rsidR="00BF5EC7" w:rsidRPr="005157C8">
              <w:rPr>
                <w:rFonts w:ascii="Times New Roman" w:hAnsi="Times New Roman" w:cs="Times New Roman"/>
              </w:rPr>
              <w:t>stop shop role)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530B" w:rsidRPr="005157C8" w:rsidRDefault="0024530B" w:rsidP="00D81034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>The DFBA offered oversight of service delivery through service agreement and interlinking the services to the check-off system Some services directly integrated into the DFBA (e.g. extension and agr</w:t>
            </w:r>
            <w:r w:rsidR="00D81034" w:rsidRPr="005157C8">
              <w:rPr>
                <w:rFonts w:ascii="Times New Roman" w:hAnsi="Times New Roman" w:cs="Times New Roman"/>
              </w:rPr>
              <w:t>o</w:t>
            </w:r>
            <w:r w:rsidRPr="005157C8">
              <w:rPr>
                <w:rFonts w:ascii="Times New Roman" w:hAnsi="Times New Roman" w:cs="Times New Roman"/>
              </w:rPr>
              <w:t>- input supplies)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530B" w:rsidRPr="005157C8" w:rsidRDefault="0024530B" w:rsidP="00F118C8">
            <w:pPr>
              <w:rPr>
                <w:rFonts w:ascii="Times New Roman" w:hAnsi="Times New Roman" w:cs="Times New Roman"/>
              </w:rPr>
            </w:pPr>
            <w:r w:rsidRPr="005157C8">
              <w:rPr>
                <w:rFonts w:ascii="Times New Roman" w:hAnsi="Times New Roman" w:cs="Times New Roman"/>
              </w:rPr>
              <w:t xml:space="preserve">Opportunistic behaviour </w:t>
            </w:r>
            <w:r w:rsidR="00F118C8" w:rsidRPr="005157C8">
              <w:rPr>
                <w:rFonts w:ascii="Times New Roman" w:hAnsi="Times New Roman" w:cs="Times New Roman"/>
              </w:rPr>
              <w:t>by</w:t>
            </w:r>
            <w:r w:rsidRPr="005157C8">
              <w:rPr>
                <w:rFonts w:ascii="Times New Roman" w:hAnsi="Times New Roman" w:cs="Times New Roman"/>
              </w:rPr>
              <w:t xml:space="preserve"> some service providers due to gaps in monitoring their relationships and the quality of service delivery (e.g. extension services)</w:t>
            </w:r>
          </w:p>
        </w:tc>
      </w:tr>
    </w:tbl>
    <w:p w:rsidR="0024530B" w:rsidRPr="005157C8" w:rsidRDefault="0024530B" w:rsidP="00245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30B" w:rsidRPr="00EF2443" w:rsidRDefault="00EF2443">
      <w:pPr>
        <w:rPr>
          <w:rFonts w:ascii="Times New Roman" w:hAnsi="Times New Roman" w:cs="Times New Roman"/>
        </w:rPr>
      </w:pPr>
      <w:r w:rsidRPr="005157C8">
        <w:rPr>
          <w:rFonts w:ascii="Times New Roman" w:hAnsi="Times New Roman" w:cs="Times New Roman"/>
        </w:rPr>
        <w:t>Note: AI = artificial insemination; AHA = animal health assistants; CESP = community extension service provider</w:t>
      </w:r>
      <w:r w:rsidR="00A52D10" w:rsidRPr="005157C8">
        <w:rPr>
          <w:rFonts w:ascii="Times New Roman" w:hAnsi="Times New Roman" w:cs="Times New Roman"/>
        </w:rPr>
        <w:t>; CP = chilling plant; DFBA = dairy farmers business associations; DMG = dairy management group</w:t>
      </w:r>
    </w:p>
    <w:sectPr w:rsidR="0024530B" w:rsidRPr="00EF2443" w:rsidSect="002453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0B"/>
    <w:rsid w:val="000753CF"/>
    <w:rsid w:val="00087708"/>
    <w:rsid w:val="00090FFB"/>
    <w:rsid w:val="00146BB5"/>
    <w:rsid w:val="001550E4"/>
    <w:rsid w:val="0016022D"/>
    <w:rsid w:val="00164ADB"/>
    <w:rsid w:val="0024530B"/>
    <w:rsid w:val="002A47B3"/>
    <w:rsid w:val="003262AC"/>
    <w:rsid w:val="005157C8"/>
    <w:rsid w:val="005C5124"/>
    <w:rsid w:val="005E5E85"/>
    <w:rsid w:val="0064409A"/>
    <w:rsid w:val="007602F5"/>
    <w:rsid w:val="008219CD"/>
    <w:rsid w:val="00827CCA"/>
    <w:rsid w:val="008763E9"/>
    <w:rsid w:val="008B5614"/>
    <w:rsid w:val="009231C9"/>
    <w:rsid w:val="009F3C4C"/>
    <w:rsid w:val="00A52D10"/>
    <w:rsid w:val="00A61509"/>
    <w:rsid w:val="00BF5EC7"/>
    <w:rsid w:val="00C14BBA"/>
    <w:rsid w:val="00C4333B"/>
    <w:rsid w:val="00D81034"/>
    <w:rsid w:val="00E62FAC"/>
    <w:rsid w:val="00E63EE3"/>
    <w:rsid w:val="00EF2443"/>
    <w:rsid w:val="00F118C8"/>
    <w:rsid w:val="00F44E3E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0B"/>
    <w:rPr>
      <w:rFonts w:ascii="Verdana" w:eastAsia="Calibri" w:hAnsi="Verdana" w:cs="Mangal"/>
      <w:sz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30B"/>
    <w:pPr>
      <w:spacing w:after="0" w:line="240" w:lineRule="auto"/>
    </w:pPr>
    <w:rPr>
      <w:rFonts w:ascii="Verdana" w:eastAsia="Calibri" w:hAnsi="Verdana" w:cs="Mang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7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708"/>
    <w:rPr>
      <w:rFonts w:ascii="Verdana" w:eastAsia="Calibri" w:hAnsi="Verdana" w:cs="Mang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708"/>
    <w:rPr>
      <w:rFonts w:ascii="Verdana" w:eastAsia="Calibri" w:hAnsi="Verdana" w:cs="Mang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08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0B"/>
    <w:rPr>
      <w:rFonts w:ascii="Verdana" w:eastAsia="Calibri" w:hAnsi="Verdana" w:cs="Mangal"/>
      <w:sz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30B"/>
    <w:pPr>
      <w:spacing w:after="0" w:line="240" w:lineRule="auto"/>
    </w:pPr>
    <w:rPr>
      <w:rFonts w:ascii="Verdana" w:eastAsia="Calibri" w:hAnsi="Verdana" w:cs="Mang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7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708"/>
    <w:rPr>
      <w:rFonts w:ascii="Verdana" w:eastAsia="Calibri" w:hAnsi="Verdana" w:cs="Mang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708"/>
    <w:rPr>
      <w:rFonts w:ascii="Verdana" w:eastAsia="Calibri" w:hAnsi="Verdana" w:cs="Mang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08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Duncan Yardy</cp:lastModifiedBy>
  <cp:revision>2</cp:revision>
  <cp:lastPrinted>2016-02-19T16:53:00Z</cp:lastPrinted>
  <dcterms:created xsi:type="dcterms:W3CDTF">2016-05-24T13:22:00Z</dcterms:created>
  <dcterms:modified xsi:type="dcterms:W3CDTF">2016-05-24T13:22:00Z</dcterms:modified>
</cp:coreProperties>
</file>