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CFB" w14:textId="1281C5A5" w:rsidR="00224CF0" w:rsidRDefault="00224CF0" w:rsidP="0045399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for:</w:t>
      </w:r>
    </w:p>
    <w:p w14:paraId="02561BA5" w14:textId="77777777" w:rsidR="00224CF0" w:rsidRPr="00211007" w:rsidRDefault="00224CF0" w:rsidP="00453998">
      <w:pPr>
        <w:spacing w:after="0" w:line="48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039AB55" w14:textId="381C9942" w:rsidR="00011E55" w:rsidRDefault="00886E94" w:rsidP="00453998">
      <w:pPr>
        <w:autoSpaceDE w:val="0"/>
        <w:spacing w:after="0" w:line="480" w:lineRule="auto"/>
        <w:ind w:right="19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Secondary sexual dimorphism in biomass production of </w:t>
      </w:r>
      <w:r w:rsidRPr="00886E9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Ilex </w:t>
      </w:r>
      <w:proofErr w:type="spellStart"/>
      <w:r w:rsidRPr="00886E94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paraguariensis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progenies associated with their provenances and morphotypes</w:t>
      </w:r>
    </w:p>
    <w:p w14:paraId="3C30440E" w14:textId="77777777" w:rsidR="00886E94" w:rsidRPr="00011E55" w:rsidRDefault="00886E94" w:rsidP="00453998">
      <w:pPr>
        <w:autoSpaceDE w:val="0"/>
        <w:spacing w:after="0" w:line="480" w:lineRule="auto"/>
        <w:ind w:right="198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74A148B" w14:textId="48A70195" w:rsidR="00F302FD" w:rsidRDefault="001C28C4" w:rsidP="00453998">
      <w:pPr>
        <w:autoSpaceDE w:val="0"/>
        <w:spacing w:after="0" w:line="480" w:lineRule="auto"/>
        <w:ind w:right="198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B3112">
        <w:rPr>
          <w:rFonts w:ascii="Times New Roman" w:hAnsi="Times New Roman" w:cs="Times New Roman"/>
          <w:i/>
          <w:iCs/>
          <w:sz w:val="24"/>
          <w:szCs w:val="24"/>
        </w:rPr>
        <w:t>Miroslava Rakocevic</w:t>
      </w:r>
      <w:r w:rsidRPr="00BB311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</w:t>
      </w:r>
      <w:r w:rsidR="000F1617" w:rsidRPr="00BB311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B3112">
        <w:rPr>
          <w:rFonts w:ascii="Times New Roman" w:hAnsi="Times New Roman" w:cs="Times New Roman"/>
          <w:i/>
          <w:iCs/>
          <w:sz w:val="24"/>
          <w:szCs w:val="24"/>
        </w:rPr>
        <w:t>*, Aline de Holanda Nunes Maia</w:t>
      </w:r>
      <w:r w:rsidRPr="00BB311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B31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964AD" w:rsidRPr="00BB3112">
        <w:rPr>
          <w:rFonts w:ascii="Times New Roman" w:hAnsi="Times New Roman" w:cs="Times New Roman"/>
          <w:i/>
          <w:iCs/>
          <w:sz w:val="24"/>
          <w:szCs w:val="24"/>
        </w:rPr>
        <w:t>Manoela Mendes Duarte</w:t>
      </w:r>
      <w:r w:rsidR="005964AD" w:rsidRPr="00BB311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5964AD" w:rsidRPr="00BB31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B3112">
        <w:rPr>
          <w:rFonts w:ascii="Times New Roman" w:hAnsi="Times New Roman" w:cs="Times New Roman"/>
          <w:i/>
          <w:iCs/>
          <w:sz w:val="24"/>
          <w:szCs w:val="24"/>
        </w:rPr>
        <w:t>Ivar</w:t>
      </w:r>
      <w:r w:rsidR="0045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3112">
        <w:rPr>
          <w:rFonts w:ascii="Times New Roman" w:hAnsi="Times New Roman" w:cs="Times New Roman"/>
          <w:i/>
          <w:iCs/>
          <w:sz w:val="24"/>
          <w:szCs w:val="24"/>
        </w:rPr>
        <w:t>Wendling</w:t>
      </w:r>
      <w:r w:rsidRPr="00BB311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74B66C63" w14:textId="77777777" w:rsidR="00456E80" w:rsidRPr="00453998" w:rsidRDefault="00456E80" w:rsidP="00453998">
      <w:pPr>
        <w:autoSpaceDE w:val="0"/>
        <w:spacing w:after="0" w:line="480" w:lineRule="auto"/>
        <w:ind w:right="198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14:paraId="70F0F382" w14:textId="50F8975E" w:rsidR="00DD1B83" w:rsidRPr="00886E94" w:rsidRDefault="00F302FD" w:rsidP="00211007">
      <w:pPr>
        <w:spacing w:before="120" w:after="0" w:line="480" w:lineRule="auto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</w:pPr>
      <w:r w:rsidRPr="00886E9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Table S1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Number and </w:t>
      </w:r>
      <w:r w:rsidR="00456E80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frequency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(%) of progenies within </w:t>
      </w:r>
      <w:r w:rsidR="002522D5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six 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provenances that presented secondary sexual dimorphism (SSD)</w:t>
      </w:r>
      <w:r w:rsidR="00F84DF6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regarding yerba</w:t>
      </w:r>
      <w:r w:rsidR="00EA5B67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-</w:t>
      </w:r>
      <w:r w:rsidR="00F84DF6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mate biomass production per plant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in each harvest year. </w:t>
      </w:r>
    </w:p>
    <w:tbl>
      <w:tblPr>
        <w:tblpPr w:leftFromText="187" w:rightFromText="187" w:vertAnchor="text" w:horzAnchor="margin" w:tblpXSpec="center" w:tblpY="45"/>
        <w:tblOverlap w:val="never"/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736"/>
        <w:gridCol w:w="620"/>
        <w:gridCol w:w="647"/>
        <w:gridCol w:w="637"/>
        <w:gridCol w:w="668"/>
        <w:gridCol w:w="697"/>
        <w:gridCol w:w="620"/>
        <w:gridCol w:w="620"/>
        <w:gridCol w:w="965"/>
        <w:gridCol w:w="680"/>
        <w:gridCol w:w="680"/>
        <w:gridCol w:w="680"/>
      </w:tblGrid>
      <w:tr w:rsidR="00886E94" w:rsidRPr="00886E94" w14:paraId="2392503E" w14:textId="77777777" w:rsidTr="00CE771D">
        <w:trPr>
          <w:trHeight w:val="45"/>
        </w:trPr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28E042" w14:textId="182CF7D7" w:rsidR="00DD1B83" w:rsidRPr="00886E94" w:rsidRDefault="00DD1B83" w:rsidP="0021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Provenance</w:t>
            </w:r>
            <w:r w:rsidR="004F7884"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and progeny labeling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00323" w14:textId="77D5FDD2" w:rsidR="00DD1B83" w:rsidRPr="00886E94" w:rsidRDefault="004F7884" w:rsidP="003F47F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Total of</w:t>
            </w:r>
            <w:r w:rsidR="00DD1B83"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progenies tested regarding SSD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55AA3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Number of progenies that presented SSD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3020B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% </w:t>
            </w:r>
            <w:proofErr w:type="gramStart"/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of</w:t>
            </w:r>
            <w:proofErr w:type="gramEnd"/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progeny segregation</w:t>
            </w:r>
          </w:p>
        </w:tc>
      </w:tr>
      <w:tr w:rsidR="00886E94" w:rsidRPr="00886E94" w14:paraId="55CE2A6F" w14:textId="77777777" w:rsidTr="00CE771D">
        <w:trPr>
          <w:trHeight w:val="45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11BF" w14:textId="77777777" w:rsidR="00DD1B83" w:rsidRPr="00886E94" w:rsidRDefault="00DD1B83" w:rsidP="00DD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A134" w14:textId="77777777" w:rsidR="00DD1B83" w:rsidRPr="00886E94" w:rsidRDefault="00DD1B83" w:rsidP="00DD1B83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B3968" w14:textId="77777777" w:rsidR="00DD1B83" w:rsidRPr="00886E94" w:rsidRDefault="00DD1B83" w:rsidP="00DD1B83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962BBC" w14:textId="77777777" w:rsidR="00DD1B83" w:rsidRPr="00886E94" w:rsidRDefault="00DD1B83" w:rsidP="00DD1B83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8CD25" w14:textId="77777777" w:rsidR="00DD1B83" w:rsidRPr="00886E94" w:rsidRDefault="00DD1B83" w:rsidP="00DD1B83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FC67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CDD7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8374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C485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F1D0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1999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AE0E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FB5E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22C66" w14:textId="77777777" w:rsidR="00DD1B83" w:rsidRPr="00886E94" w:rsidRDefault="00DD1B83" w:rsidP="00D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2015</w:t>
            </w:r>
          </w:p>
        </w:tc>
      </w:tr>
      <w:tr w:rsidR="00886E94" w:rsidRPr="00886E94" w14:paraId="57CF8890" w14:textId="77777777" w:rsidTr="00CE771D">
        <w:trPr>
          <w:trHeight w:val="4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B4F2" w14:textId="79CD656B" w:rsidR="007D7FD5" w:rsidRPr="00886E94" w:rsidRDefault="007D7FD5" w:rsidP="007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Iv (1-25)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92D6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DFD4D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B397B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8FA99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B466" w14:textId="3920EB7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6759" w14:textId="079F487B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CA74F" w14:textId="61359219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63B6" w14:textId="382D608A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0B5" w14:textId="79594FF0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44E" w14:textId="1C2E31B2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FB66" w14:textId="1B9CB376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395" w14:textId="07AB516B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8.0</w:t>
            </w:r>
          </w:p>
        </w:tc>
      </w:tr>
      <w:tr w:rsidR="00886E94" w:rsidRPr="00886E94" w14:paraId="1EAC880D" w14:textId="77777777" w:rsidTr="00CE771D">
        <w:trPr>
          <w:trHeight w:val="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E98F" w14:textId="44D5D4AC" w:rsidR="007D7FD5" w:rsidRPr="00886E94" w:rsidRDefault="007D7FD5" w:rsidP="007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 (26-</w:t>
            </w:r>
            <w:proofErr w:type="gramStart"/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50)</w:t>
            </w:r>
            <w:r w:rsidR="00456E80"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*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AE658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39E2E" w14:textId="342F369D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806E0" w14:textId="124F06F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BA1B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8BE1" w14:textId="2C29CA49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0A22" w14:textId="3584AFED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9A90" w14:textId="32B7D27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427C" w14:textId="3B08682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3D0D" w14:textId="4D2DBDC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09CB" w14:textId="6A6B2DB9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424" w14:textId="1F2CB6DC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3949" w14:textId="0D621AD0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5.6</w:t>
            </w:r>
          </w:p>
        </w:tc>
      </w:tr>
      <w:tr w:rsidR="00886E94" w:rsidRPr="00886E94" w14:paraId="1C902B6A" w14:textId="77777777" w:rsidTr="00CE771D">
        <w:trPr>
          <w:trHeight w:val="4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F17" w14:textId="47B7E1AF" w:rsidR="007D7FD5" w:rsidRPr="00886E94" w:rsidRDefault="007D7FD5" w:rsidP="007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BC (51-75)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7736E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3EFEA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7E39C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3BE66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2A05" w14:textId="4B4C83B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4C8EC" w14:textId="4EDF4251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CEE09" w14:textId="2B5B53BC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A31D" w14:textId="7063113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331" w14:textId="6ED5F5BF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E89B" w14:textId="11CA5E9F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8ED" w14:textId="0B907D12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5509" w14:textId="4C97798D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</w:tr>
      <w:tr w:rsidR="00886E94" w:rsidRPr="00886E94" w14:paraId="234EB577" w14:textId="77777777" w:rsidTr="00CE771D">
        <w:trPr>
          <w:trHeight w:val="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F9F" w14:textId="7475D622" w:rsidR="007D7FD5" w:rsidRPr="00886E94" w:rsidRDefault="007D7FD5" w:rsidP="007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QI (76-100)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A6DB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EF35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A151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66AD4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2F04" w14:textId="29C1F6E9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8AC9" w14:textId="133B5D1E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3528" w14:textId="4EEE795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2E33" w14:textId="0C6CE47F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3F4E" w14:textId="458F19E3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78F0" w14:textId="58339C6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74B6" w14:textId="7E99469E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6F0A" w14:textId="2F528FC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</w:tr>
      <w:tr w:rsidR="00886E94" w:rsidRPr="00886E94" w14:paraId="4E9264CD" w14:textId="77777777" w:rsidTr="00CE771D">
        <w:trPr>
          <w:trHeight w:val="8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01D" w14:textId="65F3A738" w:rsidR="007D7FD5" w:rsidRPr="00886E94" w:rsidRDefault="007D7FD5" w:rsidP="007D7FD5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Pi (101-125)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EFC1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5BA4B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8C0C3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7D9CC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4299" w14:textId="6F70D27C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B91A" w14:textId="1E88C935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80C44" w14:textId="73012C1B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B3CCF" w14:textId="73BC2BD3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C34" w14:textId="21418FA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9EA" w14:textId="1E9DA53B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535F" w14:textId="411AD6A8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AA5" w14:textId="7D3ADDCA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</w:tr>
      <w:tr w:rsidR="00886E94" w:rsidRPr="00886E94" w14:paraId="3537E06C" w14:textId="77777777" w:rsidTr="00CE771D">
        <w:trPr>
          <w:trHeight w:val="65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807B" w14:textId="6C7641BE" w:rsidR="007D7FD5" w:rsidRPr="00886E94" w:rsidRDefault="007D7FD5" w:rsidP="007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 (150-175)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3C839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50EDF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84486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99569" w14:textId="77777777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909F" w14:textId="7A5F2033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F56F" w14:textId="314DABE3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7CB6" w14:textId="0F312ED6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46B5" w14:textId="2CB155F5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5981" w14:textId="6B30EFD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9C35" w14:textId="069F0A54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57C5" w14:textId="59371C20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8.0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1B73" w14:textId="323ED3DD" w:rsidR="007D7FD5" w:rsidRPr="00886E94" w:rsidRDefault="007D7FD5" w:rsidP="007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 xml:space="preserve"> 4.0</w:t>
            </w:r>
          </w:p>
        </w:tc>
      </w:tr>
      <w:tr w:rsidR="00886E94" w:rsidRPr="00886E94" w14:paraId="185D92CC" w14:textId="77777777" w:rsidTr="00CE771D">
        <w:trPr>
          <w:trHeight w:val="70"/>
        </w:trPr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95A50" w14:textId="77777777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Total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A890D" w14:textId="7C391032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89755" w14:textId="16DAB6F1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26907" w14:textId="733C3F4B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040084" w14:textId="3C52E0B7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B308" w14:textId="77777777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4DCAD" w14:textId="77777777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2971D" w14:textId="51D24F68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C0B33" w14:textId="77777777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6914C" w14:textId="20D88A4C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0EE7E" w14:textId="217CD616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D7FD5" w:rsidRPr="0088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EA4877" w14:textId="3747F29E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D7FD5" w:rsidRPr="0088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ADE43" w14:textId="203E06FE" w:rsidR="00CE771D" w:rsidRPr="00886E94" w:rsidRDefault="00CE771D" w:rsidP="00C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886E94" w:rsidRPr="00886E94" w14:paraId="0E3D926C" w14:textId="77777777" w:rsidTr="00CE771D">
        <w:trPr>
          <w:trHeight w:val="55"/>
        </w:trPr>
        <w:tc>
          <w:tcPr>
            <w:tcW w:w="1000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D56982" w14:textId="6DE1016A" w:rsidR="00DD1B83" w:rsidRPr="00886E94" w:rsidRDefault="00DD1B83" w:rsidP="00AB3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progenies from provenance </w:t>
            </w:r>
            <w:r w:rsidR="00217F50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three (2001) and nine (2003) progenies were not tested regarding SSD because their number of plants in at least one gender class (F or M) was lower than </w:t>
            </w:r>
            <w:r w:rsidR="00662C17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three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plants. This minimum </w:t>
            </w:r>
            <w:r w:rsidR="00217F50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n=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of M or F plants is required to perform the </w:t>
            </w:r>
            <w:proofErr w:type="spellStart"/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Levene</w:t>
            </w:r>
            <w:r w:rsidR="00AB3D01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’s</w:t>
            </w:r>
            <w:proofErr w:type="spellEnd"/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test of variances homogeneity and, consequently, to run the respective t</w:t>
            </w:r>
            <w:r w:rsidR="00AB3D01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tests to compare F and M mean yerba</w:t>
            </w:r>
            <w:r w:rsidR="00662C17"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86E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 biomass per plant.</w:t>
            </w:r>
          </w:p>
        </w:tc>
      </w:tr>
    </w:tbl>
    <w:p w14:paraId="4822AC55" w14:textId="5A4CB0C3" w:rsidR="00B036F1" w:rsidRPr="00886E94" w:rsidRDefault="00F302FD" w:rsidP="00DD1B8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C92B7F" w14:textId="51BD9830" w:rsidR="00AC51D5" w:rsidRPr="00886E94" w:rsidRDefault="00453998" w:rsidP="00AC51D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886E9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Table S2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</w:t>
      </w:r>
      <w:r w:rsidR="00F47EE0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M</w:t>
      </w:r>
      <w:r w:rsidR="00CA3853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ean, minimum and maximum 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of coefficient of variation (CV, %) of yerba-mate biomass production (kg</w:t>
      </w:r>
      <w:r w:rsidR="00741762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plant</w:t>
      </w:r>
      <w:r w:rsidR="00741762" w:rsidRPr="00886E9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en-US"/>
        </w:rPr>
        <w:t>-1</w:t>
      </w:r>
      <w:r w:rsidR="00741762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>)</w:t>
      </w:r>
      <w:r w:rsidR="00F47EE0"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estimated</w:t>
      </w:r>
      <w:r w:rsidRPr="00886E9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in four harvest years (1999, 2001, 2003, 2015), for females (F) and males (M) originated on six provenances.</w:t>
      </w:r>
    </w:p>
    <w:p w14:paraId="257EC356" w14:textId="77777777" w:rsidR="00453998" w:rsidRPr="00886E94" w:rsidRDefault="00453998" w:rsidP="00453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842" w:type="dxa"/>
        <w:jc w:val="center"/>
        <w:tblLook w:val="04A0" w:firstRow="1" w:lastRow="0" w:firstColumn="1" w:lastColumn="0" w:noHBand="0" w:noVBand="1"/>
      </w:tblPr>
      <w:tblGrid>
        <w:gridCol w:w="656"/>
        <w:gridCol w:w="940"/>
        <w:gridCol w:w="940"/>
        <w:gridCol w:w="1296"/>
        <w:gridCol w:w="1216"/>
      </w:tblGrid>
      <w:tr w:rsidR="00886E94" w:rsidRPr="00886E94" w14:paraId="59BC3E5C" w14:textId="77777777" w:rsidTr="00BE17C9">
        <w:trPr>
          <w:trHeight w:val="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15F" w14:textId="77777777" w:rsidR="00CA3853" w:rsidRPr="00886E94" w:rsidRDefault="00CA3853" w:rsidP="00CA38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53AF" w14:textId="77777777" w:rsidR="00CA3853" w:rsidRPr="00886E94" w:rsidRDefault="00CA3853" w:rsidP="00CA38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5AA4" w14:textId="4B34423F" w:rsidR="00CA3853" w:rsidRPr="00886E94" w:rsidRDefault="00CA3853" w:rsidP="00CA38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Coefficient of variation (%) </w:t>
            </w:r>
          </w:p>
        </w:tc>
      </w:tr>
      <w:tr w:rsidR="00886E94" w:rsidRPr="00886E94" w14:paraId="6FCA098F" w14:textId="77777777" w:rsidTr="00BE17C9">
        <w:trPr>
          <w:trHeight w:val="55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4822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Year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0BBB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Gender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D46F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97572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Minimum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8F6C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Maximum</w:t>
            </w:r>
          </w:p>
        </w:tc>
      </w:tr>
      <w:tr w:rsidR="00886E94" w:rsidRPr="00886E94" w14:paraId="6513E0A4" w14:textId="77777777" w:rsidTr="00BE17C9">
        <w:trPr>
          <w:trHeight w:val="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DD9F4C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34F343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652436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77.65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2B016A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60.18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E1F229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121.66</w:t>
            </w:r>
          </w:p>
        </w:tc>
      </w:tr>
      <w:tr w:rsidR="00886E94" w:rsidRPr="00886E94" w14:paraId="576AAE33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9DEAF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4AE097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96CDCE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76.51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624694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60.19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3A877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120.56</w:t>
            </w:r>
          </w:p>
        </w:tc>
      </w:tr>
      <w:tr w:rsidR="00886E94" w:rsidRPr="00886E94" w14:paraId="71196BD1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A9C48D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E62FE3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C7E90F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44DD3C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69.73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E81924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167.03</w:t>
            </w:r>
          </w:p>
        </w:tc>
      </w:tr>
      <w:tr w:rsidR="00886E94" w:rsidRPr="00886E94" w14:paraId="7FA12CED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4A26C9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BEE294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747D2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5B0719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71.05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2C32B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171.68</w:t>
            </w:r>
          </w:p>
        </w:tc>
      </w:tr>
      <w:tr w:rsidR="00886E94" w:rsidRPr="00886E94" w14:paraId="4BF6B45B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4579A1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58074E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1D11CE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40D6D7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55.65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7EC92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126.88</w:t>
            </w:r>
          </w:p>
        </w:tc>
      </w:tr>
      <w:tr w:rsidR="00886E94" w:rsidRPr="00886E94" w14:paraId="5BF07241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71D7D5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71D8DF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99E2B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69.37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9A679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62.02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83A8D3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91.98</w:t>
            </w:r>
          </w:p>
        </w:tc>
      </w:tr>
      <w:tr w:rsidR="00886E94" w:rsidRPr="00886E94" w14:paraId="23E353E4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5C177B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FDAACB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8DF0CE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5BFE7B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60.68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3E80E3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97.33</w:t>
            </w:r>
          </w:p>
        </w:tc>
      </w:tr>
      <w:tr w:rsidR="00886E94" w:rsidRPr="00886E94" w14:paraId="3BE84865" w14:textId="77777777" w:rsidTr="00BE17C9">
        <w:trPr>
          <w:trHeight w:val="65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1619FB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1EFAF5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32576F0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F50BE17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62.83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7993739" w14:textId="77777777" w:rsidR="00CA3853" w:rsidRPr="00886E94" w:rsidRDefault="00CA3853" w:rsidP="00CA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139.83</w:t>
            </w:r>
          </w:p>
        </w:tc>
      </w:tr>
    </w:tbl>
    <w:p w14:paraId="15A9AB1D" w14:textId="77777777" w:rsidR="00453998" w:rsidRPr="00886E94" w:rsidRDefault="00453998" w:rsidP="00DD1B8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FFB22B" w14:textId="2918173B" w:rsidR="005F3DCD" w:rsidRPr="00886E94" w:rsidRDefault="003C6E33" w:rsidP="00AC51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0316621"/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</w:t>
      </w:r>
      <w:r w:rsidR="00453998"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7EE0" w:rsidRPr="00886E94">
        <w:rPr>
          <w:rFonts w:ascii="Times New Roman" w:hAnsi="Times New Roman" w:cs="Times New Roman"/>
          <w:sz w:val="24"/>
          <w:szCs w:val="24"/>
          <w:lang w:val="en-US"/>
        </w:rPr>
        <w:t>Mean, minimum, maximum, and coefficient of variation (CV, %) of biomass production per plant (kg plant</w:t>
      </w:r>
      <w:r w:rsidR="00F47EE0" w:rsidRPr="00886E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F47EE0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of yerba-mate </w:t>
      </w:r>
      <w:r w:rsidR="00F47EE0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estimated 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in four harvest years (1999, 2001, 2003</w:t>
      </w:r>
      <w:r w:rsidR="005F39DB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2015)</w:t>
      </w:r>
      <w:r w:rsidR="00F47EE0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for females (F)</w:t>
      </w:r>
      <w:r w:rsidR="005F39DB" w:rsidRPr="00886E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and males (M) originated on s</w:t>
      </w:r>
      <w:r w:rsidR="00B9258E" w:rsidRPr="00886E9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provenances (</w:t>
      </w:r>
      <w:r w:rsidR="00B9258E" w:rsidRPr="00886E9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86E94">
        <w:rPr>
          <w:rFonts w:ascii="Times New Roman" w:hAnsi="Times New Roman" w:cs="Times New Roman"/>
          <w:sz w:val="24"/>
          <w:szCs w:val="24"/>
          <w:lang w:val="en-US"/>
        </w:rPr>
        <w:t>Ivaí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258E" w:rsidRPr="00886E9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-Colombo, </w:t>
      </w:r>
      <w:r w:rsidR="00B9258E" w:rsidRPr="00886E94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86E94">
        <w:rPr>
          <w:rFonts w:ascii="Times New Roman" w:hAnsi="Times New Roman" w:cs="Times New Roman"/>
          <w:sz w:val="24"/>
          <w:szCs w:val="24"/>
          <w:lang w:val="en-US"/>
        </w:rPr>
        <w:t>Barão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86E94">
        <w:rPr>
          <w:rFonts w:ascii="Times New Roman" w:hAnsi="Times New Roman" w:cs="Times New Roman"/>
          <w:sz w:val="24"/>
          <w:szCs w:val="24"/>
          <w:lang w:val="en-US"/>
        </w:rPr>
        <w:t>Cotegipe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258E" w:rsidRPr="00886E94">
        <w:rPr>
          <w:rFonts w:ascii="Times New Roman" w:hAnsi="Times New Roman" w:cs="Times New Roman"/>
          <w:sz w:val="24"/>
          <w:szCs w:val="24"/>
          <w:lang w:val="en-US"/>
        </w:rPr>
        <w:t>QI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86E94">
        <w:rPr>
          <w:rFonts w:ascii="Times New Roman" w:hAnsi="Times New Roman" w:cs="Times New Roman"/>
          <w:sz w:val="24"/>
          <w:szCs w:val="24"/>
          <w:lang w:val="en-US"/>
        </w:rPr>
        <w:t>Quedas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do Iguaçú, </w:t>
      </w:r>
      <w:r w:rsidR="00192D0D" w:rsidRPr="00886E94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737C0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Pinhão 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92D0D" w:rsidRPr="00886E9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86E94">
        <w:rPr>
          <w:rFonts w:ascii="Times New Roman" w:hAnsi="Times New Roman" w:cs="Times New Roman"/>
          <w:sz w:val="24"/>
          <w:szCs w:val="24"/>
          <w:lang w:val="en-US"/>
        </w:rPr>
        <w:t>Cascavel</w:t>
      </w:r>
      <w:proofErr w:type="spellEnd"/>
      <w:r w:rsidRPr="00886E94">
        <w:rPr>
          <w:rFonts w:ascii="Times New Roman" w:hAnsi="Times New Roman" w:cs="Times New Roman"/>
          <w:sz w:val="24"/>
          <w:szCs w:val="24"/>
          <w:lang w:val="en-US"/>
        </w:rPr>
        <w:t>).</w:t>
      </w:r>
      <w:bookmarkStart w:id="1" w:name="_Hlk115691231"/>
    </w:p>
    <w:p w14:paraId="1C3FFBA4" w14:textId="77777777" w:rsidR="00627543" w:rsidRPr="00886E94" w:rsidRDefault="00627543" w:rsidP="00AC51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421" w:type="dxa"/>
        <w:tblLook w:val="04A0" w:firstRow="1" w:lastRow="0" w:firstColumn="1" w:lastColumn="0" w:noHBand="0" w:noVBand="1"/>
      </w:tblPr>
      <w:tblGrid>
        <w:gridCol w:w="828"/>
        <w:gridCol w:w="828"/>
        <w:gridCol w:w="1185"/>
        <w:gridCol w:w="95"/>
        <w:gridCol w:w="754"/>
        <w:gridCol w:w="73"/>
        <w:gridCol w:w="625"/>
        <w:gridCol w:w="197"/>
        <w:gridCol w:w="202"/>
        <w:gridCol w:w="1024"/>
        <w:gridCol w:w="197"/>
        <w:gridCol w:w="73"/>
        <w:gridCol w:w="735"/>
        <w:gridCol w:w="255"/>
        <w:gridCol w:w="197"/>
        <w:gridCol w:w="956"/>
        <w:gridCol w:w="197"/>
      </w:tblGrid>
      <w:tr w:rsidR="00886E94" w:rsidRPr="00886E94" w14:paraId="06D90B70" w14:textId="77777777" w:rsidTr="00BE17C9">
        <w:trPr>
          <w:gridAfter w:val="1"/>
          <w:wAfter w:w="197" w:type="dxa"/>
          <w:trHeight w:val="55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6B51F" w14:textId="7E2B91D0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Year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F3636" w14:textId="48ACBBD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Gender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F8830" w14:textId="4CE2805D" w:rsidR="00627543" w:rsidRPr="00886E94" w:rsidRDefault="00627543" w:rsidP="00BE17C9">
            <w:pPr>
              <w:spacing w:after="0" w:line="240" w:lineRule="auto"/>
              <w:ind w:left="-139" w:right="-112" w:firstLine="8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Provenance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879B8" w14:textId="6C6449A5" w:rsidR="00627543" w:rsidRPr="00886E94" w:rsidRDefault="00627543" w:rsidP="00BE17C9">
            <w:pPr>
              <w:spacing w:after="0" w:line="240" w:lineRule="auto"/>
              <w:ind w:left="-139" w:right="-112" w:firstLine="8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N plants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27158" w14:textId="25BE0295" w:rsidR="00627543" w:rsidRPr="00886E94" w:rsidRDefault="00627543" w:rsidP="00BE17C9">
            <w:pPr>
              <w:spacing w:after="0" w:line="240" w:lineRule="auto"/>
              <w:ind w:left="-139" w:right="-111" w:hanging="5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30D37" w14:textId="65A12F76" w:rsidR="00627543" w:rsidRPr="00886E94" w:rsidRDefault="00627543" w:rsidP="00BE17C9">
            <w:pPr>
              <w:tabs>
                <w:tab w:val="left" w:pos="752"/>
              </w:tabs>
              <w:spacing w:after="0" w:line="240" w:lineRule="auto"/>
              <w:ind w:left="-139" w:right="-57" w:firstLine="2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Minimum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EE56E" w14:textId="6AD4C8B3" w:rsidR="00627543" w:rsidRPr="00886E94" w:rsidRDefault="00627543" w:rsidP="00BE17C9">
            <w:pPr>
              <w:spacing w:after="0" w:line="240" w:lineRule="auto"/>
              <w:ind w:left="-139" w:right="-5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Maximum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4568C" w14:textId="0756EF20" w:rsidR="00627543" w:rsidRPr="00886E94" w:rsidRDefault="00627543" w:rsidP="00BE17C9">
            <w:pPr>
              <w:spacing w:after="0" w:line="240" w:lineRule="auto"/>
              <w:ind w:left="-139" w:right="-522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CV%</w:t>
            </w:r>
          </w:p>
        </w:tc>
      </w:tr>
      <w:tr w:rsidR="00886E94" w:rsidRPr="00886E94" w14:paraId="521DD265" w14:textId="77777777" w:rsidTr="00BE17C9">
        <w:trPr>
          <w:trHeight w:val="55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8B4BA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1999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E32F0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90BB3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6B47B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608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AAC7F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C62712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D5BD4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2.60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CBEBB1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65.79</w:t>
            </w:r>
          </w:p>
        </w:tc>
      </w:tr>
      <w:tr w:rsidR="00886E94" w:rsidRPr="00886E94" w14:paraId="61E3235D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1D588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D9820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5E9B6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7D0CE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132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65844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90DA7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1990BE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D2CBD8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121.66</w:t>
            </w:r>
          </w:p>
        </w:tc>
      </w:tr>
      <w:tr w:rsidR="00886E94" w:rsidRPr="00886E94" w14:paraId="64A38B96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D0976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4D247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7D69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3BFC5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462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4D7180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0.94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07FCB1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75C6D4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3.75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597327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60.18</w:t>
            </w:r>
          </w:p>
        </w:tc>
      </w:tr>
      <w:tr w:rsidR="00886E94" w:rsidRPr="00886E94" w14:paraId="006270B6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2EF35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399E5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7BDB0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8D6AB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580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43AE8B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8BEFF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8114DF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0A6F73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63.75</w:t>
            </w:r>
          </w:p>
        </w:tc>
      </w:tr>
      <w:tr w:rsidR="00886E94" w:rsidRPr="00886E94" w14:paraId="4E2404B7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8AB91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EC031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409AF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860CB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262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A27C2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82D74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89FEF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07DFD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87.56</w:t>
            </w:r>
          </w:p>
        </w:tc>
      </w:tr>
      <w:tr w:rsidR="00886E94" w:rsidRPr="00886E94" w14:paraId="671AB57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D5C73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48173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AF867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C5D21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593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191D1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7EB5D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126D1E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F0EF56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66.95</w:t>
            </w:r>
          </w:p>
        </w:tc>
      </w:tr>
      <w:tr w:rsidR="00886E94" w:rsidRPr="00886E94" w14:paraId="2206085D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0A6C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FA95C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51C93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A02FF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506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5D2EC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7B772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A56AA1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F870A4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63.57</w:t>
            </w:r>
          </w:p>
        </w:tc>
      </w:tr>
      <w:tr w:rsidR="00886E94" w:rsidRPr="00886E94" w14:paraId="63A3653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7BA7E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E4699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B45DB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BF95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174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1A5482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28AC08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5CAC13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422C1E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120.56</w:t>
            </w:r>
          </w:p>
        </w:tc>
      </w:tr>
      <w:tr w:rsidR="00886E94" w:rsidRPr="00886E94" w14:paraId="7F4E8B5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6F0BF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2A7E1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33E1C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69ED6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485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C48AC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0C439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89CF26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DCAFBB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66.52</w:t>
            </w:r>
          </w:p>
        </w:tc>
      </w:tr>
      <w:tr w:rsidR="00886E94" w:rsidRPr="00886E94" w14:paraId="62F046F5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44BD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1D646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A235B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F46E8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535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41D75C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EFD0D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2BC205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BEDB50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60.19</w:t>
            </w:r>
          </w:p>
        </w:tc>
      </w:tr>
      <w:tr w:rsidR="00886E94" w:rsidRPr="00886E94" w14:paraId="1ED0FEB4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DF018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49819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FD3B8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E149F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268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DF4AB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0.59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4335D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753246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1697FA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83.68</w:t>
            </w:r>
          </w:p>
        </w:tc>
      </w:tr>
      <w:tr w:rsidR="00886E94" w:rsidRPr="00886E94" w14:paraId="2108C0F4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2C811A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5A6B2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7CE243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A512D4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530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742AC98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3E43F1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549F68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7743B03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64.50</w:t>
            </w:r>
          </w:p>
        </w:tc>
      </w:tr>
      <w:tr w:rsidR="00886E94" w:rsidRPr="00886E94" w14:paraId="1BE7787C" w14:textId="77777777" w:rsidTr="00BE17C9">
        <w:trPr>
          <w:trHeight w:val="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DF027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6E876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4DD4D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EADBC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602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FF1AF1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1.85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B976B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0C9C0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7.80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CBA0E0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75.59</w:t>
            </w:r>
          </w:p>
        </w:tc>
      </w:tr>
      <w:tr w:rsidR="00886E94" w:rsidRPr="00886E94" w14:paraId="7899CD7D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05EEF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AE0D6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4498F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ADC58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7EA40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0.43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687DC8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AE538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2.85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C7FF4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167.03</w:t>
            </w:r>
          </w:p>
        </w:tc>
      </w:tr>
      <w:tr w:rsidR="00886E94" w:rsidRPr="00886E94" w14:paraId="66256DF3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6D2E2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9107E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E9126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74631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457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0B6458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1553EB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4130F0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9.20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FF6DD5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69.73</w:t>
            </w:r>
          </w:p>
        </w:tc>
      </w:tr>
      <w:tr w:rsidR="00886E94" w:rsidRPr="00886E94" w14:paraId="5C550611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F800D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45BBE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459D4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AF6E0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579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1DF0F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B146EF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FB228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11.30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69725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71.97</w:t>
            </w:r>
          </w:p>
        </w:tc>
      </w:tr>
      <w:tr w:rsidR="00886E94" w:rsidRPr="00886E94" w14:paraId="46DD9FFE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D6A16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FBB7F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CDC27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A953F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233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07591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F194D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E7822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7.50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79C73F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103.47</w:t>
            </w:r>
          </w:p>
        </w:tc>
      </w:tr>
      <w:tr w:rsidR="00886E94" w:rsidRPr="00886E94" w14:paraId="6504DA4B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4FA08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CE18E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9F640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CCA32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593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9CD840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210675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01B668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BF9005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72.62</w:t>
            </w:r>
          </w:p>
        </w:tc>
      </w:tr>
      <w:tr w:rsidR="00886E94" w:rsidRPr="00886E94" w14:paraId="4F43F0C4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375E3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263E3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2CD25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8D323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CC11DD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1.96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D639BB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718AE2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6.80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E9D2A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71.05</w:t>
            </w:r>
          </w:p>
        </w:tc>
      </w:tr>
      <w:tr w:rsidR="00886E94" w:rsidRPr="00886E94" w14:paraId="07257840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7878B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BB61A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9D98B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F93B1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5BBBB1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0.51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3C37D6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36F1F9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EDA025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171.68</w:t>
            </w:r>
          </w:p>
        </w:tc>
      </w:tr>
      <w:tr w:rsidR="00886E94" w:rsidRPr="00886E94" w14:paraId="02ADC20C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82DA5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FED9B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F38F2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C7E28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479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4A053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B72DA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603B1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C88547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72.17</w:t>
            </w:r>
          </w:p>
        </w:tc>
      </w:tr>
      <w:tr w:rsidR="00886E94" w:rsidRPr="00886E94" w14:paraId="2DC6A954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FA044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81E67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7249B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8251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535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744D22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BFEA5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8EE9E6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8.55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AFD68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71.14</w:t>
            </w:r>
          </w:p>
        </w:tc>
      </w:tr>
      <w:tr w:rsidR="00886E94" w:rsidRPr="00886E94" w14:paraId="6B6A75BA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5AC7A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A9CD6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398E5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16294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229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3A267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E27A60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7D71D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8625F2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94.92</w:t>
            </w:r>
          </w:p>
        </w:tc>
      </w:tr>
      <w:tr w:rsidR="00886E94" w:rsidRPr="00886E94" w14:paraId="44439A6E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333EF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F03F7E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64B29B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C8C63E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526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0E0F8D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1.90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1B665B6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D68AD4A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3CCD63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73.44</w:t>
            </w:r>
          </w:p>
        </w:tc>
      </w:tr>
      <w:tr w:rsidR="00886E94" w:rsidRPr="00886E94" w14:paraId="47B10848" w14:textId="77777777" w:rsidTr="00BE17C9">
        <w:trPr>
          <w:trHeight w:val="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88579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95D9D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D38CD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CEC5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578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7254CF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5.14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2C6F41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B4EA3B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17.90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8A9634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65.25</w:t>
            </w:r>
          </w:p>
        </w:tc>
      </w:tr>
      <w:tr w:rsidR="00886E94" w:rsidRPr="00886E94" w14:paraId="24B3ECC6" w14:textId="77777777" w:rsidTr="00067798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977F4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F9DD4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AB69A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01ED1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F22E4E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2.46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E725B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9F1DA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13.30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4225E1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126.88</w:t>
            </w:r>
          </w:p>
        </w:tc>
      </w:tr>
      <w:tr w:rsidR="00886E94" w:rsidRPr="00886E94" w14:paraId="3B5A58CD" w14:textId="77777777" w:rsidTr="00067798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8F3F1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7378E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F1BD7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FF252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445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40FA40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CD1BD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B15EC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18.30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8E7639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55.65</w:t>
            </w:r>
          </w:p>
        </w:tc>
      </w:tr>
      <w:tr w:rsidR="00886E94" w:rsidRPr="00886E94" w14:paraId="4BB82C3B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0D802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F9025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DAF48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E4D39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569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95FFD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5.64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8435CB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10750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19.20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67586D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60.72</w:t>
            </w:r>
          </w:p>
        </w:tc>
      </w:tr>
      <w:tr w:rsidR="00886E94" w:rsidRPr="00886E94" w14:paraId="5CF8A1BD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85BD1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B3ACD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F98DD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C348B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C8BB76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CCA62A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0F5C51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16.75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557F12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80.43</w:t>
            </w:r>
          </w:p>
        </w:tc>
      </w:tr>
      <w:tr w:rsidR="00886E94" w:rsidRPr="00886E94" w14:paraId="569B9A67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61C57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E094E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BE6B9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3266B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587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9BFCD5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4.91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3F5C9C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D08F70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18.70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1B6919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66.58</w:t>
            </w:r>
          </w:p>
        </w:tc>
      </w:tr>
      <w:tr w:rsidR="00886E94" w:rsidRPr="00886E94" w14:paraId="42E61D61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7F55B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07D6F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CFD11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958B9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484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19F693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5.37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155EDC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E5089E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22.60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888869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62.02</w:t>
            </w:r>
          </w:p>
        </w:tc>
      </w:tr>
      <w:tr w:rsidR="00886E94" w:rsidRPr="00886E94" w14:paraId="1E18F420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01E80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2F53E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B3567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098D0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74A91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3.15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8816A6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D9ADBC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11.10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EAA717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91.98</w:t>
            </w:r>
          </w:p>
        </w:tc>
      </w:tr>
      <w:tr w:rsidR="00886E94" w:rsidRPr="00886E94" w14:paraId="28CB8749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5A302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F5979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C647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A8BE6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464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9CCF48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C8C589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4F0470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22.80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6A3DA5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63.31</w:t>
            </w:r>
          </w:p>
        </w:tc>
      </w:tr>
      <w:tr w:rsidR="00886E94" w:rsidRPr="00886E94" w14:paraId="4852E69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11B2A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0017F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A47AB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0538A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528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5BBEB4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5.62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AFDD47" w14:textId="77777777" w:rsidR="00627543" w:rsidRPr="00886E94" w:rsidRDefault="00627543" w:rsidP="0079729D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C8B733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21.20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28E129" w14:textId="77777777" w:rsidR="00627543" w:rsidRPr="00886E94" w:rsidRDefault="00627543" w:rsidP="00627543">
            <w:pPr>
              <w:spacing w:after="0" w:line="240" w:lineRule="auto"/>
              <w:ind w:left="-139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63.69</w:t>
            </w:r>
          </w:p>
        </w:tc>
      </w:tr>
      <w:tr w:rsidR="00886E94" w:rsidRPr="00886E94" w14:paraId="0F896535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65231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FF38D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33642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95BE7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B827E8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3.60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DFB8DD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C3B7FE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11.90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7696F0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68.33</w:t>
            </w:r>
          </w:p>
        </w:tc>
      </w:tr>
      <w:tr w:rsidR="00886E94" w:rsidRPr="00886E94" w14:paraId="0606ABE6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4FC6B0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2A213E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EE164A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7DEF9D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0238D2A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5.05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EEB58D9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5BC7FCF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19.10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B7FEF28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66.88</w:t>
            </w:r>
          </w:p>
        </w:tc>
      </w:tr>
      <w:tr w:rsidR="00886E94" w:rsidRPr="00886E94" w14:paraId="1A4C6A39" w14:textId="77777777" w:rsidTr="00BE17C9">
        <w:trPr>
          <w:trHeight w:val="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FD4C4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6422B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93FDD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7F53D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C0347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8.74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A8F56C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DBFB63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38.30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47E5ED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75.76</w:t>
            </w:r>
          </w:p>
        </w:tc>
      </w:tr>
      <w:tr w:rsidR="00886E94" w:rsidRPr="00886E94" w14:paraId="65173B9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93DE3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C148E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1602E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7B614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50453F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3.72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7D7B4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EEE9CB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22.00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8C07E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97.33</w:t>
            </w:r>
          </w:p>
        </w:tc>
      </w:tr>
      <w:tr w:rsidR="00886E94" w:rsidRPr="00886E94" w14:paraId="61A24E0E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5635E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5E7FD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5A1E7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4E7A4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B64D4A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9.14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BFD2A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00D7B7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41.80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6054CE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64.91</w:t>
            </w:r>
          </w:p>
        </w:tc>
      </w:tr>
      <w:tr w:rsidR="00886E94" w:rsidRPr="00886E94" w14:paraId="4FBCFB85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996C8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E4E05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7F4206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14A08B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5FCF76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9.20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A6A8F9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AD40C1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30.00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9A265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60.68</w:t>
            </w:r>
          </w:p>
        </w:tc>
      </w:tr>
      <w:tr w:rsidR="00886E94" w:rsidRPr="00886E94" w14:paraId="3DD8570B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09EE1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FFBAD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B01682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5C66D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E262B4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4.61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F1855B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95D877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27.00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9E0FFF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90.81</w:t>
            </w:r>
          </w:p>
        </w:tc>
      </w:tr>
      <w:tr w:rsidR="00886E94" w:rsidRPr="00886E94" w14:paraId="3D518BB8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90292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88CCA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2142E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10258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7D94AB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8.17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BD6D76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1D4620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29.25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17EFA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64.45</w:t>
            </w:r>
          </w:p>
        </w:tc>
      </w:tr>
      <w:tr w:rsidR="00886E94" w:rsidRPr="00886E94" w14:paraId="00EE8B06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69F89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2015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71D401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DEF1A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E830A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9EA8D1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8.89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BF3E5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C705A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37.00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30385A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72.86</w:t>
            </w:r>
          </w:p>
        </w:tc>
      </w:tr>
      <w:tr w:rsidR="00886E94" w:rsidRPr="00886E94" w14:paraId="3B633E22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580CBE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EDAB43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D037A0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Co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F2F2EF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163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5E6D67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3.94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97D333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8E09A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33.40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14C8AB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139.83</w:t>
            </w:r>
          </w:p>
        </w:tc>
      </w:tr>
      <w:tr w:rsidR="00886E94" w:rsidRPr="00886E94" w14:paraId="68964C9F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537B6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B25BE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7CE1A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BC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E9554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795293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8.93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617358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92DBAB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36.60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02341E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65.85</w:t>
            </w:r>
          </w:p>
        </w:tc>
      </w:tr>
      <w:tr w:rsidR="00886E94" w:rsidRPr="00886E94" w14:paraId="646E89BF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0654E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F4771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897E47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QI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BE4A3A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326425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8.81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38A773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7CAF9C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30.20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69BC6E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62.83</w:t>
            </w:r>
          </w:p>
        </w:tc>
      </w:tr>
      <w:tr w:rsidR="00886E94" w:rsidRPr="00886E94" w14:paraId="642B8909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A750A8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CE28E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04FB8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Pi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31D49D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B666D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6.32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9373AE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C9E1E8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44.70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EC595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100.27</w:t>
            </w:r>
          </w:p>
        </w:tc>
      </w:tr>
      <w:tr w:rsidR="00886E94" w:rsidRPr="00886E94" w14:paraId="3B8E0B4F" w14:textId="77777777" w:rsidTr="00BE17C9">
        <w:trPr>
          <w:trHeight w:val="6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5350DFC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F667615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CCCF14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Ca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4312F19" w14:textId="77777777" w:rsidR="00627543" w:rsidRPr="00886E94" w:rsidRDefault="00627543" w:rsidP="0062754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518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DE89D16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7.79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FDF2804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0.05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F0EDED2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lang w:val="en-US"/>
              </w:rPr>
              <w:t>28.70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886EF11" w14:textId="77777777" w:rsidR="00627543" w:rsidRPr="00886E94" w:rsidRDefault="00627543" w:rsidP="0079729D">
            <w:pPr>
              <w:spacing w:after="0" w:line="240" w:lineRule="auto"/>
              <w:ind w:left="-148" w:right="-181" w:firstLine="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6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65.98</w:t>
            </w:r>
          </w:p>
        </w:tc>
      </w:tr>
    </w:tbl>
    <w:p w14:paraId="34824859" w14:textId="77777777" w:rsidR="00CA75F4" w:rsidRPr="00886E94" w:rsidRDefault="00CA75F4" w:rsidP="00AC51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435CC3" w14:textId="77777777" w:rsidR="00CE771D" w:rsidRPr="00886E94" w:rsidRDefault="00CE771D" w:rsidP="00AC51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p w14:paraId="525BBCC5" w14:textId="77777777" w:rsidR="00453998" w:rsidRPr="00886E94" w:rsidRDefault="00453998" w:rsidP="004737C0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bookmarkEnd w:id="0"/>
    <w:p w14:paraId="3B864B9A" w14:textId="08C32160" w:rsidR="00453998" w:rsidRPr="00886E94" w:rsidRDefault="007F1B94" w:rsidP="00453998">
      <w:pPr>
        <w:spacing w:after="0" w:line="480" w:lineRule="auto"/>
        <w:jc w:val="center"/>
        <w:rPr>
          <w:lang w:val="en-US"/>
        </w:rPr>
      </w:pPr>
      <w:r w:rsidRPr="00886E94">
        <w:rPr>
          <w:noProof/>
        </w:rPr>
        <w:drawing>
          <wp:inline distT="0" distB="0" distL="0" distR="0" wp14:anchorId="21C4A9A5" wp14:editId="2C7EDFE2">
            <wp:extent cx="4838750" cy="7915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47" cy="791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8A30" w14:textId="6691334F" w:rsidR="00BB3112" w:rsidRPr="00886E94" w:rsidRDefault="00BB3112" w:rsidP="005D5BFE">
      <w:pPr>
        <w:spacing w:after="0" w:line="480" w:lineRule="auto"/>
        <w:jc w:val="both"/>
        <w:rPr>
          <w:lang w:val="en-US"/>
        </w:rPr>
      </w:pPr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. Metrics for inter-plant variability </w:t>
      </w:r>
      <w:r w:rsidR="007F1B94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(CV, %) 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considering </w:t>
      </w:r>
      <w:r w:rsidR="00AC51D5" w:rsidRPr="00886E94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provenances</w:t>
      </w:r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(Iv-</w:t>
      </w:r>
      <w:proofErr w:type="spellStart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Ivaí</w:t>
      </w:r>
      <w:proofErr w:type="spellEnd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, Co-Colombo, BC-</w:t>
      </w:r>
      <w:proofErr w:type="spellStart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Barão</w:t>
      </w:r>
      <w:proofErr w:type="spellEnd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Cotegipe</w:t>
      </w:r>
      <w:proofErr w:type="spellEnd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, QI-</w:t>
      </w:r>
      <w:proofErr w:type="spellStart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Quedas</w:t>
      </w:r>
      <w:proofErr w:type="spellEnd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do Iguaçú, Pi-Pinhão and Ca-</w:t>
      </w:r>
      <w:proofErr w:type="spellStart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Cascavel</w:t>
      </w:r>
      <w:proofErr w:type="spellEnd"/>
      <w:r w:rsidR="00B22FA8" w:rsidRPr="00886E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51D5" w:rsidRPr="00886E94">
        <w:rPr>
          <w:rFonts w:ascii="Times New Roman" w:hAnsi="Times New Roman" w:cs="Times New Roman"/>
          <w:sz w:val="24"/>
          <w:szCs w:val="24"/>
          <w:lang w:val="en-US"/>
        </w:rPr>
        <w:t>124-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C51D5" w:rsidRPr="00886E94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 progenies, and four years: </w:t>
      </w:r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) 1999, </w:t>
      </w:r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) 2001, </w:t>
      </w:r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 xml:space="preserve">) 2003, and </w:t>
      </w:r>
      <w:r w:rsidRPr="00886E94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886E94">
        <w:rPr>
          <w:rFonts w:ascii="Times New Roman" w:hAnsi="Times New Roman" w:cs="Times New Roman"/>
          <w:sz w:val="24"/>
          <w:szCs w:val="24"/>
          <w:lang w:val="en-US"/>
        </w:rPr>
        <w:t>) 2015.</w:t>
      </w:r>
    </w:p>
    <w:sectPr w:rsidR="00BB3112" w:rsidRPr="00886E94" w:rsidSect="00AC5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196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A06C" w14:textId="77777777" w:rsidR="007679CE" w:rsidRDefault="007679CE" w:rsidP="00CD20B3">
      <w:pPr>
        <w:spacing w:after="0" w:line="240" w:lineRule="auto"/>
      </w:pPr>
      <w:r>
        <w:separator/>
      </w:r>
    </w:p>
  </w:endnote>
  <w:endnote w:type="continuationSeparator" w:id="0">
    <w:p w14:paraId="4DBF42C9" w14:textId="77777777" w:rsidR="007679CE" w:rsidRDefault="007679CE" w:rsidP="00CD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F153" w14:textId="77777777" w:rsidR="00657DA9" w:rsidRDefault="00657D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76BD4" w14:textId="2FF3B9A7" w:rsidR="00657DA9" w:rsidRDefault="00657DA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1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FE28EE" w14:textId="77777777" w:rsidR="00657DA9" w:rsidRDefault="00657D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B3AB" w14:textId="77777777" w:rsidR="00657DA9" w:rsidRDefault="00657D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4F74" w14:textId="77777777" w:rsidR="007679CE" w:rsidRDefault="007679CE" w:rsidP="00CD20B3">
      <w:pPr>
        <w:spacing w:after="0" w:line="240" w:lineRule="auto"/>
      </w:pPr>
      <w:r>
        <w:separator/>
      </w:r>
    </w:p>
  </w:footnote>
  <w:footnote w:type="continuationSeparator" w:id="0">
    <w:p w14:paraId="535C20DD" w14:textId="77777777" w:rsidR="007679CE" w:rsidRDefault="007679CE" w:rsidP="00CD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3603" w14:textId="77777777" w:rsidR="00657DA9" w:rsidRDefault="00657D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8BB3" w14:textId="77777777" w:rsidR="00657DA9" w:rsidRDefault="00657D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ED5" w14:textId="77777777" w:rsidR="00657DA9" w:rsidRDefault="00657D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39E"/>
    <w:multiLevelType w:val="hybridMultilevel"/>
    <w:tmpl w:val="AF8AD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8E9"/>
    <w:multiLevelType w:val="hybridMultilevel"/>
    <w:tmpl w:val="7D50F062"/>
    <w:lvl w:ilvl="0" w:tplc="EE2244B0">
      <w:start w:val="8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1044991"/>
    <w:multiLevelType w:val="hybridMultilevel"/>
    <w:tmpl w:val="8E585AC8"/>
    <w:lvl w:ilvl="0" w:tplc="B6B01E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80AC3"/>
    <w:multiLevelType w:val="hybridMultilevel"/>
    <w:tmpl w:val="E6D03DD0"/>
    <w:lvl w:ilvl="0" w:tplc="C974D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F4AFB"/>
    <w:multiLevelType w:val="hybridMultilevel"/>
    <w:tmpl w:val="46581BFE"/>
    <w:lvl w:ilvl="0" w:tplc="1E86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4616">
    <w:abstractNumId w:val="0"/>
  </w:num>
  <w:num w:numId="2" w16cid:durableId="1666474885">
    <w:abstractNumId w:val="4"/>
  </w:num>
  <w:num w:numId="3" w16cid:durableId="1762070682">
    <w:abstractNumId w:val="3"/>
  </w:num>
  <w:num w:numId="4" w16cid:durableId="1603567032">
    <w:abstractNumId w:val="2"/>
  </w:num>
  <w:num w:numId="5" w16cid:durableId="125675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5"/>
    <w:rsid w:val="0000287B"/>
    <w:rsid w:val="00007368"/>
    <w:rsid w:val="00011E55"/>
    <w:rsid w:val="0001368C"/>
    <w:rsid w:val="000161EA"/>
    <w:rsid w:val="000177F0"/>
    <w:rsid w:val="000219D8"/>
    <w:rsid w:val="00022522"/>
    <w:rsid w:val="00024081"/>
    <w:rsid w:val="0003395A"/>
    <w:rsid w:val="00044577"/>
    <w:rsid w:val="000532E2"/>
    <w:rsid w:val="000538B3"/>
    <w:rsid w:val="00054D0E"/>
    <w:rsid w:val="000658E1"/>
    <w:rsid w:val="00067798"/>
    <w:rsid w:val="000702B3"/>
    <w:rsid w:val="00071A69"/>
    <w:rsid w:val="00072343"/>
    <w:rsid w:val="00072A16"/>
    <w:rsid w:val="0007684C"/>
    <w:rsid w:val="00077483"/>
    <w:rsid w:val="000821F1"/>
    <w:rsid w:val="0008772D"/>
    <w:rsid w:val="00091256"/>
    <w:rsid w:val="00091B5A"/>
    <w:rsid w:val="000923CA"/>
    <w:rsid w:val="000A4645"/>
    <w:rsid w:val="000B4495"/>
    <w:rsid w:val="000B5DB7"/>
    <w:rsid w:val="000B7310"/>
    <w:rsid w:val="000D4DF5"/>
    <w:rsid w:val="000D6AB2"/>
    <w:rsid w:val="000D77FA"/>
    <w:rsid w:val="000E26BA"/>
    <w:rsid w:val="000E3B51"/>
    <w:rsid w:val="000E5CCD"/>
    <w:rsid w:val="000F1617"/>
    <w:rsid w:val="00100071"/>
    <w:rsid w:val="001107E0"/>
    <w:rsid w:val="001135DF"/>
    <w:rsid w:val="00115CB2"/>
    <w:rsid w:val="0012470E"/>
    <w:rsid w:val="00124CD1"/>
    <w:rsid w:val="001262F4"/>
    <w:rsid w:val="001360F2"/>
    <w:rsid w:val="00137BDD"/>
    <w:rsid w:val="001458E5"/>
    <w:rsid w:val="00156740"/>
    <w:rsid w:val="0017219F"/>
    <w:rsid w:val="00176688"/>
    <w:rsid w:val="00176A06"/>
    <w:rsid w:val="00183152"/>
    <w:rsid w:val="00192D0D"/>
    <w:rsid w:val="001947EE"/>
    <w:rsid w:val="00194B42"/>
    <w:rsid w:val="001977CA"/>
    <w:rsid w:val="001A2815"/>
    <w:rsid w:val="001A6D82"/>
    <w:rsid w:val="001B05A4"/>
    <w:rsid w:val="001B3449"/>
    <w:rsid w:val="001B5F3D"/>
    <w:rsid w:val="001B7E31"/>
    <w:rsid w:val="001C1220"/>
    <w:rsid w:val="001C28C4"/>
    <w:rsid w:val="001C7F45"/>
    <w:rsid w:val="001D2FF0"/>
    <w:rsid w:val="001E7DA7"/>
    <w:rsid w:val="00201BE8"/>
    <w:rsid w:val="00202137"/>
    <w:rsid w:val="00203AB5"/>
    <w:rsid w:val="00205D59"/>
    <w:rsid w:val="00211007"/>
    <w:rsid w:val="00217F50"/>
    <w:rsid w:val="00224CF0"/>
    <w:rsid w:val="00226541"/>
    <w:rsid w:val="00234CB5"/>
    <w:rsid w:val="00236103"/>
    <w:rsid w:val="002376CD"/>
    <w:rsid w:val="0024118C"/>
    <w:rsid w:val="00241F11"/>
    <w:rsid w:val="002522D5"/>
    <w:rsid w:val="00252FA1"/>
    <w:rsid w:val="00253C41"/>
    <w:rsid w:val="002612D7"/>
    <w:rsid w:val="002635CF"/>
    <w:rsid w:val="00266B7E"/>
    <w:rsid w:val="00274BC6"/>
    <w:rsid w:val="00280946"/>
    <w:rsid w:val="00281B41"/>
    <w:rsid w:val="00285E1C"/>
    <w:rsid w:val="00286DB5"/>
    <w:rsid w:val="0029006B"/>
    <w:rsid w:val="002956E7"/>
    <w:rsid w:val="0029619C"/>
    <w:rsid w:val="00296DE4"/>
    <w:rsid w:val="002B1CD5"/>
    <w:rsid w:val="002B61DE"/>
    <w:rsid w:val="002C4491"/>
    <w:rsid w:val="002D03D5"/>
    <w:rsid w:val="002D5B7E"/>
    <w:rsid w:val="002F1478"/>
    <w:rsid w:val="002F5A2A"/>
    <w:rsid w:val="002F5E45"/>
    <w:rsid w:val="002F68AF"/>
    <w:rsid w:val="002F6973"/>
    <w:rsid w:val="00301004"/>
    <w:rsid w:val="00310E09"/>
    <w:rsid w:val="00330FE1"/>
    <w:rsid w:val="00336489"/>
    <w:rsid w:val="00340B40"/>
    <w:rsid w:val="003419B8"/>
    <w:rsid w:val="00360918"/>
    <w:rsid w:val="00360ACA"/>
    <w:rsid w:val="00366672"/>
    <w:rsid w:val="00367811"/>
    <w:rsid w:val="003730C3"/>
    <w:rsid w:val="00375576"/>
    <w:rsid w:val="00387C98"/>
    <w:rsid w:val="003930AD"/>
    <w:rsid w:val="003C2BA5"/>
    <w:rsid w:val="003C4337"/>
    <w:rsid w:val="003C6E33"/>
    <w:rsid w:val="003D23B7"/>
    <w:rsid w:val="003D41C8"/>
    <w:rsid w:val="003D4758"/>
    <w:rsid w:val="003E7033"/>
    <w:rsid w:val="003F30B3"/>
    <w:rsid w:val="003F47F5"/>
    <w:rsid w:val="00411EA8"/>
    <w:rsid w:val="00415186"/>
    <w:rsid w:val="004330E6"/>
    <w:rsid w:val="004344DB"/>
    <w:rsid w:val="00445C01"/>
    <w:rsid w:val="00453998"/>
    <w:rsid w:val="00453BDB"/>
    <w:rsid w:val="00456E80"/>
    <w:rsid w:val="0045779E"/>
    <w:rsid w:val="0046220B"/>
    <w:rsid w:val="0046746D"/>
    <w:rsid w:val="004737C0"/>
    <w:rsid w:val="004842BF"/>
    <w:rsid w:val="0048508D"/>
    <w:rsid w:val="00485BAC"/>
    <w:rsid w:val="00494328"/>
    <w:rsid w:val="004A11C2"/>
    <w:rsid w:val="004A261B"/>
    <w:rsid w:val="004A3ADD"/>
    <w:rsid w:val="004C5CA8"/>
    <w:rsid w:val="004C7AA6"/>
    <w:rsid w:val="004D4A63"/>
    <w:rsid w:val="004F7884"/>
    <w:rsid w:val="00500BF7"/>
    <w:rsid w:val="005107EF"/>
    <w:rsid w:val="00523FBC"/>
    <w:rsid w:val="00531191"/>
    <w:rsid w:val="00547B16"/>
    <w:rsid w:val="005523D9"/>
    <w:rsid w:val="005544C8"/>
    <w:rsid w:val="00556372"/>
    <w:rsid w:val="005577F9"/>
    <w:rsid w:val="005646DA"/>
    <w:rsid w:val="00565C90"/>
    <w:rsid w:val="005662D3"/>
    <w:rsid w:val="0056686B"/>
    <w:rsid w:val="00570625"/>
    <w:rsid w:val="00575F8E"/>
    <w:rsid w:val="00576392"/>
    <w:rsid w:val="00581237"/>
    <w:rsid w:val="005860F2"/>
    <w:rsid w:val="00591F89"/>
    <w:rsid w:val="0059525E"/>
    <w:rsid w:val="00595609"/>
    <w:rsid w:val="005964AD"/>
    <w:rsid w:val="00596936"/>
    <w:rsid w:val="00597D10"/>
    <w:rsid w:val="005A17C8"/>
    <w:rsid w:val="005A1BC1"/>
    <w:rsid w:val="005A1C97"/>
    <w:rsid w:val="005A38E6"/>
    <w:rsid w:val="005A4F27"/>
    <w:rsid w:val="005A6F37"/>
    <w:rsid w:val="005B657E"/>
    <w:rsid w:val="005C03DA"/>
    <w:rsid w:val="005D3BB8"/>
    <w:rsid w:val="005D5BFE"/>
    <w:rsid w:val="005D5F54"/>
    <w:rsid w:val="005E5533"/>
    <w:rsid w:val="005F39DB"/>
    <w:rsid w:val="005F3DCD"/>
    <w:rsid w:val="005F58F4"/>
    <w:rsid w:val="00600AF0"/>
    <w:rsid w:val="00607042"/>
    <w:rsid w:val="00612181"/>
    <w:rsid w:val="006173F6"/>
    <w:rsid w:val="00627543"/>
    <w:rsid w:val="00630A50"/>
    <w:rsid w:val="0063189A"/>
    <w:rsid w:val="0063397C"/>
    <w:rsid w:val="00646F76"/>
    <w:rsid w:val="0065018E"/>
    <w:rsid w:val="00657D62"/>
    <w:rsid w:val="00657DA9"/>
    <w:rsid w:val="00662C17"/>
    <w:rsid w:val="00664D5B"/>
    <w:rsid w:val="00666F51"/>
    <w:rsid w:val="00667355"/>
    <w:rsid w:val="0067602E"/>
    <w:rsid w:val="00685897"/>
    <w:rsid w:val="00690323"/>
    <w:rsid w:val="00690EBD"/>
    <w:rsid w:val="006A5482"/>
    <w:rsid w:val="006B278C"/>
    <w:rsid w:val="006B4238"/>
    <w:rsid w:val="006C1595"/>
    <w:rsid w:val="006C33AF"/>
    <w:rsid w:val="006C3CF6"/>
    <w:rsid w:val="006C3DE9"/>
    <w:rsid w:val="006C7053"/>
    <w:rsid w:val="006C7705"/>
    <w:rsid w:val="006C7D31"/>
    <w:rsid w:val="006D2E5F"/>
    <w:rsid w:val="006E1ED4"/>
    <w:rsid w:val="006F58CC"/>
    <w:rsid w:val="007043C8"/>
    <w:rsid w:val="00705708"/>
    <w:rsid w:val="0070685C"/>
    <w:rsid w:val="00712707"/>
    <w:rsid w:val="00712FFB"/>
    <w:rsid w:val="00716822"/>
    <w:rsid w:val="00734264"/>
    <w:rsid w:val="00741762"/>
    <w:rsid w:val="00742459"/>
    <w:rsid w:val="007444A7"/>
    <w:rsid w:val="00755608"/>
    <w:rsid w:val="00756C57"/>
    <w:rsid w:val="00764A29"/>
    <w:rsid w:val="00766E20"/>
    <w:rsid w:val="00767333"/>
    <w:rsid w:val="007679CE"/>
    <w:rsid w:val="00774998"/>
    <w:rsid w:val="00775AF5"/>
    <w:rsid w:val="00777BA8"/>
    <w:rsid w:val="0079729D"/>
    <w:rsid w:val="00797E90"/>
    <w:rsid w:val="007A7BE6"/>
    <w:rsid w:val="007B3946"/>
    <w:rsid w:val="007B4DF6"/>
    <w:rsid w:val="007B6191"/>
    <w:rsid w:val="007B7C72"/>
    <w:rsid w:val="007C0785"/>
    <w:rsid w:val="007C1AA9"/>
    <w:rsid w:val="007C2019"/>
    <w:rsid w:val="007C2621"/>
    <w:rsid w:val="007C29C8"/>
    <w:rsid w:val="007C56D3"/>
    <w:rsid w:val="007D2C0D"/>
    <w:rsid w:val="007D354D"/>
    <w:rsid w:val="007D6F3F"/>
    <w:rsid w:val="007D7BF7"/>
    <w:rsid w:val="007D7FD5"/>
    <w:rsid w:val="007E1C36"/>
    <w:rsid w:val="007E3214"/>
    <w:rsid w:val="007E5124"/>
    <w:rsid w:val="007E6939"/>
    <w:rsid w:val="007E6CD0"/>
    <w:rsid w:val="007F09C2"/>
    <w:rsid w:val="007F1B94"/>
    <w:rsid w:val="008071DF"/>
    <w:rsid w:val="00807F70"/>
    <w:rsid w:val="00810969"/>
    <w:rsid w:val="00812357"/>
    <w:rsid w:val="00813BFA"/>
    <w:rsid w:val="00816B17"/>
    <w:rsid w:val="00817105"/>
    <w:rsid w:val="00817A67"/>
    <w:rsid w:val="008261AC"/>
    <w:rsid w:val="00826787"/>
    <w:rsid w:val="00830396"/>
    <w:rsid w:val="00830E34"/>
    <w:rsid w:val="0084373E"/>
    <w:rsid w:val="008457B2"/>
    <w:rsid w:val="0085014E"/>
    <w:rsid w:val="00852F41"/>
    <w:rsid w:val="008700DA"/>
    <w:rsid w:val="00873A52"/>
    <w:rsid w:val="0087499D"/>
    <w:rsid w:val="008777D4"/>
    <w:rsid w:val="00886E94"/>
    <w:rsid w:val="008903EB"/>
    <w:rsid w:val="008A23C8"/>
    <w:rsid w:val="008A47F1"/>
    <w:rsid w:val="008A58E2"/>
    <w:rsid w:val="008B09EC"/>
    <w:rsid w:val="008C1E24"/>
    <w:rsid w:val="008D0142"/>
    <w:rsid w:val="008D0DED"/>
    <w:rsid w:val="008E63C5"/>
    <w:rsid w:val="009015EE"/>
    <w:rsid w:val="00901C8E"/>
    <w:rsid w:val="00906E76"/>
    <w:rsid w:val="00914D00"/>
    <w:rsid w:val="00917DB9"/>
    <w:rsid w:val="0092266A"/>
    <w:rsid w:val="00931CDE"/>
    <w:rsid w:val="00942B29"/>
    <w:rsid w:val="0094398B"/>
    <w:rsid w:val="00950A18"/>
    <w:rsid w:val="00952C1E"/>
    <w:rsid w:val="009564DE"/>
    <w:rsid w:val="00960265"/>
    <w:rsid w:val="009617BA"/>
    <w:rsid w:val="00965DC0"/>
    <w:rsid w:val="00984EA4"/>
    <w:rsid w:val="009929AC"/>
    <w:rsid w:val="009A1AFC"/>
    <w:rsid w:val="009A487A"/>
    <w:rsid w:val="009A67E0"/>
    <w:rsid w:val="009B33D7"/>
    <w:rsid w:val="009C2DF2"/>
    <w:rsid w:val="009C660D"/>
    <w:rsid w:val="009D3742"/>
    <w:rsid w:val="009D5777"/>
    <w:rsid w:val="009E24E2"/>
    <w:rsid w:val="009F386A"/>
    <w:rsid w:val="009F7103"/>
    <w:rsid w:val="00A02350"/>
    <w:rsid w:val="00A02630"/>
    <w:rsid w:val="00A03AFC"/>
    <w:rsid w:val="00A05ECE"/>
    <w:rsid w:val="00A126C8"/>
    <w:rsid w:val="00A1678A"/>
    <w:rsid w:val="00A17BC2"/>
    <w:rsid w:val="00A33638"/>
    <w:rsid w:val="00A41BA1"/>
    <w:rsid w:val="00A4261E"/>
    <w:rsid w:val="00A4483C"/>
    <w:rsid w:val="00A51D23"/>
    <w:rsid w:val="00A55786"/>
    <w:rsid w:val="00A62167"/>
    <w:rsid w:val="00A716F0"/>
    <w:rsid w:val="00A849CE"/>
    <w:rsid w:val="00A942EE"/>
    <w:rsid w:val="00A96226"/>
    <w:rsid w:val="00A97AF6"/>
    <w:rsid w:val="00AA18B7"/>
    <w:rsid w:val="00AA274A"/>
    <w:rsid w:val="00AA5BBC"/>
    <w:rsid w:val="00AB13BC"/>
    <w:rsid w:val="00AB3546"/>
    <w:rsid w:val="00AB36DD"/>
    <w:rsid w:val="00AB3D01"/>
    <w:rsid w:val="00AC3B45"/>
    <w:rsid w:val="00AC51D5"/>
    <w:rsid w:val="00AD47AE"/>
    <w:rsid w:val="00AD5853"/>
    <w:rsid w:val="00AE048F"/>
    <w:rsid w:val="00AE33FF"/>
    <w:rsid w:val="00AE4273"/>
    <w:rsid w:val="00AE6FA3"/>
    <w:rsid w:val="00AF1B92"/>
    <w:rsid w:val="00AF36AA"/>
    <w:rsid w:val="00AF5A4D"/>
    <w:rsid w:val="00AF5C4E"/>
    <w:rsid w:val="00B004DB"/>
    <w:rsid w:val="00B0293F"/>
    <w:rsid w:val="00B02F5F"/>
    <w:rsid w:val="00B036F1"/>
    <w:rsid w:val="00B221CA"/>
    <w:rsid w:val="00B22FA8"/>
    <w:rsid w:val="00B33BFA"/>
    <w:rsid w:val="00B3414C"/>
    <w:rsid w:val="00B4250F"/>
    <w:rsid w:val="00B432FB"/>
    <w:rsid w:val="00B50247"/>
    <w:rsid w:val="00B506D3"/>
    <w:rsid w:val="00B530FE"/>
    <w:rsid w:val="00B62960"/>
    <w:rsid w:val="00B676F8"/>
    <w:rsid w:val="00B75867"/>
    <w:rsid w:val="00B8081E"/>
    <w:rsid w:val="00B83D72"/>
    <w:rsid w:val="00B846A6"/>
    <w:rsid w:val="00B85521"/>
    <w:rsid w:val="00B9258E"/>
    <w:rsid w:val="00B956CA"/>
    <w:rsid w:val="00BA2DAF"/>
    <w:rsid w:val="00BA2F25"/>
    <w:rsid w:val="00BA43C3"/>
    <w:rsid w:val="00BA66E4"/>
    <w:rsid w:val="00BB3112"/>
    <w:rsid w:val="00BB5742"/>
    <w:rsid w:val="00BD07B1"/>
    <w:rsid w:val="00BD39CA"/>
    <w:rsid w:val="00BD5BA3"/>
    <w:rsid w:val="00BE17C9"/>
    <w:rsid w:val="00BE1DE0"/>
    <w:rsid w:val="00BE249C"/>
    <w:rsid w:val="00C000A4"/>
    <w:rsid w:val="00C02317"/>
    <w:rsid w:val="00C10760"/>
    <w:rsid w:val="00C136C0"/>
    <w:rsid w:val="00C16278"/>
    <w:rsid w:val="00C34118"/>
    <w:rsid w:val="00C403A0"/>
    <w:rsid w:val="00C421F8"/>
    <w:rsid w:val="00C43BCA"/>
    <w:rsid w:val="00C47366"/>
    <w:rsid w:val="00C507F5"/>
    <w:rsid w:val="00C56F0C"/>
    <w:rsid w:val="00C62D2E"/>
    <w:rsid w:val="00C66BBB"/>
    <w:rsid w:val="00C67B97"/>
    <w:rsid w:val="00C72751"/>
    <w:rsid w:val="00C84283"/>
    <w:rsid w:val="00C90F95"/>
    <w:rsid w:val="00C95044"/>
    <w:rsid w:val="00CA3853"/>
    <w:rsid w:val="00CA75F4"/>
    <w:rsid w:val="00CB0042"/>
    <w:rsid w:val="00CB2076"/>
    <w:rsid w:val="00CB4DF6"/>
    <w:rsid w:val="00CB6F00"/>
    <w:rsid w:val="00CC2130"/>
    <w:rsid w:val="00CC5785"/>
    <w:rsid w:val="00CC6A8F"/>
    <w:rsid w:val="00CD20B3"/>
    <w:rsid w:val="00CD364E"/>
    <w:rsid w:val="00CD436A"/>
    <w:rsid w:val="00CE0F5A"/>
    <w:rsid w:val="00CE6D5A"/>
    <w:rsid w:val="00CE771D"/>
    <w:rsid w:val="00CF16C7"/>
    <w:rsid w:val="00CF62FE"/>
    <w:rsid w:val="00D009CC"/>
    <w:rsid w:val="00D0653A"/>
    <w:rsid w:val="00D12EA6"/>
    <w:rsid w:val="00D237EE"/>
    <w:rsid w:val="00D23BF3"/>
    <w:rsid w:val="00D23DAA"/>
    <w:rsid w:val="00D2449B"/>
    <w:rsid w:val="00D401F4"/>
    <w:rsid w:val="00D403CB"/>
    <w:rsid w:val="00D467F1"/>
    <w:rsid w:val="00D52924"/>
    <w:rsid w:val="00D560B4"/>
    <w:rsid w:val="00D61536"/>
    <w:rsid w:val="00D64F2B"/>
    <w:rsid w:val="00D6717C"/>
    <w:rsid w:val="00D7307B"/>
    <w:rsid w:val="00D73E79"/>
    <w:rsid w:val="00D84590"/>
    <w:rsid w:val="00D84D1C"/>
    <w:rsid w:val="00D85886"/>
    <w:rsid w:val="00D954A1"/>
    <w:rsid w:val="00D971BD"/>
    <w:rsid w:val="00DA31AD"/>
    <w:rsid w:val="00DB1DEB"/>
    <w:rsid w:val="00DB369E"/>
    <w:rsid w:val="00DB660F"/>
    <w:rsid w:val="00DC0FF5"/>
    <w:rsid w:val="00DC2FA3"/>
    <w:rsid w:val="00DD1B83"/>
    <w:rsid w:val="00DD1E0E"/>
    <w:rsid w:val="00DD26CC"/>
    <w:rsid w:val="00DD72AD"/>
    <w:rsid w:val="00DE1AAD"/>
    <w:rsid w:val="00DF1F33"/>
    <w:rsid w:val="00DF21D8"/>
    <w:rsid w:val="00DF2680"/>
    <w:rsid w:val="00DF4D34"/>
    <w:rsid w:val="00DF751F"/>
    <w:rsid w:val="00E0252A"/>
    <w:rsid w:val="00E02878"/>
    <w:rsid w:val="00E14864"/>
    <w:rsid w:val="00E17C13"/>
    <w:rsid w:val="00E230A1"/>
    <w:rsid w:val="00E23B29"/>
    <w:rsid w:val="00E437AD"/>
    <w:rsid w:val="00E52E13"/>
    <w:rsid w:val="00E54F97"/>
    <w:rsid w:val="00E565DE"/>
    <w:rsid w:val="00E6019A"/>
    <w:rsid w:val="00E62021"/>
    <w:rsid w:val="00E752E1"/>
    <w:rsid w:val="00E808C6"/>
    <w:rsid w:val="00EA5B67"/>
    <w:rsid w:val="00EA6CFB"/>
    <w:rsid w:val="00EC78BB"/>
    <w:rsid w:val="00ED45FA"/>
    <w:rsid w:val="00ED4B51"/>
    <w:rsid w:val="00ED6A44"/>
    <w:rsid w:val="00EF030E"/>
    <w:rsid w:val="00EF1710"/>
    <w:rsid w:val="00EF6F2C"/>
    <w:rsid w:val="00F009F6"/>
    <w:rsid w:val="00F215D8"/>
    <w:rsid w:val="00F302FD"/>
    <w:rsid w:val="00F30947"/>
    <w:rsid w:val="00F473B2"/>
    <w:rsid w:val="00F47EE0"/>
    <w:rsid w:val="00F50153"/>
    <w:rsid w:val="00F50C1B"/>
    <w:rsid w:val="00F5600F"/>
    <w:rsid w:val="00F668BA"/>
    <w:rsid w:val="00F768D1"/>
    <w:rsid w:val="00F828AC"/>
    <w:rsid w:val="00F84DF6"/>
    <w:rsid w:val="00F86957"/>
    <w:rsid w:val="00F97160"/>
    <w:rsid w:val="00FA21F4"/>
    <w:rsid w:val="00FA3E8E"/>
    <w:rsid w:val="00FA56B6"/>
    <w:rsid w:val="00FB0D9B"/>
    <w:rsid w:val="00FB47CB"/>
    <w:rsid w:val="00FB54B5"/>
    <w:rsid w:val="00FB5828"/>
    <w:rsid w:val="00FC0A7D"/>
    <w:rsid w:val="00FC4D62"/>
    <w:rsid w:val="00FD311D"/>
    <w:rsid w:val="00FD7EE1"/>
    <w:rsid w:val="00FE2F52"/>
    <w:rsid w:val="00FE3C35"/>
    <w:rsid w:val="00FE5C88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1E46"/>
  <w15:docId w15:val="{E2F07D5C-C185-4D3F-8B92-2CCA045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D5"/>
  </w:style>
  <w:style w:type="paragraph" w:styleId="Ttulo1">
    <w:name w:val="heading 1"/>
    <w:basedOn w:val="Normal"/>
    <w:next w:val="Normal"/>
    <w:link w:val="Ttulo1Char"/>
    <w:uiPriority w:val="9"/>
    <w:qFormat/>
    <w:rsid w:val="001C28C4"/>
    <w:pPr>
      <w:keepNex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C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C28C4"/>
    <w:rPr>
      <w:rFonts w:ascii="Times New Roman" w:eastAsia="Times New Roman" w:hAnsi="Times New Roman" w:cs="Times New Roman"/>
      <w:b/>
      <w:bCs/>
      <w:kern w:val="32"/>
      <w:sz w:val="24"/>
      <w:szCs w:val="32"/>
      <w:lang w:val="x-none"/>
    </w:rPr>
  </w:style>
  <w:style w:type="character" w:styleId="Hyperlink">
    <w:name w:val="Hyperlink"/>
    <w:uiPriority w:val="99"/>
    <w:rsid w:val="001C28C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C28C4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1C28C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L1Receivedaccepteddates">
    <w:name w:val="L1 Received/accepted dates"/>
    <w:next w:val="Normal"/>
    <w:rsid w:val="001C28C4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CD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0B3"/>
  </w:style>
  <w:style w:type="paragraph" w:styleId="Rodap">
    <w:name w:val="footer"/>
    <w:basedOn w:val="Normal"/>
    <w:link w:val="RodapChar"/>
    <w:uiPriority w:val="99"/>
    <w:unhideWhenUsed/>
    <w:rsid w:val="00CD2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0B3"/>
  </w:style>
  <w:style w:type="character" w:customStyle="1" w:styleId="MenoPendente1">
    <w:name w:val="Menção Pendente1"/>
    <w:basedOn w:val="Fontepargpadro"/>
    <w:uiPriority w:val="99"/>
    <w:semiHidden/>
    <w:unhideWhenUsed/>
    <w:rsid w:val="00EF030E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D403CB"/>
  </w:style>
  <w:style w:type="character" w:styleId="Refdecomentrio">
    <w:name w:val="annotation reference"/>
    <w:basedOn w:val="Fontepargpadro"/>
    <w:uiPriority w:val="99"/>
    <w:semiHidden/>
    <w:unhideWhenUsed/>
    <w:rsid w:val="000538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8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8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8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8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Rakocevic</dc:creator>
  <cp:keywords/>
  <dc:description/>
  <cp:lastModifiedBy>User M</cp:lastModifiedBy>
  <cp:revision>2</cp:revision>
  <dcterms:created xsi:type="dcterms:W3CDTF">2022-12-16T20:15:00Z</dcterms:created>
  <dcterms:modified xsi:type="dcterms:W3CDTF">2022-12-16T20:15:00Z</dcterms:modified>
</cp:coreProperties>
</file>