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CB" w:rsidRPr="00030B29" w:rsidRDefault="004136F4" w:rsidP="004136F4">
      <w:pPr>
        <w:pStyle w:val="Geenafstand"/>
        <w:rPr>
          <w:b/>
          <w:sz w:val="20"/>
        </w:rPr>
      </w:pPr>
      <w:r w:rsidRPr="00030B29">
        <w:rPr>
          <w:b/>
          <w:sz w:val="20"/>
        </w:rPr>
        <w:t xml:space="preserve">Appendix A: </w:t>
      </w:r>
      <w:r w:rsidR="004E2E38" w:rsidRPr="00030B29">
        <w:rPr>
          <w:b/>
          <w:sz w:val="20"/>
        </w:rPr>
        <w:t>Roman and e</w:t>
      </w:r>
      <w:r w:rsidR="00423E0F" w:rsidRPr="00030B29">
        <w:rPr>
          <w:b/>
          <w:sz w:val="20"/>
        </w:rPr>
        <w:t>arly</w:t>
      </w:r>
      <w:r w:rsidR="004E2E38" w:rsidRPr="00030B29">
        <w:rPr>
          <w:b/>
          <w:sz w:val="20"/>
        </w:rPr>
        <w:t>-</w:t>
      </w:r>
      <w:r w:rsidR="00423E0F" w:rsidRPr="00030B29">
        <w:rPr>
          <w:b/>
          <w:sz w:val="20"/>
        </w:rPr>
        <w:t>medieval p</w:t>
      </w:r>
      <w:r w:rsidR="00CF1804" w:rsidRPr="00030B29">
        <w:rPr>
          <w:b/>
          <w:sz w:val="20"/>
        </w:rPr>
        <w:t>opulation estimates</w:t>
      </w:r>
      <w:r w:rsidR="004E2E38" w:rsidRPr="00030B29">
        <w:rPr>
          <w:b/>
          <w:sz w:val="20"/>
        </w:rPr>
        <w:t xml:space="preserve"> in the</w:t>
      </w:r>
      <w:r w:rsidR="00CF1804" w:rsidRPr="00030B29">
        <w:rPr>
          <w:b/>
          <w:sz w:val="20"/>
        </w:rPr>
        <w:t xml:space="preserve"> </w:t>
      </w:r>
      <w:r w:rsidRPr="00030B29">
        <w:rPr>
          <w:b/>
          <w:sz w:val="20"/>
        </w:rPr>
        <w:t>Rhine-Meuse delta (the Netherlands)</w:t>
      </w:r>
    </w:p>
    <w:p w:rsidR="001461C4" w:rsidRPr="00030B29" w:rsidRDefault="001461C4" w:rsidP="004136F4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R.J. Van </w:t>
      </w:r>
      <w:proofErr w:type="spellStart"/>
      <w:r w:rsidRPr="00030B29">
        <w:rPr>
          <w:sz w:val="20"/>
        </w:rPr>
        <w:t>Lanen</w:t>
      </w:r>
      <w:proofErr w:type="spellEnd"/>
    </w:p>
    <w:p w:rsidR="001461C4" w:rsidRPr="00030B29" w:rsidRDefault="001461C4" w:rsidP="004136F4">
      <w:pPr>
        <w:pStyle w:val="Geenafstand"/>
        <w:jc w:val="both"/>
        <w:rPr>
          <w:sz w:val="20"/>
        </w:rPr>
      </w:pPr>
    </w:p>
    <w:p w:rsidR="00465BE8" w:rsidRPr="00030B29" w:rsidRDefault="00465BE8" w:rsidP="004136F4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 </w:t>
      </w:r>
      <w:r w:rsidR="00835C7E" w:rsidRPr="00030B29">
        <w:rPr>
          <w:sz w:val="20"/>
        </w:rPr>
        <w:t xml:space="preserve">presented </w:t>
      </w:r>
      <w:r w:rsidRPr="00030B29">
        <w:rPr>
          <w:sz w:val="20"/>
        </w:rPr>
        <w:t>demographic reconstructions are based on a multitude of archaeological</w:t>
      </w:r>
      <w:r w:rsidR="00316007" w:rsidRPr="00030B29">
        <w:rPr>
          <w:sz w:val="20"/>
        </w:rPr>
        <w:t xml:space="preserve"> and historical data and are the result of </w:t>
      </w:r>
      <w:r w:rsidR="00835C7E" w:rsidRPr="00030B29">
        <w:rPr>
          <w:sz w:val="20"/>
        </w:rPr>
        <w:t xml:space="preserve">a </w:t>
      </w:r>
      <w:r w:rsidR="00FD04D7" w:rsidRPr="00030B29">
        <w:rPr>
          <w:sz w:val="20"/>
        </w:rPr>
        <w:t>close collaboration with Roman and</w:t>
      </w:r>
      <w:r w:rsidR="00316007" w:rsidRPr="00030B29">
        <w:rPr>
          <w:sz w:val="20"/>
        </w:rPr>
        <w:t xml:space="preserve"> early-medieval period experts</w:t>
      </w:r>
      <w:r w:rsidR="00835C7E" w:rsidRPr="00030B29">
        <w:rPr>
          <w:sz w:val="20"/>
        </w:rPr>
        <w:t xml:space="preserve">. The </w:t>
      </w:r>
      <w:r w:rsidRPr="00030B29">
        <w:rPr>
          <w:sz w:val="20"/>
        </w:rPr>
        <w:t>Roman reconstruction</w:t>
      </w:r>
      <w:r w:rsidR="00737EF1" w:rsidRPr="00030B29">
        <w:rPr>
          <w:sz w:val="20"/>
        </w:rPr>
        <w:t xml:space="preserve">s were compiled with help from </w:t>
      </w:r>
      <w:proofErr w:type="spellStart"/>
      <w:r w:rsidR="00737EF1" w:rsidRPr="00030B29">
        <w:rPr>
          <w:sz w:val="20"/>
        </w:rPr>
        <w:t>D</w:t>
      </w:r>
      <w:r w:rsidRPr="00030B29">
        <w:rPr>
          <w:sz w:val="20"/>
        </w:rPr>
        <w:t>rs.</w:t>
      </w:r>
      <w:proofErr w:type="spellEnd"/>
      <w:r w:rsidRPr="00030B29">
        <w:rPr>
          <w:sz w:val="20"/>
        </w:rPr>
        <w:t xml:space="preserve"> T. de Groot</w:t>
      </w:r>
      <w:r w:rsidR="00DE6D09" w:rsidRPr="00030B29">
        <w:rPr>
          <w:sz w:val="20"/>
        </w:rPr>
        <w:t xml:space="preserve"> (</w:t>
      </w:r>
      <w:r w:rsidR="00825331" w:rsidRPr="00030B29">
        <w:rPr>
          <w:sz w:val="20"/>
        </w:rPr>
        <w:t>Cultural Heritage Agency of the Netherlands</w:t>
      </w:r>
      <w:r w:rsidR="000F2E3E" w:rsidRPr="00030B29">
        <w:rPr>
          <w:sz w:val="20"/>
        </w:rPr>
        <w:t xml:space="preserve"> (</w:t>
      </w:r>
      <w:r w:rsidR="00737EF1" w:rsidRPr="00030B29">
        <w:rPr>
          <w:sz w:val="20"/>
        </w:rPr>
        <w:t>RCE</w:t>
      </w:r>
      <w:r w:rsidR="000F2E3E" w:rsidRPr="00030B29">
        <w:rPr>
          <w:sz w:val="20"/>
        </w:rPr>
        <w:t>)</w:t>
      </w:r>
      <w:r w:rsidR="00DE6D09" w:rsidRPr="00030B29">
        <w:rPr>
          <w:sz w:val="20"/>
        </w:rPr>
        <w:t>)</w:t>
      </w:r>
      <w:r w:rsidR="00737EF1" w:rsidRPr="00030B29">
        <w:rPr>
          <w:sz w:val="20"/>
        </w:rPr>
        <w:t xml:space="preserve">, </w:t>
      </w:r>
      <w:proofErr w:type="spellStart"/>
      <w:r w:rsidR="00737EF1" w:rsidRPr="00030B29">
        <w:rPr>
          <w:sz w:val="20"/>
        </w:rPr>
        <w:t>D</w:t>
      </w:r>
      <w:r w:rsidRPr="00030B29">
        <w:rPr>
          <w:sz w:val="20"/>
        </w:rPr>
        <w:t>r.</w:t>
      </w:r>
      <w:proofErr w:type="spellEnd"/>
      <w:r w:rsidRPr="00030B29">
        <w:rPr>
          <w:sz w:val="20"/>
        </w:rPr>
        <w:t xml:space="preserve"> H. van </w:t>
      </w:r>
      <w:proofErr w:type="spellStart"/>
      <w:r w:rsidRPr="00030B29">
        <w:rPr>
          <w:sz w:val="20"/>
        </w:rPr>
        <w:t>Enckevort</w:t>
      </w:r>
      <w:proofErr w:type="spellEnd"/>
      <w:r w:rsidR="00DE6D09" w:rsidRPr="00030B29">
        <w:rPr>
          <w:sz w:val="20"/>
        </w:rPr>
        <w:t xml:space="preserve"> (</w:t>
      </w:r>
      <w:r w:rsidR="00835C7E" w:rsidRPr="00030B29">
        <w:rPr>
          <w:sz w:val="20"/>
        </w:rPr>
        <w:t xml:space="preserve">municipality of </w:t>
      </w:r>
      <w:r w:rsidR="00DE6D09" w:rsidRPr="00030B29">
        <w:rPr>
          <w:sz w:val="20"/>
        </w:rPr>
        <w:t>Nijmegen)</w:t>
      </w:r>
      <w:r w:rsidR="00BE1BBB" w:rsidRPr="00030B29">
        <w:rPr>
          <w:sz w:val="20"/>
        </w:rPr>
        <w:t xml:space="preserve"> and </w:t>
      </w:r>
      <w:proofErr w:type="spellStart"/>
      <w:r w:rsidR="00BE1BBB" w:rsidRPr="00030B29">
        <w:rPr>
          <w:sz w:val="20"/>
        </w:rPr>
        <w:t>D</w:t>
      </w:r>
      <w:r w:rsidRPr="00030B29">
        <w:rPr>
          <w:sz w:val="20"/>
        </w:rPr>
        <w:t>r.</w:t>
      </w:r>
      <w:proofErr w:type="spellEnd"/>
      <w:r w:rsidRPr="00030B29">
        <w:rPr>
          <w:sz w:val="20"/>
        </w:rPr>
        <w:t xml:space="preserve"> </w:t>
      </w:r>
      <w:r w:rsidR="00316007" w:rsidRPr="00030B29">
        <w:rPr>
          <w:sz w:val="20"/>
        </w:rPr>
        <w:t xml:space="preserve">S. </w:t>
      </w:r>
      <w:proofErr w:type="spellStart"/>
      <w:r w:rsidR="00316007" w:rsidRPr="00030B29">
        <w:rPr>
          <w:sz w:val="20"/>
        </w:rPr>
        <w:t>Heeren</w:t>
      </w:r>
      <w:proofErr w:type="spellEnd"/>
      <w:r w:rsidR="00DE6D09" w:rsidRPr="00030B29">
        <w:rPr>
          <w:sz w:val="20"/>
        </w:rPr>
        <w:t xml:space="preserve"> (</w:t>
      </w:r>
      <w:proofErr w:type="spellStart"/>
      <w:r w:rsidR="00DE6D09" w:rsidRPr="00030B29">
        <w:rPr>
          <w:sz w:val="20"/>
        </w:rPr>
        <w:t>V</w:t>
      </w:r>
      <w:r w:rsidR="00825331" w:rsidRPr="00030B29">
        <w:rPr>
          <w:sz w:val="20"/>
        </w:rPr>
        <w:t>rije</w:t>
      </w:r>
      <w:proofErr w:type="spellEnd"/>
      <w:r w:rsidR="00825331" w:rsidRPr="00030B29">
        <w:rPr>
          <w:sz w:val="20"/>
        </w:rPr>
        <w:t xml:space="preserve"> </w:t>
      </w:r>
      <w:proofErr w:type="spellStart"/>
      <w:r w:rsidR="00DE6D09" w:rsidRPr="00030B29">
        <w:rPr>
          <w:sz w:val="20"/>
        </w:rPr>
        <w:t>U</w:t>
      </w:r>
      <w:r w:rsidR="00825331" w:rsidRPr="00030B29">
        <w:rPr>
          <w:sz w:val="20"/>
        </w:rPr>
        <w:t>niversiteit</w:t>
      </w:r>
      <w:proofErr w:type="spellEnd"/>
      <w:r w:rsidR="00DE6D09" w:rsidRPr="00030B29">
        <w:rPr>
          <w:sz w:val="20"/>
        </w:rPr>
        <w:t>)</w:t>
      </w:r>
      <w:r w:rsidR="00316007" w:rsidRPr="00030B29">
        <w:rPr>
          <w:sz w:val="20"/>
        </w:rPr>
        <w:t>. The e</w:t>
      </w:r>
      <w:r w:rsidRPr="00030B29">
        <w:rPr>
          <w:sz w:val="20"/>
        </w:rPr>
        <w:t>a</w:t>
      </w:r>
      <w:r w:rsidR="00316007" w:rsidRPr="00030B29">
        <w:rPr>
          <w:sz w:val="20"/>
        </w:rPr>
        <w:t xml:space="preserve">rly-medieval palaeodemographics would have been impossible to reconstruct without the help </w:t>
      </w:r>
      <w:r w:rsidR="00835C7E" w:rsidRPr="00030B29">
        <w:rPr>
          <w:sz w:val="20"/>
        </w:rPr>
        <w:t xml:space="preserve">of </w:t>
      </w:r>
      <w:proofErr w:type="spellStart"/>
      <w:r w:rsidR="00737EF1" w:rsidRPr="00030B29">
        <w:rPr>
          <w:sz w:val="20"/>
        </w:rPr>
        <w:t>D</w:t>
      </w:r>
      <w:r w:rsidR="00316007" w:rsidRPr="00030B29">
        <w:rPr>
          <w:sz w:val="20"/>
        </w:rPr>
        <w:t>rs.</w:t>
      </w:r>
      <w:proofErr w:type="spellEnd"/>
      <w:r w:rsidR="00316007" w:rsidRPr="00030B29">
        <w:rPr>
          <w:sz w:val="20"/>
        </w:rPr>
        <w:t xml:space="preserve"> C. van </w:t>
      </w:r>
      <w:proofErr w:type="spellStart"/>
      <w:r w:rsidR="00316007" w:rsidRPr="00030B29">
        <w:rPr>
          <w:sz w:val="20"/>
        </w:rPr>
        <w:t>Rooijen</w:t>
      </w:r>
      <w:proofErr w:type="spellEnd"/>
      <w:r w:rsidR="00316007" w:rsidRPr="00030B29">
        <w:rPr>
          <w:sz w:val="20"/>
        </w:rPr>
        <w:t xml:space="preserve"> </w:t>
      </w:r>
      <w:r w:rsidR="00DE6D09" w:rsidRPr="00030B29">
        <w:rPr>
          <w:sz w:val="20"/>
        </w:rPr>
        <w:t>(</w:t>
      </w:r>
      <w:r w:rsidR="00EC26CC" w:rsidRPr="00030B29">
        <w:rPr>
          <w:sz w:val="20"/>
        </w:rPr>
        <w:t>RCE</w:t>
      </w:r>
      <w:r w:rsidR="00DE6D09" w:rsidRPr="00030B29">
        <w:rPr>
          <w:sz w:val="20"/>
        </w:rPr>
        <w:t xml:space="preserve">) </w:t>
      </w:r>
      <w:r w:rsidR="00737EF1" w:rsidRPr="00030B29">
        <w:rPr>
          <w:sz w:val="20"/>
        </w:rPr>
        <w:t xml:space="preserve">and </w:t>
      </w:r>
      <w:proofErr w:type="spellStart"/>
      <w:r w:rsidR="00737EF1" w:rsidRPr="00030B29">
        <w:rPr>
          <w:sz w:val="20"/>
        </w:rPr>
        <w:t>D</w:t>
      </w:r>
      <w:r w:rsidR="00316007" w:rsidRPr="00030B29">
        <w:rPr>
          <w:sz w:val="20"/>
        </w:rPr>
        <w:t>rs.</w:t>
      </w:r>
      <w:proofErr w:type="spellEnd"/>
      <w:r w:rsidR="00316007" w:rsidRPr="00030B29">
        <w:rPr>
          <w:sz w:val="20"/>
        </w:rPr>
        <w:t xml:space="preserve"> J. van </w:t>
      </w:r>
      <w:proofErr w:type="spellStart"/>
      <w:r w:rsidR="00316007" w:rsidRPr="00030B29">
        <w:rPr>
          <w:sz w:val="20"/>
        </w:rPr>
        <w:t>Doesburg</w:t>
      </w:r>
      <w:proofErr w:type="spellEnd"/>
      <w:r w:rsidR="00DE6D09" w:rsidRPr="00030B29">
        <w:rPr>
          <w:sz w:val="20"/>
        </w:rPr>
        <w:t xml:space="preserve"> (</w:t>
      </w:r>
      <w:r w:rsidR="00EC26CC" w:rsidRPr="00030B29">
        <w:rPr>
          <w:sz w:val="20"/>
        </w:rPr>
        <w:t>RCE</w:t>
      </w:r>
      <w:r w:rsidR="00DE6D09" w:rsidRPr="00030B29">
        <w:rPr>
          <w:sz w:val="20"/>
        </w:rPr>
        <w:t>)</w:t>
      </w:r>
      <w:r w:rsidR="00316007" w:rsidRPr="00030B29">
        <w:rPr>
          <w:sz w:val="20"/>
        </w:rPr>
        <w:t xml:space="preserve">. Overall demographic data were collected and analysed by R.J. van </w:t>
      </w:r>
      <w:proofErr w:type="spellStart"/>
      <w:r w:rsidR="00316007" w:rsidRPr="00030B29">
        <w:rPr>
          <w:sz w:val="20"/>
        </w:rPr>
        <w:t>Lanen</w:t>
      </w:r>
      <w:proofErr w:type="spellEnd"/>
      <w:r w:rsidR="00316007" w:rsidRPr="00030B29">
        <w:rPr>
          <w:sz w:val="20"/>
        </w:rPr>
        <w:t>, M.A.</w:t>
      </w:r>
      <w:r w:rsidR="00DE6D09" w:rsidRPr="00030B29">
        <w:rPr>
          <w:sz w:val="20"/>
        </w:rPr>
        <w:t xml:space="preserve"> (U</w:t>
      </w:r>
      <w:r w:rsidR="00825331" w:rsidRPr="00030B29">
        <w:rPr>
          <w:sz w:val="20"/>
        </w:rPr>
        <w:t xml:space="preserve">trecht </w:t>
      </w:r>
      <w:r w:rsidR="00DE6D09" w:rsidRPr="00030B29">
        <w:rPr>
          <w:sz w:val="20"/>
        </w:rPr>
        <w:t>U</w:t>
      </w:r>
      <w:r w:rsidR="00825331" w:rsidRPr="00030B29">
        <w:rPr>
          <w:sz w:val="20"/>
        </w:rPr>
        <w:t>niversity</w:t>
      </w:r>
      <w:r w:rsidR="00DE6D09" w:rsidRPr="00030B29">
        <w:rPr>
          <w:sz w:val="20"/>
        </w:rPr>
        <w:t xml:space="preserve"> and </w:t>
      </w:r>
      <w:r w:rsidR="00EC26CC" w:rsidRPr="00030B29">
        <w:rPr>
          <w:sz w:val="20"/>
        </w:rPr>
        <w:t>RCE</w:t>
      </w:r>
      <w:r w:rsidR="00DE6D09" w:rsidRPr="00030B29">
        <w:rPr>
          <w:sz w:val="20"/>
        </w:rPr>
        <w:t>)</w:t>
      </w:r>
      <w:r w:rsidR="00737EF1" w:rsidRPr="00030B29">
        <w:rPr>
          <w:sz w:val="20"/>
        </w:rPr>
        <w:t xml:space="preserve"> and </w:t>
      </w:r>
      <w:proofErr w:type="spellStart"/>
      <w:r w:rsidR="00737EF1" w:rsidRPr="00030B29">
        <w:rPr>
          <w:sz w:val="20"/>
        </w:rPr>
        <w:t>D</w:t>
      </w:r>
      <w:r w:rsidR="00316007" w:rsidRPr="00030B29">
        <w:rPr>
          <w:sz w:val="20"/>
        </w:rPr>
        <w:t>r.</w:t>
      </w:r>
      <w:proofErr w:type="spellEnd"/>
      <w:r w:rsidR="00316007" w:rsidRPr="00030B29">
        <w:rPr>
          <w:sz w:val="20"/>
        </w:rPr>
        <w:t xml:space="preserve"> B.J. </w:t>
      </w:r>
      <w:proofErr w:type="spellStart"/>
      <w:r w:rsidR="00316007" w:rsidRPr="00030B29">
        <w:rPr>
          <w:sz w:val="20"/>
        </w:rPr>
        <w:t>Groenewoudt</w:t>
      </w:r>
      <w:proofErr w:type="spellEnd"/>
      <w:r w:rsidR="00DE6D09" w:rsidRPr="00030B29">
        <w:rPr>
          <w:sz w:val="20"/>
        </w:rPr>
        <w:t xml:space="preserve"> (</w:t>
      </w:r>
      <w:r w:rsidR="00EC26CC" w:rsidRPr="00030B29">
        <w:rPr>
          <w:sz w:val="20"/>
        </w:rPr>
        <w:t>RCE</w:t>
      </w:r>
      <w:r w:rsidR="00DE6D09" w:rsidRPr="00030B29">
        <w:rPr>
          <w:sz w:val="20"/>
        </w:rPr>
        <w:t>)</w:t>
      </w:r>
      <w:r w:rsidR="00316007" w:rsidRPr="00030B29">
        <w:rPr>
          <w:sz w:val="20"/>
        </w:rPr>
        <w:t>.</w:t>
      </w:r>
      <w:r w:rsidRPr="00030B29">
        <w:rPr>
          <w:sz w:val="20"/>
        </w:rPr>
        <w:t xml:space="preserve"> </w:t>
      </w:r>
    </w:p>
    <w:p w:rsidR="00316007" w:rsidRPr="00030B29" w:rsidRDefault="00316007" w:rsidP="004136F4">
      <w:pPr>
        <w:pStyle w:val="Geenafstand"/>
        <w:jc w:val="both"/>
        <w:rPr>
          <w:sz w:val="20"/>
          <w:szCs w:val="20"/>
        </w:rPr>
      </w:pPr>
    </w:p>
    <w:p w:rsidR="00FD1261" w:rsidRPr="00030B29" w:rsidRDefault="004136F4" w:rsidP="004136F4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For each </w:t>
      </w:r>
      <w:r w:rsidR="00BA51E8" w:rsidRPr="00030B29">
        <w:rPr>
          <w:sz w:val="20"/>
        </w:rPr>
        <w:t xml:space="preserve">archaeological </w:t>
      </w:r>
      <w:r w:rsidR="00423E0F" w:rsidRPr="00030B29">
        <w:rPr>
          <w:sz w:val="20"/>
        </w:rPr>
        <w:t>(</w:t>
      </w:r>
      <w:r w:rsidR="00BA51E8" w:rsidRPr="00030B29">
        <w:rPr>
          <w:sz w:val="20"/>
        </w:rPr>
        <w:t>sub</w:t>
      </w:r>
      <w:r w:rsidR="00423E0F" w:rsidRPr="00030B29">
        <w:rPr>
          <w:sz w:val="20"/>
        </w:rPr>
        <w:t>)</w:t>
      </w:r>
      <w:r w:rsidRPr="00030B29">
        <w:rPr>
          <w:sz w:val="20"/>
        </w:rPr>
        <w:t>period</w:t>
      </w:r>
      <w:r w:rsidR="00B41646" w:rsidRPr="00030B29">
        <w:rPr>
          <w:sz w:val="20"/>
        </w:rPr>
        <w:t xml:space="preserve"> </w:t>
      </w:r>
      <w:r w:rsidR="000F2E3E" w:rsidRPr="00030B29">
        <w:rPr>
          <w:sz w:val="20"/>
        </w:rPr>
        <w:t xml:space="preserve">as defined in the Dutch Archaeological Basic Register (ABR </w:t>
      </w:r>
      <w:hyperlink r:id="rId8" w:history="1">
        <w:r w:rsidR="000F2E3E" w:rsidRPr="00030B29">
          <w:rPr>
            <w:rStyle w:val="Hyperlink"/>
            <w:sz w:val="20"/>
          </w:rPr>
          <w:t>http://cultureelerfgoed.nl/sites/default/files/downloads/dossiers/abr_website2.pdf</w:t>
        </w:r>
      </w:hyperlink>
      <w:r w:rsidR="000F2E3E" w:rsidRPr="00030B29">
        <w:rPr>
          <w:sz w:val="20"/>
        </w:rPr>
        <w:t xml:space="preserve">)  </w:t>
      </w:r>
      <w:r w:rsidR="00B41646" w:rsidRPr="00030B29">
        <w:rPr>
          <w:sz w:val="20"/>
        </w:rPr>
        <w:t xml:space="preserve">(Table </w:t>
      </w:r>
      <w:r w:rsidR="00737EF1" w:rsidRPr="00030B29">
        <w:rPr>
          <w:sz w:val="20"/>
        </w:rPr>
        <w:t>2 in the main text</w:t>
      </w:r>
      <w:r w:rsidR="00B41646" w:rsidRPr="00030B29">
        <w:rPr>
          <w:sz w:val="20"/>
        </w:rPr>
        <w:t>)</w:t>
      </w:r>
      <w:r w:rsidR="00BA51E8" w:rsidRPr="00030B29">
        <w:rPr>
          <w:sz w:val="20"/>
        </w:rPr>
        <w:t>,</w:t>
      </w:r>
      <w:r w:rsidRPr="00030B29">
        <w:rPr>
          <w:sz w:val="20"/>
        </w:rPr>
        <w:t xml:space="preserve"> </w:t>
      </w:r>
      <w:r w:rsidR="000F2E3E" w:rsidRPr="00030B29">
        <w:rPr>
          <w:sz w:val="20"/>
        </w:rPr>
        <w:t xml:space="preserve">the </w:t>
      </w:r>
      <w:r w:rsidR="00423E0F" w:rsidRPr="00030B29">
        <w:rPr>
          <w:sz w:val="20"/>
        </w:rPr>
        <w:t>population estimates presented</w:t>
      </w:r>
      <w:r w:rsidR="00835C7E" w:rsidRPr="00030B29">
        <w:rPr>
          <w:sz w:val="20"/>
        </w:rPr>
        <w:t xml:space="preserve"> below </w:t>
      </w:r>
      <w:r w:rsidR="000F2E3E" w:rsidRPr="00030B29">
        <w:rPr>
          <w:sz w:val="20"/>
        </w:rPr>
        <w:t xml:space="preserve">are </w:t>
      </w:r>
      <w:r w:rsidR="00835C7E" w:rsidRPr="00030B29">
        <w:rPr>
          <w:sz w:val="20"/>
        </w:rPr>
        <w:t xml:space="preserve">based on a variety of </w:t>
      </w:r>
      <w:r w:rsidR="00423E0F" w:rsidRPr="00030B29">
        <w:rPr>
          <w:sz w:val="20"/>
        </w:rPr>
        <w:t xml:space="preserve">arguments and references. </w:t>
      </w:r>
      <w:r w:rsidR="00FD1261" w:rsidRPr="00030B29">
        <w:rPr>
          <w:sz w:val="20"/>
        </w:rPr>
        <w:t xml:space="preserve">Only settlement sites that with certainty </w:t>
      </w:r>
      <w:r w:rsidR="00A14C2D" w:rsidRPr="00030B29">
        <w:rPr>
          <w:sz w:val="20"/>
        </w:rPr>
        <w:t xml:space="preserve">can </w:t>
      </w:r>
      <w:r w:rsidR="00FD1261" w:rsidRPr="00030B29">
        <w:rPr>
          <w:sz w:val="20"/>
        </w:rPr>
        <w:t xml:space="preserve">be </w:t>
      </w:r>
      <w:r w:rsidR="00835C7E" w:rsidRPr="00030B29">
        <w:rPr>
          <w:sz w:val="20"/>
        </w:rPr>
        <w:t>assigned to individual ABR</w:t>
      </w:r>
      <w:r w:rsidR="00FD1261" w:rsidRPr="00030B29">
        <w:rPr>
          <w:sz w:val="20"/>
        </w:rPr>
        <w:t xml:space="preserve"> subperiods were included in </w:t>
      </w:r>
      <w:r w:rsidR="00835C7E" w:rsidRPr="00030B29">
        <w:rPr>
          <w:sz w:val="20"/>
        </w:rPr>
        <w:t xml:space="preserve">the </w:t>
      </w:r>
      <w:r w:rsidR="00FD1261" w:rsidRPr="00030B29">
        <w:rPr>
          <w:sz w:val="20"/>
        </w:rPr>
        <w:t>analys</w:t>
      </w:r>
      <w:r w:rsidR="00835C7E" w:rsidRPr="00030B29">
        <w:rPr>
          <w:sz w:val="20"/>
        </w:rPr>
        <w:t>e</w:t>
      </w:r>
      <w:r w:rsidR="00FD1261" w:rsidRPr="00030B29">
        <w:rPr>
          <w:sz w:val="20"/>
        </w:rPr>
        <w:t xml:space="preserve">s. </w:t>
      </w:r>
      <w:r w:rsidR="00835C7E" w:rsidRPr="00030B29">
        <w:rPr>
          <w:sz w:val="20"/>
        </w:rPr>
        <w:t xml:space="preserve">Cited literature is referenced </w:t>
      </w:r>
      <w:r w:rsidR="00250752" w:rsidRPr="00030B29">
        <w:rPr>
          <w:sz w:val="20"/>
        </w:rPr>
        <w:t xml:space="preserve">in </w:t>
      </w:r>
      <w:r w:rsidR="00835C7E" w:rsidRPr="00030B29">
        <w:rPr>
          <w:sz w:val="20"/>
        </w:rPr>
        <w:t>the main text of this paper</w:t>
      </w:r>
      <w:r w:rsidR="00737EF1" w:rsidRPr="00030B29">
        <w:rPr>
          <w:sz w:val="20"/>
        </w:rPr>
        <w:t>.</w:t>
      </w:r>
    </w:p>
    <w:p w:rsidR="00737EF1" w:rsidRPr="00030B29" w:rsidRDefault="00737EF1" w:rsidP="004136F4">
      <w:pPr>
        <w:pStyle w:val="Geenafstand"/>
        <w:jc w:val="both"/>
        <w:rPr>
          <w:sz w:val="20"/>
        </w:rPr>
      </w:pPr>
    </w:p>
    <w:p w:rsidR="002B095A" w:rsidRPr="00030B29" w:rsidRDefault="0057246B" w:rsidP="004136F4">
      <w:pPr>
        <w:pStyle w:val="Geenafstand"/>
        <w:jc w:val="both"/>
        <w:rPr>
          <w:sz w:val="20"/>
        </w:rPr>
      </w:pPr>
      <w:r w:rsidRPr="00030B29">
        <w:rPr>
          <w:b/>
          <w:sz w:val="20"/>
        </w:rPr>
        <w:t>Method</w:t>
      </w:r>
    </w:p>
    <w:p w:rsidR="002B095A" w:rsidRPr="00030B29" w:rsidRDefault="00835C7E" w:rsidP="004136F4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Previously </w:t>
      </w:r>
      <w:r w:rsidR="00CE2906" w:rsidRPr="00030B29">
        <w:rPr>
          <w:sz w:val="20"/>
        </w:rPr>
        <w:t xml:space="preserve">two </w:t>
      </w:r>
      <w:r w:rsidR="00626725" w:rsidRPr="00030B29">
        <w:rPr>
          <w:sz w:val="20"/>
        </w:rPr>
        <w:t xml:space="preserve">different </w:t>
      </w:r>
      <w:r w:rsidR="00FF65D4" w:rsidRPr="00030B29">
        <w:rPr>
          <w:sz w:val="20"/>
        </w:rPr>
        <w:t xml:space="preserve">methods </w:t>
      </w:r>
      <w:r w:rsidRPr="00030B29">
        <w:rPr>
          <w:sz w:val="20"/>
        </w:rPr>
        <w:t xml:space="preserve">were </w:t>
      </w:r>
      <w:r w:rsidR="00FF65D4" w:rsidRPr="00030B29">
        <w:rPr>
          <w:sz w:val="20"/>
        </w:rPr>
        <w:t>used to e</w:t>
      </w:r>
      <w:r w:rsidR="00626725" w:rsidRPr="00030B29">
        <w:rPr>
          <w:sz w:val="20"/>
        </w:rPr>
        <w:t xml:space="preserve">stimate </w:t>
      </w:r>
      <w:r w:rsidRPr="00030B29">
        <w:rPr>
          <w:sz w:val="20"/>
        </w:rPr>
        <w:t xml:space="preserve">past </w:t>
      </w:r>
      <w:r w:rsidR="00626725" w:rsidRPr="00030B29">
        <w:rPr>
          <w:sz w:val="20"/>
        </w:rPr>
        <w:t>population numbers</w:t>
      </w:r>
      <w:r w:rsidR="005F04FC" w:rsidRPr="00030B29">
        <w:rPr>
          <w:sz w:val="20"/>
        </w:rPr>
        <w:t xml:space="preserve"> </w:t>
      </w:r>
      <w:r w:rsidRPr="00030B29">
        <w:rPr>
          <w:sz w:val="20"/>
        </w:rPr>
        <w:t xml:space="preserve">in the </w:t>
      </w:r>
      <w:r w:rsidR="005F04FC" w:rsidRPr="00030B29">
        <w:rPr>
          <w:sz w:val="20"/>
        </w:rPr>
        <w:t>study area</w:t>
      </w:r>
      <w:r w:rsidR="00884EC0" w:rsidRPr="00030B29">
        <w:rPr>
          <w:sz w:val="20"/>
        </w:rPr>
        <w:t xml:space="preserve">: </w:t>
      </w:r>
      <w:r w:rsidR="00737EF1" w:rsidRPr="00030B29">
        <w:rPr>
          <w:sz w:val="20"/>
        </w:rPr>
        <w:t>(</w:t>
      </w:r>
      <w:r w:rsidR="00626725" w:rsidRPr="00030B29">
        <w:rPr>
          <w:sz w:val="20"/>
        </w:rPr>
        <w:t xml:space="preserve">1) </w:t>
      </w:r>
      <w:r w:rsidR="00884EC0" w:rsidRPr="00030B29">
        <w:rPr>
          <w:sz w:val="20"/>
        </w:rPr>
        <w:t xml:space="preserve">the recruitment model </w:t>
      </w:r>
      <w:r w:rsidR="00626725" w:rsidRPr="00030B29">
        <w:rPr>
          <w:sz w:val="20"/>
        </w:rPr>
        <w:t>(</w:t>
      </w:r>
      <w:r w:rsidR="008E767B" w:rsidRPr="00030B29">
        <w:rPr>
          <w:sz w:val="20"/>
        </w:rPr>
        <w:t xml:space="preserve">e.g. </w:t>
      </w:r>
      <w:proofErr w:type="spellStart"/>
      <w:r w:rsidR="008E767B" w:rsidRPr="00030B29">
        <w:rPr>
          <w:sz w:val="20"/>
        </w:rPr>
        <w:t>Bloemers</w:t>
      </w:r>
      <w:proofErr w:type="spellEnd"/>
      <w:r w:rsidR="008E767B" w:rsidRPr="00030B29">
        <w:rPr>
          <w:sz w:val="20"/>
        </w:rPr>
        <w:t xml:space="preserve">, </w:t>
      </w:r>
      <w:r w:rsidR="00626725" w:rsidRPr="00030B29">
        <w:rPr>
          <w:sz w:val="20"/>
        </w:rPr>
        <w:t>1978</w:t>
      </w:r>
      <w:r w:rsidR="008E767B" w:rsidRPr="00030B29">
        <w:rPr>
          <w:sz w:val="20"/>
        </w:rPr>
        <w:t xml:space="preserve"> and Willems, </w:t>
      </w:r>
      <w:r w:rsidR="00626725" w:rsidRPr="00030B29">
        <w:rPr>
          <w:sz w:val="20"/>
        </w:rPr>
        <w:t>1986)</w:t>
      </w:r>
      <w:r w:rsidRPr="00030B29">
        <w:rPr>
          <w:sz w:val="20"/>
        </w:rPr>
        <w:t>;</w:t>
      </w:r>
      <w:r w:rsidR="00626725" w:rsidRPr="00030B29">
        <w:rPr>
          <w:sz w:val="20"/>
        </w:rPr>
        <w:t xml:space="preserve"> and </w:t>
      </w:r>
      <w:r w:rsidR="00737EF1" w:rsidRPr="00030B29">
        <w:rPr>
          <w:sz w:val="20"/>
        </w:rPr>
        <w:t>(</w:t>
      </w:r>
      <w:r w:rsidR="00626725" w:rsidRPr="00030B29">
        <w:rPr>
          <w:sz w:val="20"/>
        </w:rPr>
        <w:t xml:space="preserve">2) </w:t>
      </w:r>
      <w:r w:rsidR="00884EC0" w:rsidRPr="00030B29">
        <w:rPr>
          <w:sz w:val="20"/>
        </w:rPr>
        <w:t>the settlement-density model</w:t>
      </w:r>
      <w:r w:rsidR="00284F98" w:rsidRPr="00030B29">
        <w:rPr>
          <w:sz w:val="20"/>
        </w:rPr>
        <w:t xml:space="preserve"> (</w:t>
      </w:r>
      <w:r w:rsidR="008E767B" w:rsidRPr="00030B29">
        <w:rPr>
          <w:sz w:val="20"/>
        </w:rPr>
        <w:t>e.g.</w:t>
      </w:r>
      <w:r w:rsidR="00223B2A" w:rsidRPr="00030B29">
        <w:rPr>
          <w:sz w:val="20"/>
        </w:rPr>
        <w:t xml:space="preserve"> </w:t>
      </w:r>
      <w:r w:rsidR="008E767B" w:rsidRPr="00030B29">
        <w:rPr>
          <w:sz w:val="20"/>
        </w:rPr>
        <w:t xml:space="preserve">Willems, </w:t>
      </w:r>
      <w:r w:rsidR="00223B2A" w:rsidRPr="00030B29">
        <w:rPr>
          <w:sz w:val="20"/>
        </w:rPr>
        <w:t>1986</w:t>
      </w:r>
      <w:r w:rsidR="008E767B" w:rsidRPr="00030B29">
        <w:rPr>
          <w:sz w:val="20"/>
        </w:rPr>
        <w:t xml:space="preserve">; </w:t>
      </w:r>
      <w:proofErr w:type="spellStart"/>
      <w:r w:rsidR="00223B2A" w:rsidRPr="00030B29">
        <w:rPr>
          <w:sz w:val="20"/>
        </w:rPr>
        <w:t>Voss</w:t>
      </w:r>
      <w:r w:rsidR="008E767B" w:rsidRPr="00030B29">
        <w:rPr>
          <w:sz w:val="20"/>
        </w:rPr>
        <w:t>en</w:t>
      </w:r>
      <w:proofErr w:type="spellEnd"/>
      <w:r w:rsidR="008E767B" w:rsidRPr="00030B29">
        <w:rPr>
          <w:sz w:val="20"/>
        </w:rPr>
        <w:t xml:space="preserve">, </w:t>
      </w:r>
      <w:r w:rsidR="00223B2A" w:rsidRPr="00030B29">
        <w:rPr>
          <w:sz w:val="20"/>
        </w:rPr>
        <w:t>2003</w:t>
      </w:r>
      <w:r w:rsidR="008E767B" w:rsidRPr="00030B29">
        <w:rPr>
          <w:sz w:val="20"/>
        </w:rPr>
        <w:t>; Vos, 2009;</w:t>
      </w:r>
      <w:r w:rsidR="004E2E38" w:rsidRPr="00030B29">
        <w:rPr>
          <w:sz w:val="20"/>
        </w:rPr>
        <w:t xml:space="preserve"> </w:t>
      </w:r>
      <w:proofErr w:type="spellStart"/>
      <w:r w:rsidR="004E2E38" w:rsidRPr="00030B29">
        <w:rPr>
          <w:sz w:val="20"/>
        </w:rPr>
        <w:t>Vossen</w:t>
      </w:r>
      <w:proofErr w:type="spellEnd"/>
      <w:r w:rsidR="004E2E38" w:rsidRPr="00030B29">
        <w:rPr>
          <w:sz w:val="20"/>
        </w:rPr>
        <w:t xml:space="preserve"> </w:t>
      </w:r>
      <w:r w:rsidR="00737EF1" w:rsidRPr="00030B29">
        <w:rPr>
          <w:sz w:val="20"/>
        </w:rPr>
        <w:t>&amp;</w:t>
      </w:r>
      <w:r w:rsidR="004E2E38" w:rsidRPr="00030B29">
        <w:rPr>
          <w:sz w:val="20"/>
        </w:rPr>
        <w:t xml:space="preserve"> </w:t>
      </w:r>
      <w:r w:rsidR="00223B2A" w:rsidRPr="00030B29">
        <w:rPr>
          <w:sz w:val="20"/>
        </w:rPr>
        <w:t>De Groot</w:t>
      </w:r>
      <w:r w:rsidR="008E767B" w:rsidRPr="00030B29">
        <w:rPr>
          <w:sz w:val="20"/>
        </w:rPr>
        <w:t>,</w:t>
      </w:r>
      <w:r w:rsidR="00223B2A" w:rsidRPr="00030B29">
        <w:rPr>
          <w:sz w:val="20"/>
        </w:rPr>
        <w:t xml:space="preserve"> 2009</w:t>
      </w:r>
      <w:r w:rsidR="008E767B" w:rsidRPr="00030B29">
        <w:rPr>
          <w:sz w:val="20"/>
        </w:rPr>
        <w:t>)</w:t>
      </w:r>
      <w:r w:rsidR="00223B2A" w:rsidRPr="00030B29">
        <w:rPr>
          <w:sz w:val="20"/>
        </w:rPr>
        <w:t>.</w:t>
      </w:r>
      <w:r w:rsidR="00884EC0" w:rsidRPr="00030B29">
        <w:rPr>
          <w:sz w:val="20"/>
        </w:rPr>
        <w:t xml:space="preserve"> The recruitment model reconstructs past</w:t>
      </w:r>
      <w:r w:rsidR="004E2E38" w:rsidRPr="00030B29">
        <w:rPr>
          <w:sz w:val="20"/>
        </w:rPr>
        <w:t>-</w:t>
      </w:r>
      <w:r w:rsidR="00884EC0" w:rsidRPr="00030B29">
        <w:rPr>
          <w:sz w:val="20"/>
        </w:rPr>
        <w:t>population</w:t>
      </w:r>
      <w:r w:rsidR="008E767B" w:rsidRPr="00030B29">
        <w:rPr>
          <w:sz w:val="20"/>
        </w:rPr>
        <w:t xml:space="preserve"> numbers</w:t>
      </w:r>
      <w:r w:rsidR="00884EC0" w:rsidRPr="00030B29">
        <w:rPr>
          <w:sz w:val="20"/>
        </w:rPr>
        <w:t xml:space="preserve"> based on </w:t>
      </w:r>
      <w:r w:rsidR="00626725" w:rsidRPr="00030B29">
        <w:rPr>
          <w:sz w:val="20"/>
        </w:rPr>
        <w:t>Roman</w:t>
      </w:r>
      <w:r w:rsidR="004E2E38" w:rsidRPr="00030B29">
        <w:rPr>
          <w:sz w:val="20"/>
        </w:rPr>
        <w:t>-</w:t>
      </w:r>
      <w:r w:rsidR="00626725" w:rsidRPr="00030B29">
        <w:rPr>
          <w:sz w:val="20"/>
        </w:rPr>
        <w:t xml:space="preserve">army </w:t>
      </w:r>
      <w:r w:rsidR="00884EC0" w:rsidRPr="00030B29">
        <w:rPr>
          <w:sz w:val="20"/>
        </w:rPr>
        <w:t>recruitment</w:t>
      </w:r>
      <w:r w:rsidR="00626725" w:rsidRPr="00030B29">
        <w:rPr>
          <w:sz w:val="20"/>
        </w:rPr>
        <w:t xml:space="preserve"> </w:t>
      </w:r>
      <w:r w:rsidR="008E767B" w:rsidRPr="00030B29">
        <w:rPr>
          <w:sz w:val="20"/>
        </w:rPr>
        <w:t>requirements</w:t>
      </w:r>
      <w:r w:rsidR="00626725" w:rsidRPr="00030B29">
        <w:rPr>
          <w:sz w:val="20"/>
        </w:rPr>
        <w:t xml:space="preserve"> that are mentioned in </w:t>
      </w:r>
      <w:r w:rsidR="00884EC0" w:rsidRPr="00030B29">
        <w:rPr>
          <w:sz w:val="20"/>
        </w:rPr>
        <w:t xml:space="preserve">historical sources. </w:t>
      </w:r>
      <w:r w:rsidR="00DF0858" w:rsidRPr="00030B29">
        <w:rPr>
          <w:sz w:val="20"/>
        </w:rPr>
        <w:t>The settlement-density model</w:t>
      </w:r>
      <w:r w:rsidR="00D444DF" w:rsidRPr="00030B29">
        <w:rPr>
          <w:sz w:val="20"/>
        </w:rPr>
        <w:t xml:space="preserve"> (SDM)</w:t>
      </w:r>
      <w:r w:rsidR="00DF0858" w:rsidRPr="00030B29">
        <w:rPr>
          <w:sz w:val="20"/>
        </w:rPr>
        <w:t xml:space="preserve"> </w:t>
      </w:r>
      <w:r w:rsidR="0057246B" w:rsidRPr="00030B29">
        <w:rPr>
          <w:sz w:val="20"/>
        </w:rPr>
        <w:t xml:space="preserve">bases </w:t>
      </w:r>
      <w:r w:rsidR="00D444DF" w:rsidRPr="00030B29">
        <w:rPr>
          <w:sz w:val="20"/>
        </w:rPr>
        <w:t xml:space="preserve">demographic </w:t>
      </w:r>
      <w:r w:rsidR="0057246B" w:rsidRPr="00030B29">
        <w:rPr>
          <w:sz w:val="20"/>
        </w:rPr>
        <w:t>calculations</w:t>
      </w:r>
      <w:r w:rsidR="00DF0858" w:rsidRPr="00030B29">
        <w:rPr>
          <w:sz w:val="20"/>
        </w:rPr>
        <w:t xml:space="preserve"> </w:t>
      </w:r>
      <w:r w:rsidR="009F0876" w:rsidRPr="00030B29">
        <w:rPr>
          <w:sz w:val="20"/>
        </w:rPr>
        <w:t xml:space="preserve">on </w:t>
      </w:r>
      <w:r w:rsidR="00626725" w:rsidRPr="00030B29">
        <w:rPr>
          <w:sz w:val="20"/>
        </w:rPr>
        <w:t xml:space="preserve">settlement numbers, number </w:t>
      </w:r>
      <w:r w:rsidR="009F0876" w:rsidRPr="00030B29">
        <w:rPr>
          <w:sz w:val="20"/>
        </w:rPr>
        <w:t>of house</w:t>
      </w:r>
      <w:r w:rsidR="00BA51E8" w:rsidRPr="00030B29">
        <w:rPr>
          <w:sz w:val="20"/>
        </w:rPr>
        <w:t xml:space="preserve">s </w:t>
      </w:r>
      <w:r w:rsidR="00626725" w:rsidRPr="00030B29">
        <w:rPr>
          <w:sz w:val="20"/>
        </w:rPr>
        <w:t>per settlement</w:t>
      </w:r>
      <w:r w:rsidR="000F2E3E" w:rsidRPr="00030B29">
        <w:rPr>
          <w:sz w:val="20"/>
        </w:rPr>
        <w:t>,</w:t>
      </w:r>
      <w:r w:rsidR="00626725" w:rsidRPr="00030B29">
        <w:rPr>
          <w:sz w:val="20"/>
        </w:rPr>
        <w:t xml:space="preserve"> </w:t>
      </w:r>
      <w:r w:rsidR="009F0876" w:rsidRPr="00030B29">
        <w:rPr>
          <w:sz w:val="20"/>
        </w:rPr>
        <w:t>and average household siz</w:t>
      </w:r>
      <w:r w:rsidR="00223B2A" w:rsidRPr="00030B29">
        <w:rPr>
          <w:sz w:val="20"/>
        </w:rPr>
        <w:t>e.</w:t>
      </w:r>
      <w:r w:rsidR="00D444DF" w:rsidRPr="00030B29">
        <w:rPr>
          <w:sz w:val="20"/>
        </w:rPr>
        <w:t xml:space="preserve"> </w:t>
      </w:r>
      <w:r w:rsidR="00A14C2D" w:rsidRPr="00030B29">
        <w:rPr>
          <w:sz w:val="20"/>
        </w:rPr>
        <w:t xml:space="preserve">In </w:t>
      </w:r>
      <w:r w:rsidRPr="00030B29">
        <w:rPr>
          <w:sz w:val="20"/>
        </w:rPr>
        <w:t xml:space="preserve">the present study </w:t>
      </w:r>
      <w:r w:rsidR="00A14C2D" w:rsidRPr="00030B29">
        <w:rPr>
          <w:sz w:val="20"/>
        </w:rPr>
        <w:t>we</w:t>
      </w:r>
      <w:r w:rsidR="00D444DF" w:rsidRPr="00030B29">
        <w:rPr>
          <w:sz w:val="20"/>
        </w:rPr>
        <w:t xml:space="preserve"> have decided to use the</w:t>
      </w:r>
      <w:r w:rsidR="001A5C1F" w:rsidRPr="00030B29">
        <w:rPr>
          <w:sz w:val="20"/>
        </w:rPr>
        <w:t xml:space="preserve"> </w:t>
      </w:r>
      <w:r w:rsidR="00D444DF" w:rsidRPr="00030B29">
        <w:rPr>
          <w:sz w:val="20"/>
        </w:rPr>
        <w:t xml:space="preserve">SDM </w:t>
      </w:r>
      <w:r w:rsidR="001A5C1F" w:rsidRPr="00030B29">
        <w:rPr>
          <w:sz w:val="20"/>
        </w:rPr>
        <w:t>because</w:t>
      </w:r>
      <w:r w:rsidR="00D444DF" w:rsidRPr="00030B29">
        <w:rPr>
          <w:sz w:val="20"/>
        </w:rPr>
        <w:t xml:space="preserve">: </w:t>
      </w:r>
      <w:r w:rsidRPr="00030B29">
        <w:rPr>
          <w:sz w:val="20"/>
        </w:rPr>
        <w:t>(</w:t>
      </w:r>
      <w:r w:rsidR="00D444DF" w:rsidRPr="00030B29">
        <w:rPr>
          <w:sz w:val="20"/>
        </w:rPr>
        <w:t>1)</w:t>
      </w:r>
      <w:r w:rsidR="001A5C1F" w:rsidRPr="00030B29">
        <w:rPr>
          <w:sz w:val="20"/>
        </w:rPr>
        <w:t xml:space="preserve"> good-quality settlement data </w:t>
      </w:r>
      <w:r w:rsidR="00D14710" w:rsidRPr="00030B29">
        <w:rPr>
          <w:sz w:val="20"/>
        </w:rPr>
        <w:t>are</w:t>
      </w:r>
      <w:r w:rsidR="001A5C1F" w:rsidRPr="00030B29">
        <w:rPr>
          <w:sz w:val="20"/>
        </w:rPr>
        <w:t xml:space="preserve"> available</w:t>
      </w:r>
      <w:r w:rsidR="00A14C2D" w:rsidRPr="00030B29">
        <w:rPr>
          <w:sz w:val="20"/>
        </w:rPr>
        <w:t xml:space="preserve"> in the study area</w:t>
      </w:r>
      <w:r w:rsidRPr="00030B29">
        <w:rPr>
          <w:sz w:val="20"/>
        </w:rPr>
        <w:t>, allowing</w:t>
      </w:r>
      <w:r w:rsidR="00D14710" w:rsidRPr="00030B29">
        <w:rPr>
          <w:sz w:val="20"/>
        </w:rPr>
        <w:t xml:space="preserve"> an evidence-based approach </w:t>
      </w:r>
      <w:r w:rsidRPr="00030B29">
        <w:rPr>
          <w:sz w:val="20"/>
        </w:rPr>
        <w:t xml:space="preserve">when </w:t>
      </w:r>
      <w:r w:rsidR="00D14710" w:rsidRPr="00030B29">
        <w:rPr>
          <w:sz w:val="20"/>
        </w:rPr>
        <w:t>reconstructing population dynamics</w:t>
      </w:r>
      <w:r w:rsidRPr="00030B29">
        <w:rPr>
          <w:sz w:val="20"/>
        </w:rPr>
        <w:t>; a</w:t>
      </w:r>
      <w:r w:rsidR="00D444DF" w:rsidRPr="00030B29">
        <w:rPr>
          <w:sz w:val="20"/>
        </w:rPr>
        <w:t xml:space="preserve">nd </w:t>
      </w:r>
      <w:r w:rsidRPr="00030B29">
        <w:rPr>
          <w:sz w:val="20"/>
        </w:rPr>
        <w:t>(</w:t>
      </w:r>
      <w:r w:rsidR="00D444DF" w:rsidRPr="00030B29">
        <w:rPr>
          <w:sz w:val="20"/>
        </w:rPr>
        <w:t xml:space="preserve">2) </w:t>
      </w:r>
      <w:r w:rsidR="00D14710" w:rsidRPr="00030B29">
        <w:rPr>
          <w:sz w:val="20"/>
        </w:rPr>
        <w:t>it</w:t>
      </w:r>
      <w:r w:rsidR="001A5C1F" w:rsidRPr="00030B29">
        <w:rPr>
          <w:sz w:val="20"/>
        </w:rPr>
        <w:t xml:space="preserve"> </w:t>
      </w:r>
      <w:r w:rsidR="00D14710" w:rsidRPr="00030B29">
        <w:rPr>
          <w:sz w:val="20"/>
        </w:rPr>
        <w:t>is</w:t>
      </w:r>
      <w:r w:rsidR="001A5C1F" w:rsidRPr="00030B29">
        <w:rPr>
          <w:sz w:val="20"/>
        </w:rPr>
        <w:t xml:space="preserve"> impossible to </w:t>
      </w:r>
      <w:r w:rsidRPr="00030B29">
        <w:rPr>
          <w:sz w:val="20"/>
        </w:rPr>
        <w:t xml:space="preserve">verify whether </w:t>
      </w:r>
      <w:r w:rsidR="001A5C1F" w:rsidRPr="00030B29">
        <w:rPr>
          <w:sz w:val="20"/>
        </w:rPr>
        <w:t>Roman army recruitment numbers are reliable</w:t>
      </w:r>
      <w:r w:rsidR="000F2E3E" w:rsidRPr="00030B29">
        <w:rPr>
          <w:sz w:val="20"/>
        </w:rPr>
        <w:t>,</w:t>
      </w:r>
      <w:r w:rsidRPr="00030B29">
        <w:rPr>
          <w:sz w:val="20"/>
        </w:rPr>
        <w:t xml:space="preserve"> and these numbers merely </w:t>
      </w:r>
      <w:r w:rsidR="001A5C1F" w:rsidRPr="00030B29">
        <w:rPr>
          <w:sz w:val="20"/>
        </w:rPr>
        <w:t xml:space="preserve">may </w:t>
      </w:r>
      <w:r w:rsidR="00D444DF" w:rsidRPr="00030B29">
        <w:rPr>
          <w:sz w:val="20"/>
        </w:rPr>
        <w:t xml:space="preserve">reflect </w:t>
      </w:r>
      <w:r w:rsidR="001A5C1F" w:rsidRPr="00030B29">
        <w:rPr>
          <w:sz w:val="20"/>
        </w:rPr>
        <w:t>target numbers.</w:t>
      </w:r>
    </w:p>
    <w:p w:rsidR="00A851A5" w:rsidRPr="00030B29" w:rsidRDefault="004E2E38" w:rsidP="00A14C2D">
      <w:pPr>
        <w:pStyle w:val="Geenafstand"/>
        <w:ind w:firstLine="708"/>
        <w:jc w:val="both"/>
        <w:rPr>
          <w:color w:val="000000" w:themeColor="text1"/>
          <w:sz w:val="20"/>
        </w:rPr>
      </w:pPr>
      <w:r w:rsidRPr="00030B29">
        <w:rPr>
          <w:color w:val="000000" w:themeColor="text1"/>
          <w:sz w:val="20"/>
        </w:rPr>
        <w:t>We assume that b</w:t>
      </w:r>
      <w:r w:rsidR="0057246B" w:rsidRPr="00030B29">
        <w:rPr>
          <w:color w:val="000000" w:themeColor="text1"/>
          <w:sz w:val="20"/>
        </w:rPr>
        <w:t xml:space="preserve">oth </w:t>
      </w:r>
      <w:r w:rsidR="00835C7E" w:rsidRPr="00030B29">
        <w:rPr>
          <w:color w:val="000000" w:themeColor="text1"/>
          <w:sz w:val="20"/>
        </w:rPr>
        <w:t xml:space="preserve">during </w:t>
      </w:r>
      <w:r w:rsidR="0057246B" w:rsidRPr="00030B29">
        <w:rPr>
          <w:color w:val="000000" w:themeColor="text1"/>
          <w:sz w:val="20"/>
        </w:rPr>
        <w:t xml:space="preserve">the Roman period </w:t>
      </w:r>
      <w:r w:rsidR="00A14C2D" w:rsidRPr="00030B29">
        <w:rPr>
          <w:color w:val="000000" w:themeColor="text1"/>
          <w:sz w:val="20"/>
        </w:rPr>
        <w:t xml:space="preserve">as well as </w:t>
      </w:r>
      <w:r w:rsidR="00835C7E" w:rsidRPr="00030B29">
        <w:rPr>
          <w:color w:val="000000" w:themeColor="text1"/>
          <w:sz w:val="20"/>
        </w:rPr>
        <w:t xml:space="preserve">during </w:t>
      </w:r>
      <w:r w:rsidR="00A14C2D" w:rsidRPr="00030B29">
        <w:rPr>
          <w:color w:val="000000" w:themeColor="text1"/>
          <w:sz w:val="20"/>
        </w:rPr>
        <w:t>the</w:t>
      </w:r>
      <w:r w:rsidR="0057246B" w:rsidRPr="00030B29">
        <w:rPr>
          <w:color w:val="000000" w:themeColor="text1"/>
          <w:sz w:val="20"/>
        </w:rPr>
        <w:t xml:space="preserve"> Early Middle Ages the majority of the population lived in small rural settlements</w:t>
      </w:r>
      <w:r w:rsidR="00A14C2D" w:rsidRPr="00030B29">
        <w:rPr>
          <w:color w:val="000000" w:themeColor="text1"/>
          <w:sz w:val="20"/>
        </w:rPr>
        <w:t>.</w:t>
      </w:r>
      <w:r w:rsidR="002F1577" w:rsidRPr="00030B29">
        <w:rPr>
          <w:color w:val="000000" w:themeColor="text1"/>
          <w:sz w:val="20"/>
        </w:rPr>
        <w:t xml:space="preserve"> </w:t>
      </w:r>
      <w:r w:rsidR="00A14C2D" w:rsidRPr="00030B29">
        <w:rPr>
          <w:color w:val="000000" w:themeColor="text1"/>
          <w:sz w:val="20"/>
        </w:rPr>
        <w:t>L</w:t>
      </w:r>
      <w:r w:rsidR="0057246B" w:rsidRPr="00030B29">
        <w:rPr>
          <w:color w:val="000000" w:themeColor="text1"/>
          <w:sz w:val="20"/>
        </w:rPr>
        <w:t>arger settlement</w:t>
      </w:r>
      <w:r w:rsidR="00FF65D4" w:rsidRPr="00030B29">
        <w:rPr>
          <w:color w:val="000000" w:themeColor="text1"/>
          <w:sz w:val="20"/>
        </w:rPr>
        <w:t>s</w:t>
      </w:r>
      <w:r w:rsidR="002F1577" w:rsidRPr="00030B29">
        <w:rPr>
          <w:color w:val="000000" w:themeColor="text1"/>
          <w:sz w:val="20"/>
        </w:rPr>
        <w:t xml:space="preserve"> were exceptional</w:t>
      </w:r>
      <w:r w:rsidR="00835C7E" w:rsidRPr="00030B29">
        <w:rPr>
          <w:color w:val="000000" w:themeColor="text1"/>
          <w:sz w:val="20"/>
        </w:rPr>
        <w:t xml:space="preserve"> in the study area</w:t>
      </w:r>
      <w:r w:rsidR="002F1577" w:rsidRPr="00030B29">
        <w:rPr>
          <w:color w:val="000000" w:themeColor="text1"/>
          <w:sz w:val="20"/>
        </w:rPr>
        <w:t xml:space="preserve">. We </w:t>
      </w:r>
      <w:r w:rsidR="00FF65D4" w:rsidRPr="00030B29">
        <w:rPr>
          <w:color w:val="000000" w:themeColor="text1"/>
          <w:sz w:val="20"/>
        </w:rPr>
        <w:t xml:space="preserve">therefore </w:t>
      </w:r>
      <w:r w:rsidR="00835C7E" w:rsidRPr="00030B29">
        <w:rPr>
          <w:color w:val="000000" w:themeColor="text1"/>
          <w:sz w:val="20"/>
        </w:rPr>
        <w:t xml:space="preserve">separately </w:t>
      </w:r>
      <w:r w:rsidR="002F1577" w:rsidRPr="00030B29">
        <w:rPr>
          <w:color w:val="000000" w:themeColor="text1"/>
          <w:sz w:val="20"/>
        </w:rPr>
        <w:t>estimated rural</w:t>
      </w:r>
      <w:r w:rsidRPr="00030B29">
        <w:rPr>
          <w:color w:val="000000" w:themeColor="text1"/>
          <w:sz w:val="20"/>
        </w:rPr>
        <w:t>-</w:t>
      </w:r>
      <w:r w:rsidR="002F1577" w:rsidRPr="00030B29">
        <w:rPr>
          <w:color w:val="000000" w:themeColor="text1"/>
          <w:sz w:val="20"/>
        </w:rPr>
        <w:t>population levels and population numbers of</w:t>
      </w:r>
      <w:r w:rsidR="006C3121" w:rsidRPr="00030B29">
        <w:rPr>
          <w:color w:val="000000" w:themeColor="text1"/>
          <w:sz w:val="20"/>
        </w:rPr>
        <w:t xml:space="preserve"> </w:t>
      </w:r>
      <w:r w:rsidR="002F1577" w:rsidRPr="00030B29">
        <w:rPr>
          <w:color w:val="000000" w:themeColor="text1"/>
          <w:sz w:val="20"/>
        </w:rPr>
        <w:t xml:space="preserve">larger settlements. </w:t>
      </w:r>
    </w:p>
    <w:p w:rsidR="00A851A5" w:rsidRPr="00030B29" w:rsidRDefault="00A851A5" w:rsidP="004136F4">
      <w:pPr>
        <w:pStyle w:val="Geenafstand"/>
        <w:jc w:val="both"/>
        <w:rPr>
          <w:color w:val="000000" w:themeColor="text1"/>
          <w:sz w:val="20"/>
        </w:rPr>
      </w:pPr>
    </w:p>
    <w:p w:rsidR="006C3121" w:rsidRPr="00030B29" w:rsidRDefault="006C3121" w:rsidP="004136F4">
      <w:pPr>
        <w:pStyle w:val="Geenafstand"/>
        <w:jc w:val="both"/>
        <w:rPr>
          <w:i/>
          <w:color w:val="000000" w:themeColor="text1"/>
          <w:sz w:val="20"/>
        </w:rPr>
      </w:pPr>
      <w:r w:rsidRPr="00030B29">
        <w:rPr>
          <w:i/>
          <w:color w:val="000000" w:themeColor="text1"/>
          <w:sz w:val="20"/>
        </w:rPr>
        <w:t>Rural population</w:t>
      </w:r>
    </w:p>
    <w:p w:rsidR="00A851A5" w:rsidRPr="00030B29" w:rsidRDefault="00A851A5" w:rsidP="00A851A5">
      <w:pPr>
        <w:pStyle w:val="Geenafstand"/>
        <w:jc w:val="both"/>
        <w:rPr>
          <w:sz w:val="20"/>
        </w:rPr>
      </w:pPr>
      <w:r w:rsidRPr="00030B29">
        <w:rPr>
          <w:sz w:val="20"/>
        </w:rPr>
        <w:t>The rural population was calculated using the following equation:</w:t>
      </w:r>
    </w:p>
    <w:p w:rsidR="00A851A5" w:rsidRPr="00030B29" w:rsidRDefault="00A851A5" w:rsidP="00A851A5">
      <w:pPr>
        <w:pStyle w:val="Geenafstand"/>
        <w:ind w:left="720"/>
        <w:jc w:val="both"/>
        <w:rPr>
          <w:sz w:val="20"/>
        </w:rPr>
      </w:pPr>
    </w:p>
    <w:p w:rsidR="004E2E38" w:rsidRPr="00030B29" w:rsidRDefault="004E2E38" w:rsidP="004E2E38">
      <w:pPr>
        <w:pStyle w:val="Lijstalinea"/>
        <w:ind w:left="2832" w:firstLine="720"/>
        <w:jc w:val="center"/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Rp=</m:t>
        </m:r>
        <m:sSub>
          <m:sSubPr>
            <m:ctrlPr>
              <w:rPr>
                <w:rFonts w:ascii="Cambria Math" w:eastAsiaTheme="minorEastAsia" w:hAnsi="Cambria Math" w:cs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0"/>
                <w:szCs w:val="20"/>
              </w:rPr>
              <m:t>(S</m:t>
            </m:r>
          </m:e>
          <m:sub>
            <m:r>
              <w:rPr>
                <w:rFonts w:ascii="Cambria Math" w:eastAsiaTheme="minorEastAsia" w:hAnsi="Cambria Math" w:cs="Cambria Math"/>
                <w:sz w:val="20"/>
                <w:szCs w:val="20"/>
              </w:rPr>
              <m:t>v</m:t>
            </m:r>
          </m:sub>
        </m:sSub>
        <m:r>
          <w:rPr>
            <w:rFonts w:ascii="Cambria Math" w:eastAsiaTheme="minorEastAsia" w:hAnsi="Cambria Math" w:cs="Cambria Math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Cambria Math"/>
                <w:sz w:val="20"/>
                <w:szCs w:val="20"/>
              </w:rPr>
              <m:t>u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szCs w:val="20"/>
          </w:rPr>
          <m:t xml:space="preserve">) </m:t>
        </m:r>
        <m:r>
          <w:rPr>
            <w:rFonts w:ascii="Cambria Math" w:hAnsi="Cambria Math"/>
            <w:sz w:val="20"/>
            <w:szCs w:val="20"/>
          </w:rPr>
          <m:t>×δ×α</m:t>
        </m:r>
      </m:oMath>
      <w:r w:rsidRPr="00030B29">
        <w:rPr>
          <w:rFonts w:eastAsiaTheme="minorEastAsia"/>
          <w:sz w:val="20"/>
          <w:szCs w:val="20"/>
        </w:rPr>
        <w:tab/>
      </w:r>
      <w:r w:rsidRPr="00030B29">
        <w:rPr>
          <w:rFonts w:eastAsiaTheme="minorEastAsia"/>
          <w:sz w:val="20"/>
          <w:szCs w:val="20"/>
        </w:rPr>
        <w:tab/>
      </w:r>
      <w:r w:rsidRPr="00030B29">
        <w:rPr>
          <w:rFonts w:eastAsiaTheme="minorEastAsia"/>
          <w:sz w:val="20"/>
          <w:szCs w:val="20"/>
        </w:rPr>
        <w:tab/>
      </w:r>
      <w:r w:rsidRPr="00030B29">
        <w:rPr>
          <w:rFonts w:eastAsiaTheme="minorEastAsia"/>
          <w:sz w:val="20"/>
          <w:szCs w:val="20"/>
        </w:rPr>
        <w:tab/>
      </w:r>
      <w:r w:rsidRPr="00030B29">
        <w:rPr>
          <w:rFonts w:eastAsiaTheme="minorEastAsia"/>
          <w:sz w:val="20"/>
          <w:szCs w:val="20"/>
        </w:rPr>
        <w:tab/>
        <w:t>(1)</w:t>
      </w:r>
    </w:p>
    <w:p w:rsidR="004E2E38" w:rsidRPr="00030B29" w:rsidRDefault="004E2E38" w:rsidP="004E2E38">
      <w:pPr>
        <w:pStyle w:val="Lijstalinea"/>
        <w:spacing w:after="0" w:line="240" w:lineRule="auto"/>
        <w:ind w:left="1392"/>
        <w:rPr>
          <w:rFonts w:eastAsiaTheme="minorEastAsia"/>
          <w:i/>
          <w:sz w:val="20"/>
          <w:szCs w:val="20"/>
        </w:rPr>
      </w:pPr>
    </w:p>
    <w:p w:rsidR="004E2E38" w:rsidRPr="00030B29" w:rsidRDefault="004E2E38" w:rsidP="004E2E38">
      <w:pPr>
        <w:pStyle w:val="Lijstalinea"/>
        <w:spacing w:after="0" w:line="240" w:lineRule="auto"/>
        <w:ind w:left="2112"/>
        <w:rPr>
          <w:rFonts w:eastAsiaTheme="minorEastAsia"/>
          <w:sz w:val="20"/>
          <w:szCs w:val="20"/>
        </w:rPr>
      </w:pPr>
      <w:proofErr w:type="spellStart"/>
      <w:r w:rsidRPr="00030B29">
        <w:rPr>
          <w:rFonts w:eastAsiaTheme="minorEastAsia"/>
          <w:i/>
          <w:sz w:val="20"/>
          <w:szCs w:val="20"/>
        </w:rPr>
        <w:t>Rp</w:t>
      </w:r>
      <w:proofErr w:type="spellEnd"/>
      <w:r w:rsidRPr="00030B29">
        <w:rPr>
          <w:rFonts w:eastAsiaTheme="minorEastAsia"/>
          <w:sz w:val="20"/>
          <w:szCs w:val="20"/>
        </w:rPr>
        <w:tab/>
        <w:t>rural population</w:t>
      </w:r>
    </w:p>
    <w:p w:rsidR="004E2E38" w:rsidRPr="00030B29" w:rsidRDefault="004E2E38" w:rsidP="004E2E38">
      <w:pPr>
        <w:pStyle w:val="Lijstalinea"/>
        <w:spacing w:after="0" w:line="240" w:lineRule="auto"/>
        <w:ind w:left="2112"/>
        <w:rPr>
          <w:sz w:val="20"/>
          <w:szCs w:val="20"/>
        </w:rPr>
      </w:pPr>
      <w:proofErr w:type="spellStart"/>
      <w:r w:rsidRPr="00030B29">
        <w:rPr>
          <w:i/>
          <w:sz w:val="20"/>
          <w:szCs w:val="20"/>
        </w:rPr>
        <w:t>S</w:t>
      </w:r>
      <w:r w:rsidRPr="00030B29">
        <w:rPr>
          <w:i/>
          <w:sz w:val="20"/>
          <w:szCs w:val="20"/>
          <w:vertAlign w:val="subscript"/>
        </w:rPr>
        <w:t>v</w:t>
      </w:r>
      <w:proofErr w:type="spellEnd"/>
      <w:r w:rsidRPr="00030B29">
        <w:rPr>
          <w:sz w:val="20"/>
          <w:szCs w:val="20"/>
        </w:rPr>
        <w:tab/>
        <w:t>number of verified settlements</w:t>
      </w:r>
    </w:p>
    <w:p w:rsidR="004E2E38" w:rsidRPr="00030B29" w:rsidRDefault="004E2E38" w:rsidP="004E2E38">
      <w:pPr>
        <w:pStyle w:val="Lijstalinea"/>
        <w:spacing w:after="0" w:line="240" w:lineRule="auto"/>
        <w:ind w:left="2112"/>
        <w:rPr>
          <w:sz w:val="20"/>
          <w:szCs w:val="20"/>
        </w:rPr>
      </w:pPr>
      <w:proofErr w:type="spellStart"/>
      <w:r w:rsidRPr="00030B29">
        <w:rPr>
          <w:i/>
          <w:sz w:val="20"/>
          <w:szCs w:val="20"/>
        </w:rPr>
        <w:t>S</w:t>
      </w:r>
      <w:r w:rsidRPr="00030B29">
        <w:rPr>
          <w:i/>
          <w:sz w:val="20"/>
          <w:szCs w:val="20"/>
          <w:vertAlign w:val="subscript"/>
        </w:rPr>
        <w:t>u</w:t>
      </w:r>
      <w:proofErr w:type="spellEnd"/>
      <w:r w:rsidRPr="00030B29">
        <w:rPr>
          <w:sz w:val="20"/>
          <w:szCs w:val="20"/>
        </w:rPr>
        <w:tab/>
        <w:t>number of (probable) undiscovered settlements</w:t>
      </w:r>
    </w:p>
    <w:p w:rsidR="004E2E38" w:rsidRPr="00030B29" w:rsidRDefault="004E2E38" w:rsidP="004E2E38">
      <w:pPr>
        <w:pStyle w:val="Lijstalinea"/>
        <w:autoSpaceDE w:val="0"/>
        <w:autoSpaceDN w:val="0"/>
        <w:adjustRightInd w:val="0"/>
        <w:spacing w:after="0" w:line="240" w:lineRule="auto"/>
        <w:ind w:left="2112"/>
        <w:rPr>
          <w:rFonts w:ascii="Calibri" w:hAnsi="Calibri" w:cs="Calibri"/>
          <w:sz w:val="20"/>
          <w:szCs w:val="20"/>
        </w:rPr>
      </w:pPr>
      <w:r w:rsidRPr="00030B29">
        <w:rPr>
          <w:rFonts w:ascii="Calibri" w:hAnsi="Calibri" w:cs="Calibri"/>
          <w:i/>
          <w:sz w:val="20"/>
          <w:szCs w:val="20"/>
        </w:rPr>
        <w:t>δ</w:t>
      </w:r>
      <w:r w:rsidRPr="00030B29">
        <w:rPr>
          <w:rFonts w:ascii="Calibri" w:hAnsi="Calibri" w:cs="Calibri"/>
          <w:sz w:val="20"/>
          <w:szCs w:val="20"/>
        </w:rPr>
        <w:tab/>
        <w:t>average number of houses per settlement (constant)</w:t>
      </w:r>
    </w:p>
    <w:p w:rsidR="004E2E38" w:rsidRPr="00030B29" w:rsidRDefault="004E2E38" w:rsidP="004E2E38">
      <w:pPr>
        <w:pStyle w:val="Lijstalinea"/>
        <w:autoSpaceDE w:val="0"/>
        <w:autoSpaceDN w:val="0"/>
        <w:adjustRightInd w:val="0"/>
        <w:spacing w:after="0" w:line="240" w:lineRule="auto"/>
        <w:ind w:left="2112"/>
        <w:rPr>
          <w:rFonts w:ascii="Calibri" w:hAnsi="Calibri" w:cs="Calibri"/>
          <w:sz w:val="20"/>
          <w:szCs w:val="20"/>
        </w:rPr>
      </w:pPr>
      <w:r w:rsidRPr="00030B29">
        <w:rPr>
          <w:rFonts w:ascii="Calibri" w:hAnsi="Calibri" w:cs="Calibri"/>
          <w:i/>
          <w:sz w:val="20"/>
          <w:szCs w:val="20"/>
        </w:rPr>
        <w:t>α</w:t>
      </w:r>
      <w:r w:rsidRPr="00030B29">
        <w:rPr>
          <w:rFonts w:ascii="Calibri" w:hAnsi="Calibri" w:cs="Calibri"/>
          <w:sz w:val="20"/>
          <w:szCs w:val="20"/>
        </w:rPr>
        <w:tab/>
        <w:t>average number of individuals per house (constant)</w:t>
      </w:r>
    </w:p>
    <w:p w:rsidR="00A851A5" w:rsidRPr="00030B29" w:rsidRDefault="00A851A5" w:rsidP="004136F4">
      <w:pPr>
        <w:pStyle w:val="Geenafstand"/>
        <w:jc w:val="both"/>
        <w:rPr>
          <w:color w:val="000000" w:themeColor="text1"/>
          <w:sz w:val="20"/>
        </w:rPr>
      </w:pPr>
    </w:p>
    <w:p w:rsidR="001E5784" w:rsidRPr="00030B29" w:rsidRDefault="006C3121" w:rsidP="003E6360">
      <w:pPr>
        <w:pStyle w:val="Geenafstand"/>
        <w:jc w:val="both"/>
        <w:rPr>
          <w:sz w:val="20"/>
          <w:szCs w:val="20"/>
        </w:rPr>
      </w:pPr>
      <w:r w:rsidRPr="00030B29">
        <w:rPr>
          <w:sz w:val="20"/>
          <w:szCs w:val="20"/>
        </w:rPr>
        <w:t xml:space="preserve">In this </w:t>
      </w:r>
      <w:r w:rsidR="00835C7E" w:rsidRPr="00030B29">
        <w:rPr>
          <w:sz w:val="20"/>
          <w:szCs w:val="20"/>
        </w:rPr>
        <w:t>approach</w:t>
      </w:r>
      <w:r w:rsidRPr="00030B29">
        <w:rPr>
          <w:sz w:val="20"/>
          <w:szCs w:val="20"/>
        </w:rPr>
        <w:t xml:space="preserve"> rural demography (</w:t>
      </w:r>
      <w:proofErr w:type="spellStart"/>
      <w:r w:rsidR="004E2E38" w:rsidRPr="00030B29">
        <w:rPr>
          <w:rFonts w:eastAsiaTheme="minorEastAsia"/>
          <w:i/>
          <w:sz w:val="20"/>
          <w:szCs w:val="20"/>
        </w:rPr>
        <w:t>Rp</w:t>
      </w:r>
      <w:proofErr w:type="spellEnd"/>
      <w:r w:rsidRPr="00030B29">
        <w:rPr>
          <w:sz w:val="20"/>
          <w:szCs w:val="20"/>
        </w:rPr>
        <w:t xml:space="preserve">), i.e. the number of people living in rural settlements, is calculated by </w:t>
      </w:r>
      <w:r w:rsidR="004E2E38" w:rsidRPr="00030B29">
        <w:rPr>
          <w:sz w:val="20"/>
          <w:szCs w:val="20"/>
        </w:rPr>
        <w:t>adding</w:t>
      </w:r>
      <w:r w:rsidRPr="00030B29">
        <w:rPr>
          <w:sz w:val="20"/>
          <w:szCs w:val="20"/>
        </w:rPr>
        <w:t xml:space="preserve"> the total number of </w:t>
      </w:r>
      <w:r w:rsidR="004E2E38" w:rsidRPr="00030B29">
        <w:rPr>
          <w:sz w:val="20"/>
          <w:szCs w:val="20"/>
        </w:rPr>
        <w:t xml:space="preserve">verified </w:t>
      </w:r>
      <w:r w:rsidRPr="00030B29">
        <w:rPr>
          <w:sz w:val="20"/>
          <w:szCs w:val="20"/>
        </w:rPr>
        <w:t>settlements (</w:t>
      </w:r>
      <w:proofErr w:type="spellStart"/>
      <w:r w:rsidRPr="00030B29">
        <w:rPr>
          <w:i/>
          <w:sz w:val="20"/>
          <w:szCs w:val="20"/>
        </w:rPr>
        <w:t>S</w:t>
      </w:r>
      <w:r w:rsidR="004E2E38" w:rsidRPr="00030B29">
        <w:rPr>
          <w:i/>
          <w:sz w:val="20"/>
          <w:szCs w:val="20"/>
          <w:vertAlign w:val="subscript"/>
        </w:rPr>
        <w:t>v</w:t>
      </w:r>
      <w:proofErr w:type="spellEnd"/>
      <w:r w:rsidR="00325CC4" w:rsidRPr="00030B29">
        <w:rPr>
          <w:sz w:val="20"/>
          <w:szCs w:val="20"/>
        </w:rPr>
        <w:t>)</w:t>
      </w:r>
      <w:r w:rsidR="004E2E38" w:rsidRPr="00030B29">
        <w:rPr>
          <w:sz w:val="20"/>
          <w:szCs w:val="20"/>
        </w:rPr>
        <w:t xml:space="preserve"> to the probable number of undiscovered settlements (</w:t>
      </w:r>
      <w:proofErr w:type="spellStart"/>
      <w:r w:rsidR="004E2E38" w:rsidRPr="00030B29">
        <w:rPr>
          <w:i/>
          <w:sz w:val="20"/>
          <w:szCs w:val="20"/>
        </w:rPr>
        <w:t>S</w:t>
      </w:r>
      <w:r w:rsidR="004E2E38" w:rsidRPr="00030B29">
        <w:rPr>
          <w:i/>
          <w:sz w:val="20"/>
          <w:szCs w:val="20"/>
          <w:vertAlign w:val="subscript"/>
        </w:rPr>
        <w:t>u</w:t>
      </w:r>
      <w:proofErr w:type="spellEnd"/>
      <w:r w:rsidR="004E2E38" w:rsidRPr="00030B29">
        <w:rPr>
          <w:sz w:val="20"/>
          <w:szCs w:val="20"/>
        </w:rPr>
        <w:t xml:space="preserve">) and </w:t>
      </w:r>
      <w:r w:rsidR="00C42954" w:rsidRPr="00030B29">
        <w:rPr>
          <w:sz w:val="20"/>
          <w:szCs w:val="20"/>
        </w:rPr>
        <w:t xml:space="preserve">by </w:t>
      </w:r>
      <w:r w:rsidR="004E2E38" w:rsidRPr="00030B29">
        <w:rPr>
          <w:sz w:val="20"/>
          <w:szCs w:val="20"/>
        </w:rPr>
        <w:t>multiply</w:t>
      </w:r>
      <w:r w:rsidR="00C42954" w:rsidRPr="00030B29">
        <w:rPr>
          <w:sz w:val="20"/>
          <w:szCs w:val="20"/>
        </w:rPr>
        <w:t>ing the</w:t>
      </w:r>
      <w:r w:rsidR="004E2E38" w:rsidRPr="00030B29">
        <w:rPr>
          <w:sz w:val="20"/>
          <w:szCs w:val="20"/>
        </w:rPr>
        <w:t xml:space="preserve"> outcome</w:t>
      </w:r>
      <w:r w:rsidRPr="00030B29">
        <w:rPr>
          <w:sz w:val="20"/>
          <w:szCs w:val="20"/>
        </w:rPr>
        <w:t xml:space="preserve"> with the average number of houses per settlement (</w:t>
      </w:r>
      <w:r w:rsidRPr="00030B29">
        <w:rPr>
          <w:rFonts w:ascii="Calibri" w:hAnsi="Calibri" w:cs="Calibri"/>
          <w:i/>
          <w:sz w:val="20"/>
          <w:szCs w:val="20"/>
        </w:rPr>
        <w:t>δ</w:t>
      </w:r>
      <w:r w:rsidRPr="00030B29">
        <w:rPr>
          <w:rFonts w:ascii="Calibri" w:hAnsi="Calibri" w:cs="Calibri"/>
          <w:sz w:val="20"/>
          <w:szCs w:val="20"/>
        </w:rPr>
        <w:t>)</w:t>
      </w:r>
      <w:r w:rsidRPr="00030B29">
        <w:rPr>
          <w:sz w:val="20"/>
          <w:szCs w:val="20"/>
        </w:rPr>
        <w:t xml:space="preserve"> and </w:t>
      </w:r>
      <w:r w:rsidR="000F2E3E" w:rsidRPr="00030B29">
        <w:rPr>
          <w:sz w:val="20"/>
          <w:szCs w:val="20"/>
        </w:rPr>
        <w:t xml:space="preserve">with </w:t>
      </w:r>
      <w:r w:rsidRPr="00030B29">
        <w:rPr>
          <w:sz w:val="20"/>
          <w:szCs w:val="20"/>
        </w:rPr>
        <w:t>household size (</w:t>
      </w:r>
      <w:r w:rsidRPr="00030B29">
        <w:rPr>
          <w:rFonts w:ascii="Calibri" w:hAnsi="Calibri" w:cs="Calibri"/>
          <w:i/>
          <w:sz w:val="20"/>
          <w:szCs w:val="20"/>
        </w:rPr>
        <w:t>α</w:t>
      </w:r>
      <w:r w:rsidRPr="00030B29">
        <w:rPr>
          <w:rFonts w:ascii="Calibri" w:hAnsi="Calibri" w:cs="Calibri"/>
          <w:sz w:val="20"/>
          <w:szCs w:val="20"/>
        </w:rPr>
        <w:t>)</w:t>
      </w:r>
      <w:r w:rsidRPr="00030B29">
        <w:rPr>
          <w:sz w:val="20"/>
          <w:szCs w:val="20"/>
        </w:rPr>
        <w:t xml:space="preserve"> for each ABR period.</w:t>
      </w:r>
      <w:r w:rsidR="00325CC4" w:rsidRPr="00030B29">
        <w:rPr>
          <w:sz w:val="20"/>
          <w:szCs w:val="20"/>
        </w:rPr>
        <w:t xml:space="preserve"> </w:t>
      </w:r>
      <w:r w:rsidR="004E2E38" w:rsidRPr="00030B29">
        <w:rPr>
          <w:sz w:val="20"/>
          <w:szCs w:val="20"/>
        </w:rPr>
        <w:t xml:space="preserve">Based on research by </w:t>
      </w:r>
      <w:proofErr w:type="spellStart"/>
      <w:r w:rsidR="004E2E38" w:rsidRPr="00030B29">
        <w:rPr>
          <w:sz w:val="20"/>
          <w:szCs w:val="20"/>
        </w:rPr>
        <w:t>Bult</w:t>
      </w:r>
      <w:proofErr w:type="spellEnd"/>
      <w:r w:rsidR="004E2E38" w:rsidRPr="00030B29">
        <w:rPr>
          <w:sz w:val="20"/>
          <w:szCs w:val="20"/>
        </w:rPr>
        <w:t xml:space="preserve"> (1983) and </w:t>
      </w:r>
      <w:proofErr w:type="spellStart"/>
      <w:r w:rsidR="004E2E38" w:rsidRPr="00030B29">
        <w:rPr>
          <w:sz w:val="20"/>
          <w:szCs w:val="20"/>
        </w:rPr>
        <w:t>Deeben</w:t>
      </w:r>
      <w:proofErr w:type="spellEnd"/>
      <w:r w:rsidR="004E2E38" w:rsidRPr="00030B29">
        <w:rPr>
          <w:sz w:val="20"/>
          <w:szCs w:val="20"/>
        </w:rPr>
        <w:t xml:space="preserve"> et al. (2006) we have assumed that around 50% of the settlements are still undiscovered. </w:t>
      </w:r>
      <w:r w:rsidRPr="00030B29">
        <w:rPr>
          <w:sz w:val="20"/>
          <w:szCs w:val="20"/>
        </w:rPr>
        <w:t xml:space="preserve">The average number of houses per settlement and household size were determined based on published archaeological-excavation data (see below and Table </w:t>
      </w:r>
      <w:r w:rsidR="00737EF1" w:rsidRPr="00030B29">
        <w:rPr>
          <w:sz w:val="20"/>
          <w:szCs w:val="20"/>
        </w:rPr>
        <w:t>3 in the main text</w:t>
      </w:r>
      <w:r w:rsidR="001E5784" w:rsidRPr="00030B29">
        <w:rPr>
          <w:sz w:val="20"/>
          <w:szCs w:val="20"/>
        </w:rPr>
        <w:t>).</w:t>
      </w:r>
    </w:p>
    <w:p w:rsidR="00522D7C" w:rsidRPr="00030B29" w:rsidRDefault="00522D7C" w:rsidP="00F4080D">
      <w:pPr>
        <w:pStyle w:val="Geenafstand"/>
        <w:jc w:val="both"/>
        <w:rPr>
          <w:i/>
          <w:sz w:val="20"/>
        </w:rPr>
      </w:pPr>
    </w:p>
    <w:p w:rsidR="00F4080D" w:rsidRPr="00030B29" w:rsidRDefault="00F4080D" w:rsidP="00F4080D">
      <w:pPr>
        <w:pStyle w:val="Geenafstand"/>
        <w:jc w:val="both"/>
        <w:rPr>
          <w:i/>
          <w:sz w:val="20"/>
        </w:rPr>
      </w:pPr>
      <w:r w:rsidRPr="00030B29">
        <w:rPr>
          <w:i/>
          <w:sz w:val="20"/>
        </w:rPr>
        <w:t>Household size</w:t>
      </w:r>
    </w:p>
    <w:p w:rsidR="003F2748" w:rsidRPr="00030B29" w:rsidRDefault="000638E4" w:rsidP="00F4080D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 number of individuals per household has been the subject of discussion among archaeologists for years (e.g. Willems, 1986; </w:t>
      </w:r>
      <w:proofErr w:type="spellStart"/>
      <w:r w:rsidRPr="00030B29">
        <w:rPr>
          <w:sz w:val="20"/>
        </w:rPr>
        <w:t>Vossen</w:t>
      </w:r>
      <w:proofErr w:type="spellEnd"/>
      <w:r w:rsidRPr="00030B29">
        <w:rPr>
          <w:sz w:val="20"/>
        </w:rPr>
        <w:t xml:space="preserve">, 2003; </w:t>
      </w:r>
      <w:proofErr w:type="spellStart"/>
      <w:r w:rsidRPr="00030B29">
        <w:rPr>
          <w:sz w:val="20"/>
        </w:rPr>
        <w:t>Heeren</w:t>
      </w:r>
      <w:proofErr w:type="spellEnd"/>
      <w:r w:rsidRPr="00030B29">
        <w:rPr>
          <w:sz w:val="20"/>
        </w:rPr>
        <w:t xml:space="preserve">, 2009; Dijkstra, 2011). </w:t>
      </w:r>
      <w:r w:rsidR="001E5784" w:rsidRPr="00030B29">
        <w:rPr>
          <w:sz w:val="20"/>
        </w:rPr>
        <w:t>However, i</w:t>
      </w:r>
      <w:r w:rsidR="003F2748" w:rsidRPr="00030B29">
        <w:rPr>
          <w:sz w:val="20"/>
        </w:rPr>
        <w:t xml:space="preserve">t is generally accepted </w:t>
      </w:r>
      <w:r w:rsidR="00C42954" w:rsidRPr="00030B29">
        <w:rPr>
          <w:sz w:val="20"/>
        </w:rPr>
        <w:t>that</w:t>
      </w:r>
      <w:r w:rsidRPr="00030B29">
        <w:rPr>
          <w:sz w:val="20"/>
        </w:rPr>
        <w:t xml:space="preserve"> </w:t>
      </w:r>
      <w:r w:rsidR="003F2748" w:rsidRPr="00030B29">
        <w:rPr>
          <w:sz w:val="20"/>
        </w:rPr>
        <w:t>the average household size</w:t>
      </w:r>
      <w:r w:rsidR="001E5784" w:rsidRPr="00030B29">
        <w:rPr>
          <w:sz w:val="20"/>
        </w:rPr>
        <w:t xml:space="preserve"> in </w:t>
      </w:r>
      <w:r w:rsidR="00C42954" w:rsidRPr="00030B29">
        <w:rPr>
          <w:sz w:val="20"/>
        </w:rPr>
        <w:t xml:space="preserve">the </w:t>
      </w:r>
      <w:r w:rsidR="001E5784" w:rsidRPr="00030B29">
        <w:rPr>
          <w:sz w:val="20"/>
        </w:rPr>
        <w:t>study area</w:t>
      </w:r>
      <w:r w:rsidR="003F2748" w:rsidRPr="00030B29">
        <w:rPr>
          <w:sz w:val="20"/>
        </w:rPr>
        <w:t xml:space="preserve"> </w:t>
      </w:r>
      <w:r w:rsidR="00C42954" w:rsidRPr="00030B29">
        <w:rPr>
          <w:sz w:val="20"/>
        </w:rPr>
        <w:t xml:space="preserve">was ca. </w:t>
      </w:r>
      <w:r w:rsidRPr="00030B29">
        <w:rPr>
          <w:sz w:val="20"/>
        </w:rPr>
        <w:t>6.5 individuals</w:t>
      </w:r>
      <w:r w:rsidR="001E5784" w:rsidRPr="00030B29">
        <w:rPr>
          <w:sz w:val="20"/>
        </w:rPr>
        <w:t xml:space="preserve"> </w:t>
      </w:r>
      <w:r w:rsidR="00C42954" w:rsidRPr="00030B29">
        <w:rPr>
          <w:sz w:val="20"/>
        </w:rPr>
        <w:t>throughout the first millennium AD</w:t>
      </w:r>
      <w:r w:rsidR="003F2748" w:rsidRPr="00030B29">
        <w:rPr>
          <w:sz w:val="20"/>
        </w:rPr>
        <w:t>. Th</w:t>
      </w:r>
      <w:r w:rsidR="00C42954" w:rsidRPr="00030B29">
        <w:rPr>
          <w:sz w:val="20"/>
        </w:rPr>
        <w:t xml:space="preserve">is </w:t>
      </w:r>
      <w:r w:rsidR="003F2748" w:rsidRPr="00030B29">
        <w:rPr>
          <w:sz w:val="20"/>
        </w:rPr>
        <w:t>number</w:t>
      </w:r>
      <w:r w:rsidR="00C42954" w:rsidRPr="00030B29">
        <w:rPr>
          <w:sz w:val="20"/>
        </w:rPr>
        <w:t xml:space="preserve"> is </w:t>
      </w:r>
      <w:r w:rsidR="003F2748" w:rsidRPr="00030B29">
        <w:rPr>
          <w:sz w:val="20"/>
        </w:rPr>
        <w:t xml:space="preserve">based on biological data </w:t>
      </w:r>
      <w:r w:rsidR="001E5784" w:rsidRPr="00030B29">
        <w:rPr>
          <w:sz w:val="20"/>
        </w:rPr>
        <w:t>concerning</w:t>
      </w:r>
      <w:r w:rsidR="003F2748" w:rsidRPr="00030B29">
        <w:rPr>
          <w:sz w:val="20"/>
        </w:rPr>
        <w:t xml:space="preserve"> average family sizes and </w:t>
      </w:r>
      <w:r w:rsidR="00C42954" w:rsidRPr="00030B29">
        <w:rPr>
          <w:sz w:val="20"/>
        </w:rPr>
        <w:t>is</w:t>
      </w:r>
      <w:r w:rsidR="00F4080D" w:rsidRPr="00030B29">
        <w:rPr>
          <w:sz w:val="20"/>
        </w:rPr>
        <w:t xml:space="preserve"> considered to </w:t>
      </w:r>
      <w:r w:rsidR="00C42954" w:rsidRPr="00030B29">
        <w:rPr>
          <w:sz w:val="20"/>
        </w:rPr>
        <w:t xml:space="preserve">have remained </w:t>
      </w:r>
      <w:r w:rsidR="003F2748" w:rsidRPr="00030B29">
        <w:rPr>
          <w:sz w:val="20"/>
        </w:rPr>
        <w:t xml:space="preserve">constant </w:t>
      </w:r>
      <w:r w:rsidR="00F4080D" w:rsidRPr="00030B29">
        <w:rPr>
          <w:sz w:val="20"/>
        </w:rPr>
        <w:t>during</w:t>
      </w:r>
      <w:r w:rsidR="001E5784" w:rsidRPr="00030B29">
        <w:rPr>
          <w:sz w:val="20"/>
        </w:rPr>
        <w:t xml:space="preserve"> </w:t>
      </w:r>
      <w:r w:rsidR="00BE1BBB" w:rsidRPr="00030B29">
        <w:rPr>
          <w:sz w:val="20"/>
        </w:rPr>
        <w:t xml:space="preserve">the </w:t>
      </w:r>
      <w:r w:rsidR="003F2748" w:rsidRPr="00030B29">
        <w:rPr>
          <w:sz w:val="20"/>
        </w:rPr>
        <w:t>preindustrial period</w:t>
      </w:r>
      <w:r w:rsidR="001E5784" w:rsidRPr="00030B29">
        <w:rPr>
          <w:sz w:val="20"/>
        </w:rPr>
        <w:t>s</w:t>
      </w:r>
      <w:r w:rsidR="003F2748" w:rsidRPr="00030B29">
        <w:rPr>
          <w:sz w:val="20"/>
        </w:rPr>
        <w:t>.</w:t>
      </w:r>
    </w:p>
    <w:p w:rsidR="00F4080D" w:rsidRPr="00030B29" w:rsidRDefault="00F4080D" w:rsidP="00F4080D">
      <w:pPr>
        <w:pStyle w:val="Geenafstand"/>
        <w:jc w:val="both"/>
        <w:rPr>
          <w:sz w:val="20"/>
        </w:rPr>
      </w:pPr>
    </w:p>
    <w:p w:rsidR="00F4080D" w:rsidRPr="00030B29" w:rsidRDefault="00F4080D" w:rsidP="00F4080D">
      <w:pPr>
        <w:pStyle w:val="Geenafstand"/>
        <w:jc w:val="both"/>
        <w:rPr>
          <w:i/>
          <w:sz w:val="20"/>
        </w:rPr>
      </w:pPr>
      <w:r w:rsidRPr="00030B29">
        <w:rPr>
          <w:i/>
          <w:sz w:val="20"/>
        </w:rPr>
        <w:t>Number of houses per settlement</w:t>
      </w:r>
    </w:p>
    <w:p w:rsidR="00F90683" w:rsidRPr="00030B29" w:rsidRDefault="004C23A8" w:rsidP="00A11099">
      <w:pPr>
        <w:pStyle w:val="Geenafstand"/>
        <w:jc w:val="both"/>
        <w:rPr>
          <w:sz w:val="20"/>
        </w:rPr>
      </w:pPr>
      <w:r w:rsidRPr="00030B29">
        <w:rPr>
          <w:sz w:val="20"/>
        </w:rPr>
        <w:lastRenderedPageBreak/>
        <w:t xml:space="preserve">The ERP </w:t>
      </w:r>
      <w:r w:rsidR="00C42954" w:rsidRPr="00030B29">
        <w:rPr>
          <w:sz w:val="20"/>
        </w:rPr>
        <w:t xml:space="preserve">was </w:t>
      </w:r>
      <w:r w:rsidRPr="00030B29">
        <w:rPr>
          <w:sz w:val="20"/>
        </w:rPr>
        <w:t xml:space="preserve">characterized by small agrarian settlements. </w:t>
      </w:r>
      <w:proofErr w:type="spellStart"/>
      <w:r w:rsidRPr="00030B29">
        <w:rPr>
          <w:sz w:val="20"/>
        </w:rPr>
        <w:t>Bloemers</w:t>
      </w:r>
      <w:proofErr w:type="spellEnd"/>
      <w:r w:rsidRPr="00030B29">
        <w:rPr>
          <w:sz w:val="20"/>
        </w:rPr>
        <w:t xml:space="preserve"> (1978) reconstruct</w:t>
      </w:r>
      <w:r w:rsidR="00C42954" w:rsidRPr="00030B29">
        <w:rPr>
          <w:sz w:val="20"/>
        </w:rPr>
        <w:t>ed</w:t>
      </w:r>
      <w:r w:rsidRPr="00030B29">
        <w:rPr>
          <w:sz w:val="20"/>
        </w:rPr>
        <w:t xml:space="preserve"> settlements commonly consisting out of </w:t>
      </w:r>
      <w:r w:rsidR="00C42954" w:rsidRPr="00030B29">
        <w:rPr>
          <w:sz w:val="20"/>
        </w:rPr>
        <w:t xml:space="preserve">a single </w:t>
      </w:r>
      <w:r w:rsidRPr="00030B29">
        <w:rPr>
          <w:sz w:val="20"/>
        </w:rPr>
        <w:t>farmstead</w:t>
      </w:r>
      <w:r w:rsidR="00C42954" w:rsidRPr="00030B29">
        <w:rPr>
          <w:sz w:val="20"/>
        </w:rPr>
        <w:t xml:space="preserve"> only</w:t>
      </w:r>
      <w:r w:rsidRPr="00030B29">
        <w:rPr>
          <w:sz w:val="20"/>
        </w:rPr>
        <w:t xml:space="preserve">. The predominance of isolated farmsteads, so-called </w:t>
      </w:r>
      <w:proofErr w:type="spellStart"/>
      <w:r w:rsidRPr="00030B29">
        <w:rPr>
          <w:i/>
          <w:sz w:val="20"/>
        </w:rPr>
        <w:t>Einzelhöfe</w:t>
      </w:r>
      <w:proofErr w:type="spellEnd"/>
      <w:r w:rsidRPr="00030B29">
        <w:rPr>
          <w:sz w:val="20"/>
        </w:rPr>
        <w:t xml:space="preserve">, </w:t>
      </w:r>
      <w:r w:rsidR="00C647B6" w:rsidRPr="00030B29">
        <w:rPr>
          <w:sz w:val="20"/>
        </w:rPr>
        <w:t xml:space="preserve">during the ERP </w:t>
      </w:r>
      <w:r w:rsidR="00C42954" w:rsidRPr="00030B29">
        <w:rPr>
          <w:sz w:val="20"/>
        </w:rPr>
        <w:t xml:space="preserve">has been recorded for </w:t>
      </w:r>
      <w:r w:rsidR="00C647B6" w:rsidRPr="00030B29">
        <w:rPr>
          <w:sz w:val="20"/>
        </w:rPr>
        <w:t xml:space="preserve">the western as well as </w:t>
      </w:r>
      <w:r w:rsidR="00C42954" w:rsidRPr="00030B29">
        <w:rPr>
          <w:sz w:val="20"/>
        </w:rPr>
        <w:t xml:space="preserve">for the </w:t>
      </w:r>
      <w:r w:rsidRPr="00030B29">
        <w:rPr>
          <w:sz w:val="20"/>
        </w:rPr>
        <w:t xml:space="preserve">eastern parts of the Netherlands (Van </w:t>
      </w:r>
      <w:proofErr w:type="spellStart"/>
      <w:r w:rsidRPr="00030B29">
        <w:rPr>
          <w:sz w:val="20"/>
        </w:rPr>
        <w:t>Beek</w:t>
      </w:r>
      <w:proofErr w:type="spellEnd"/>
      <w:r w:rsidRPr="00030B29">
        <w:rPr>
          <w:sz w:val="20"/>
        </w:rPr>
        <w:t xml:space="preserve">, 2009; </w:t>
      </w:r>
      <w:r w:rsidR="00C647B6" w:rsidRPr="00030B29">
        <w:rPr>
          <w:sz w:val="20"/>
        </w:rPr>
        <w:t xml:space="preserve">Dijkstra, 2011; </w:t>
      </w:r>
      <w:r w:rsidRPr="00030B29">
        <w:rPr>
          <w:sz w:val="20"/>
        </w:rPr>
        <w:t xml:space="preserve">Van Der Velde, 2011). </w:t>
      </w:r>
      <w:r w:rsidR="00C42954" w:rsidRPr="00030B29">
        <w:rPr>
          <w:sz w:val="20"/>
        </w:rPr>
        <w:t xml:space="preserve">In the study area, however, archaeological research </w:t>
      </w:r>
      <w:r w:rsidRPr="00030B29">
        <w:rPr>
          <w:sz w:val="20"/>
        </w:rPr>
        <w:t xml:space="preserve">at </w:t>
      </w:r>
      <w:proofErr w:type="spellStart"/>
      <w:r w:rsidRPr="00030B29">
        <w:rPr>
          <w:sz w:val="20"/>
        </w:rPr>
        <w:t>Tiel-Passewaaij</w:t>
      </w:r>
      <w:proofErr w:type="spellEnd"/>
      <w:r w:rsidRPr="00030B29">
        <w:rPr>
          <w:sz w:val="20"/>
        </w:rPr>
        <w:t xml:space="preserve"> and </w:t>
      </w:r>
      <w:proofErr w:type="spellStart"/>
      <w:r w:rsidRPr="00030B29">
        <w:rPr>
          <w:sz w:val="20"/>
        </w:rPr>
        <w:t>Wijk</w:t>
      </w:r>
      <w:proofErr w:type="spellEnd"/>
      <w:r w:rsidRPr="00030B29">
        <w:rPr>
          <w:sz w:val="20"/>
        </w:rPr>
        <w:t xml:space="preserve"> </w:t>
      </w:r>
      <w:proofErr w:type="spellStart"/>
      <w:r w:rsidRPr="00030B29">
        <w:rPr>
          <w:sz w:val="20"/>
        </w:rPr>
        <w:t>bij</w:t>
      </w:r>
      <w:proofErr w:type="spellEnd"/>
      <w:r w:rsidRPr="00030B29">
        <w:rPr>
          <w:sz w:val="20"/>
        </w:rPr>
        <w:t xml:space="preserve"> </w:t>
      </w:r>
      <w:proofErr w:type="spellStart"/>
      <w:r w:rsidRPr="00030B29">
        <w:rPr>
          <w:sz w:val="20"/>
        </w:rPr>
        <w:t>Duurstede</w:t>
      </w:r>
      <w:proofErr w:type="spellEnd"/>
      <w:r w:rsidRPr="00030B29">
        <w:rPr>
          <w:sz w:val="20"/>
        </w:rPr>
        <w:t xml:space="preserve">-De </w:t>
      </w:r>
      <w:proofErr w:type="spellStart"/>
      <w:r w:rsidRPr="00030B29">
        <w:rPr>
          <w:sz w:val="20"/>
        </w:rPr>
        <w:t>Horden</w:t>
      </w:r>
      <w:proofErr w:type="spellEnd"/>
      <w:r w:rsidRPr="00030B29">
        <w:rPr>
          <w:sz w:val="20"/>
        </w:rPr>
        <w:t xml:space="preserve"> point</w:t>
      </w:r>
      <w:r w:rsidR="000F2E3E" w:rsidRPr="00030B29">
        <w:rPr>
          <w:sz w:val="20"/>
        </w:rPr>
        <w:t>s</w:t>
      </w:r>
      <w:r w:rsidRPr="00030B29">
        <w:rPr>
          <w:sz w:val="20"/>
        </w:rPr>
        <w:t xml:space="preserve"> towards settlements </w:t>
      </w:r>
      <w:r w:rsidR="00C42954" w:rsidRPr="00030B29">
        <w:rPr>
          <w:sz w:val="20"/>
        </w:rPr>
        <w:t xml:space="preserve">on average </w:t>
      </w:r>
      <w:r w:rsidRPr="00030B29">
        <w:rPr>
          <w:sz w:val="20"/>
        </w:rPr>
        <w:t xml:space="preserve">consisting of 1 to 2 </w:t>
      </w:r>
      <w:r w:rsidR="00C647B6" w:rsidRPr="00030B29">
        <w:rPr>
          <w:sz w:val="20"/>
        </w:rPr>
        <w:t>houses</w:t>
      </w:r>
      <w:r w:rsidRPr="00030B29">
        <w:rPr>
          <w:sz w:val="20"/>
        </w:rPr>
        <w:t xml:space="preserve"> per settlement (e.g. </w:t>
      </w:r>
      <w:proofErr w:type="spellStart"/>
      <w:r w:rsidRPr="00030B29">
        <w:rPr>
          <w:sz w:val="20"/>
        </w:rPr>
        <w:t>Heeren</w:t>
      </w:r>
      <w:proofErr w:type="spellEnd"/>
      <w:r w:rsidRPr="00030B29">
        <w:rPr>
          <w:sz w:val="20"/>
        </w:rPr>
        <w:t xml:space="preserve">, 2009; Vos, 2009). For this reason we </w:t>
      </w:r>
      <w:r w:rsidR="00C42954" w:rsidRPr="00030B29">
        <w:rPr>
          <w:sz w:val="20"/>
        </w:rPr>
        <w:t xml:space="preserve">defined </w:t>
      </w:r>
      <w:r w:rsidRPr="00030B29">
        <w:rPr>
          <w:sz w:val="20"/>
        </w:rPr>
        <w:t xml:space="preserve">the average number of </w:t>
      </w:r>
      <w:r w:rsidR="00C647B6" w:rsidRPr="00030B29">
        <w:rPr>
          <w:sz w:val="20"/>
        </w:rPr>
        <w:t>houses</w:t>
      </w:r>
      <w:r w:rsidRPr="00030B29">
        <w:rPr>
          <w:sz w:val="20"/>
        </w:rPr>
        <w:t xml:space="preserve"> per settlement for the ERP </w:t>
      </w:r>
      <w:r w:rsidR="00C42954" w:rsidRPr="00030B29">
        <w:rPr>
          <w:sz w:val="20"/>
        </w:rPr>
        <w:t>as</w:t>
      </w:r>
      <w:r w:rsidRPr="00030B29">
        <w:rPr>
          <w:sz w:val="20"/>
        </w:rPr>
        <w:t xml:space="preserve"> 1.5 (Table </w:t>
      </w:r>
      <w:r w:rsidR="00A11099" w:rsidRPr="00030B29">
        <w:rPr>
          <w:sz w:val="20"/>
        </w:rPr>
        <w:t>3 in the main text</w:t>
      </w:r>
      <w:r w:rsidRPr="00030B29">
        <w:rPr>
          <w:sz w:val="20"/>
        </w:rPr>
        <w:t xml:space="preserve">). During the </w:t>
      </w:r>
      <w:r w:rsidR="00C42954" w:rsidRPr="00030B29">
        <w:rPr>
          <w:sz w:val="20"/>
        </w:rPr>
        <w:t xml:space="preserve">subsequent </w:t>
      </w:r>
      <w:r w:rsidRPr="00030B29">
        <w:rPr>
          <w:sz w:val="20"/>
        </w:rPr>
        <w:t>MRP</w:t>
      </w:r>
      <w:r w:rsidR="00C42954" w:rsidRPr="00030B29">
        <w:rPr>
          <w:sz w:val="20"/>
        </w:rPr>
        <w:t>,</w:t>
      </w:r>
      <w:r w:rsidRPr="00030B29">
        <w:rPr>
          <w:sz w:val="20"/>
        </w:rPr>
        <w:t xml:space="preserve"> settlement size </w:t>
      </w:r>
      <w:r w:rsidR="00C42954" w:rsidRPr="00030B29">
        <w:rPr>
          <w:sz w:val="20"/>
        </w:rPr>
        <w:t xml:space="preserve">drastically </w:t>
      </w:r>
      <w:r w:rsidRPr="00030B29">
        <w:rPr>
          <w:sz w:val="20"/>
        </w:rPr>
        <w:t>increase</w:t>
      </w:r>
      <w:r w:rsidR="00C42954" w:rsidRPr="00030B29">
        <w:rPr>
          <w:sz w:val="20"/>
        </w:rPr>
        <w:t>d</w:t>
      </w:r>
      <w:r w:rsidRPr="00030B29">
        <w:rPr>
          <w:sz w:val="20"/>
        </w:rPr>
        <w:t xml:space="preserve">. </w:t>
      </w:r>
      <w:proofErr w:type="spellStart"/>
      <w:r w:rsidRPr="00030B29">
        <w:rPr>
          <w:sz w:val="20"/>
        </w:rPr>
        <w:t>Bloemers</w:t>
      </w:r>
      <w:proofErr w:type="spellEnd"/>
      <w:r w:rsidRPr="00030B29">
        <w:rPr>
          <w:sz w:val="20"/>
        </w:rPr>
        <w:t xml:space="preserve"> (1978)</w:t>
      </w:r>
      <w:r w:rsidR="00C647B6" w:rsidRPr="00030B29">
        <w:rPr>
          <w:sz w:val="20"/>
        </w:rPr>
        <w:t xml:space="preserve"> and Dijkstra (2011)</w:t>
      </w:r>
      <w:r w:rsidRPr="00030B29">
        <w:rPr>
          <w:sz w:val="20"/>
        </w:rPr>
        <w:t xml:space="preserve"> </w:t>
      </w:r>
      <w:r w:rsidR="00C42954" w:rsidRPr="00030B29">
        <w:rPr>
          <w:sz w:val="20"/>
        </w:rPr>
        <w:t xml:space="preserve">have reconstructed </w:t>
      </w:r>
      <w:r w:rsidRPr="00030B29">
        <w:rPr>
          <w:sz w:val="20"/>
        </w:rPr>
        <w:t xml:space="preserve">an average of 3 </w:t>
      </w:r>
      <w:r w:rsidR="00C647B6" w:rsidRPr="00030B29">
        <w:rPr>
          <w:sz w:val="20"/>
        </w:rPr>
        <w:t>houses</w:t>
      </w:r>
      <w:r w:rsidRPr="00030B29">
        <w:rPr>
          <w:sz w:val="20"/>
        </w:rPr>
        <w:t xml:space="preserve"> per settlements</w:t>
      </w:r>
      <w:r w:rsidR="00C647B6" w:rsidRPr="00030B29">
        <w:rPr>
          <w:sz w:val="20"/>
        </w:rPr>
        <w:t xml:space="preserve">. </w:t>
      </w:r>
      <w:r w:rsidR="001E5784" w:rsidRPr="00030B29">
        <w:rPr>
          <w:sz w:val="20"/>
        </w:rPr>
        <w:t>The</w:t>
      </w:r>
      <w:r w:rsidR="00C647B6" w:rsidRPr="00030B29">
        <w:rPr>
          <w:sz w:val="20"/>
        </w:rPr>
        <w:t xml:space="preserve"> </w:t>
      </w:r>
      <w:r w:rsidR="00C42954" w:rsidRPr="00030B29">
        <w:rPr>
          <w:sz w:val="20"/>
        </w:rPr>
        <w:t xml:space="preserve">settlements </w:t>
      </w:r>
      <w:r w:rsidR="00C647B6" w:rsidRPr="00030B29">
        <w:rPr>
          <w:sz w:val="20"/>
        </w:rPr>
        <w:t xml:space="preserve">at </w:t>
      </w:r>
      <w:proofErr w:type="spellStart"/>
      <w:r w:rsidR="00C647B6" w:rsidRPr="00030B29">
        <w:rPr>
          <w:sz w:val="20"/>
        </w:rPr>
        <w:t>Tiel-Passewaaij</w:t>
      </w:r>
      <w:proofErr w:type="spellEnd"/>
      <w:r w:rsidR="00C647B6" w:rsidRPr="00030B29">
        <w:rPr>
          <w:sz w:val="20"/>
        </w:rPr>
        <w:t xml:space="preserve"> and </w:t>
      </w:r>
      <w:proofErr w:type="spellStart"/>
      <w:r w:rsidR="00C647B6" w:rsidRPr="00030B29">
        <w:rPr>
          <w:sz w:val="20"/>
        </w:rPr>
        <w:t>Wijk</w:t>
      </w:r>
      <w:proofErr w:type="spellEnd"/>
      <w:r w:rsidR="00C647B6" w:rsidRPr="00030B29">
        <w:rPr>
          <w:sz w:val="20"/>
        </w:rPr>
        <w:t xml:space="preserve"> </w:t>
      </w:r>
      <w:proofErr w:type="spellStart"/>
      <w:r w:rsidR="00C647B6" w:rsidRPr="00030B29">
        <w:rPr>
          <w:sz w:val="20"/>
        </w:rPr>
        <w:t>bij</w:t>
      </w:r>
      <w:proofErr w:type="spellEnd"/>
      <w:r w:rsidR="00C647B6" w:rsidRPr="00030B29">
        <w:rPr>
          <w:sz w:val="20"/>
        </w:rPr>
        <w:t xml:space="preserve"> </w:t>
      </w:r>
      <w:proofErr w:type="spellStart"/>
      <w:r w:rsidR="00C647B6" w:rsidRPr="00030B29">
        <w:rPr>
          <w:sz w:val="20"/>
        </w:rPr>
        <w:t>Duurstede</w:t>
      </w:r>
      <w:proofErr w:type="spellEnd"/>
      <w:r w:rsidR="00C647B6" w:rsidRPr="00030B29">
        <w:rPr>
          <w:sz w:val="20"/>
        </w:rPr>
        <w:t xml:space="preserve">-De </w:t>
      </w:r>
      <w:proofErr w:type="spellStart"/>
      <w:r w:rsidR="00C647B6" w:rsidRPr="00030B29">
        <w:rPr>
          <w:sz w:val="20"/>
        </w:rPr>
        <w:t>Horden</w:t>
      </w:r>
      <w:proofErr w:type="spellEnd"/>
      <w:r w:rsidR="00C647B6" w:rsidRPr="00030B29">
        <w:rPr>
          <w:sz w:val="20"/>
        </w:rPr>
        <w:t xml:space="preserve"> </w:t>
      </w:r>
      <w:r w:rsidR="00C42954" w:rsidRPr="00030B29">
        <w:rPr>
          <w:sz w:val="20"/>
        </w:rPr>
        <w:t xml:space="preserve">expanded </w:t>
      </w:r>
      <w:r w:rsidR="00C647B6" w:rsidRPr="00030B29">
        <w:rPr>
          <w:sz w:val="20"/>
        </w:rPr>
        <w:t>to ca. 4 farm</w:t>
      </w:r>
      <w:r w:rsidR="00C42954" w:rsidRPr="00030B29">
        <w:rPr>
          <w:sz w:val="20"/>
        </w:rPr>
        <w:t>stead</w:t>
      </w:r>
      <w:r w:rsidR="00C647B6" w:rsidRPr="00030B29">
        <w:rPr>
          <w:sz w:val="20"/>
        </w:rPr>
        <w:t xml:space="preserve">s during this period (e.g. </w:t>
      </w:r>
      <w:proofErr w:type="spellStart"/>
      <w:r w:rsidR="00C647B6" w:rsidRPr="00030B29">
        <w:rPr>
          <w:sz w:val="20"/>
        </w:rPr>
        <w:t>Heeren</w:t>
      </w:r>
      <w:proofErr w:type="spellEnd"/>
      <w:r w:rsidR="00C647B6" w:rsidRPr="00030B29">
        <w:rPr>
          <w:sz w:val="20"/>
        </w:rPr>
        <w:t xml:space="preserve">, 2009; Vos, 2009). We conservatively </w:t>
      </w:r>
      <w:r w:rsidR="00C42954" w:rsidRPr="00030B29">
        <w:rPr>
          <w:sz w:val="20"/>
        </w:rPr>
        <w:t xml:space="preserve">defined </w:t>
      </w:r>
      <w:r w:rsidR="00C647B6" w:rsidRPr="00030B29">
        <w:rPr>
          <w:sz w:val="20"/>
        </w:rPr>
        <w:t>the average number of houses per settlement</w:t>
      </w:r>
      <w:r w:rsidR="00FE6C38" w:rsidRPr="00030B29">
        <w:rPr>
          <w:sz w:val="20"/>
        </w:rPr>
        <w:t xml:space="preserve"> during the MRP </w:t>
      </w:r>
      <w:r w:rsidR="00C42954" w:rsidRPr="00030B29">
        <w:rPr>
          <w:sz w:val="20"/>
        </w:rPr>
        <w:t>as</w:t>
      </w:r>
      <w:r w:rsidR="00FE6C38" w:rsidRPr="00030B29">
        <w:rPr>
          <w:sz w:val="20"/>
        </w:rPr>
        <w:t xml:space="preserve"> 3</w:t>
      </w:r>
      <w:r w:rsidR="003E6360" w:rsidRPr="00030B29">
        <w:rPr>
          <w:sz w:val="20"/>
        </w:rPr>
        <w:t xml:space="preserve"> (</w:t>
      </w:r>
      <w:r w:rsidR="00BF5119" w:rsidRPr="00030B29">
        <w:rPr>
          <w:sz w:val="20"/>
        </w:rPr>
        <w:t xml:space="preserve">see main text, </w:t>
      </w:r>
      <w:r w:rsidR="003E6360" w:rsidRPr="00030B29">
        <w:rPr>
          <w:sz w:val="20"/>
        </w:rPr>
        <w:t xml:space="preserve">Table </w:t>
      </w:r>
      <w:r w:rsidR="00A11099" w:rsidRPr="00030B29">
        <w:rPr>
          <w:sz w:val="20"/>
        </w:rPr>
        <w:t>3</w:t>
      </w:r>
      <w:r w:rsidR="003E6360" w:rsidRPr="00030B29">
        <w:rPr>
          <w:sz w:val="20"/>
        </w:rPr>
        <w:t>)</w:t>
      </w:r>
      <w:r w:rsidR="00FE6C38" w:rsidRPr="00030B29">
        <w:rPr>
          <w:sz w:val="20"/>
        </w:rPr>
        <w:t>. During the LRP s</w:t>
      </w:r>
      <w:r w:rsidR="003E6360" w:rsidRPr="00030B29">
        <w:rPr>
          <w:sz w:val="20"/>
        </w:rPr>
        <w:t xml:space="preserve">ettlement size (and numbers) decreases again. Based on excavations at Breda-West, </w:t>
      </w:r>
      <w:proofErr w:type="spellStart"/>
      <w:r w:rsidR="003E6360" w:rsidRPr="00030B29">
        <w:rPr>
          <w:sz w:val="20"/>
        </w:rPr>
        <w:t>Goirle-Huzarenwei</w:t>
      </w:r>
      <w:proofErr w:type="spellEnd"/>
      <w:r w:rsidR="003E6360" w:rsidRPr="00030B29">
        <w:rPr>
          <w:sz w:val="20"/>
        </w:rPr>
        <w:t xml:space="preserve"> and </w:t>
      </w:r>
      <w:proofErr w:type="spellStart"/>
      <w:r w:rsidR="003E6360" w:rsidRPr="00030B29">
        <w:rPr>
          <w:sz w:val="20"/>
        </w:rPr>
        <w:t>Tiel</w:t>
      </w:r>
      <w:proofErr w:type="spellEnd"/>
      <w:r w:rsidR="003E6360" w:rsidRPr="00030B29">
        <w:rPr>
          <w:sz w:val="20"/>
        </w:rPr>
        <w:t xml:space="preserve">- </w:t>
      </w:r>
      <w:proofErr w:type="spellStart"/>
      <w:r w:rsidR="003E6360" w:rsidRPr="00030B29">
        <w:rPr>
          <w:sz w:val="20"/>
        </w:rPr>
        <w:t>Passewaaij</w:t>
      </w:r>
      <w:proofErr w:type="spellEnd"/>
      <w:r w:rsidR="003E6360" w:rsidRPr="00030B29">
        <w:rPr>
          <w:sz w:val="20"/>
        </w:rPr>
        <w:t xml:space="preserve"> the average number of contemporaneous houses </w:t>
      </w:r>
      <w:r w:rsidR="00C42954" w:rsidRPr="00030B29">
        <w:rPr>
          <w:sz w:val="20"/>
        </w:rPr>
        <w:t xml:space="preserve">per settlement </w:t>
      </w:r>
      <w:r w:rsidR="003E6360" w:rsidRPr="00030B29">
        <w:rPr>
          <w:sz w:val="20"/>
        </w:rPr>
        <w:t>var</w:t>
      </w:r>
      <w:r w:rsidR="00C42954" w:rsidRPr="00030B29">
        <w:rPr>
          <w:sz w:val="20"/>
        </w:rPr>
        <w:t>ied</w:t>
      </w:r>
      <w:r w:rsidR="003E6360" w:rsidRPr="00030B29">
        <w:rPr>
          <w:sz w:val="20"/>
        </w:rPr>
        <w:t xml:space="preserve"> between 1 </w:t>
      </w:r>
      <w:r w:rsidR="00C42954" w:rsidRPr="00030B29">
        <w:rPr>
          <w:sz w:val="20"/>
        </w:rPr>
        <w:t>and</w:t>
      </w:r>
      <w:r w:rsidR="003E6360" w:rsidRPr="00030B29">
        <w:rPr>
          <w:sz w:val="20"/>
        </w:rPr>
        <w:t xml:space="preserve"> 2 and </w:t>
      </w:r>
      <w:r w:rsidR="00C42954" w:rsidRPr="00030B29">
        <w:rPr>
          <w:sz w:val="20"/>
        </w:rPr>
        <w:t>was</w:t>
      </w:r>
      <w:r w:rsidR="003E6360" w:rsidRPr="00030B29">
        <w:rPr>
          <w:sz w:val="20"/>
        </w:rPr>
        <w:t xml:space="preserve"> equal to the ERP</w:t>
      </w:r>
      <w:r w:rsidR="00C42954" w:rsidRPr="00030B29">
        <w:rPr>
          <w:sz w:val="20"/>
        </w:rPr>
        <w:t xml:space="preserve">. Therefore we defined the average size of settlements during this period as </w:t>
      </w:r>
      <w:r w:rsidR="003E6360" w:rsidRPr="00030B29">
        <w:rPr>
          <w:sz w:val="20"/>
        </w:rPr>
        <w:t>1.5 (</w:t>
      </w:r>
      <w:r w:rsidR="00BF5119" w:rsidRPr="00030B29">
        <w:rPr>
          <w:sz w:val="20"/>
        </w:rPr>
        <w:t xml:space="preserve">see main text, </w:t>
      </w:r>
      <w:r w:rsidR="003E6360" w:rsidRPr="00030B29">
        <w:rPr>
          <w:sz w:val="20"/>
        </w:rPr>
        <w:t xml:space="preserve">Table </w:t>
      </w:r>
      <w:r w:rsidR="00A11099" w:rsidRPr="00030B29">
        <w:rPr>
          <w:sz w:val="20"/>
        </w:rPr>
        <w:t>3</w:t>
      </w:r>
      <w:r w:rsidR="003E6360" w:rsidRPr="00030B29">
        <w:rPr>
          <w:sz w:val="20"/>
        </w:rPr>
        <w:t>).</w:t>
      </w:r>
      <w:r w:rsidR="003F2748" w:rsidRPr="00030B29">
        <w:rPr>
          <w:sz w:val="20"/>
        </w:rPr>
        <w:t xml:space="preserve"> </w:t>
      </w:r>
      <w:r w:rsidR="003E6360" w:rsidRPr="00030B29">
        <w:rPr>
          <w:sz w:val="20"/>
        </w:rPr>
        <w:t xml:space="preserve">Research by Dijkstra (2011, p. 98) </w:t>
      </w:r>
      <w:r w:rsidR="00C42954" w:rsidRPr="00030B29">
        <w:rPr>
          <w:sz w:val="20"/>
        </w:rPr>
        <w:t xml:space="preserve">has shown that </w:t>
      </w:r>
      <w:r w:rsidR="003E6360" w:rsidRPr="00030B29">
        <w:rPr>
          <w:sz w:val="20"/>
        </w:rPr>
        <w:t xml:space="preserve">the number of houses per settlement </w:t>
      </w:r>
      <w:r w:rsidR="00C42954" w:rsidRPr="00030B29">
        <w:rPr>
          <w:sz w:val="20"/>
        </w:rPr>
        <w:t xml:space="preserve">during </w:t>
      </w:r>
      <w:r w:rsidR="003E6360" w:rsidRPr="00030B29">
        <w:rPr>
          <w:sz w:val="20"/>
        </w:rPr>
        <w:t xml:space="preserve">the Early Middle Ages (EMPA – EMPD) </w:t>
      </w:r>
      <w:r w:rsidR="00C42954" w:rsidRPr="00030B29">
        <w:rPr>
          <w:sz w:val="20"/>
        </w:rPr>
        <w:t>ranged from 3 to 5</w:t>
      </w:r>
      <w:r w:rsidR="003E6360" w:rsidRPr="00030B29">
        <w:rPr>
          <w:sz w:val="20"/>
        </w:rPr>
        <w:t>.</w:t>
      </w:r>
      <w:r w:rsidR="000638E4" w:rsidRPr="00030B29">
        <w:rPr>
          <w:sz w:val="20"/>
        </w:rPr>
        <w:t xml:space="preserve"> Again, we conservatively </w:t>
      </w:r>
      <w:r w:rsidR="00C42954" w:rsidRPr="00030B29">
        <w:rPr>
          <w:sz w:val="20"/>
        </w:rPr>
        <w:t xml:space="preserve">defined </w:t>
      </w:r>
      <w:r w:rsidR="000638E4" w:rsidRPr="00030B29">
        <w:rPr>
          <w:sz w:val="20"/>
        </w:rPr>
        <w:t xml:space="preserve">the number of houses during the EMPA, EMPB and EMPC </w:t>
      </w:r>
      <w:r w:rsidR="00C42954" w:rsidRPr="00030B29">
        <w:rPr>
          <w:sz w:val="20"/>
        </w:rPr>
        <w:t xml:space="preserve">as </w:t>
      </w:r>
      <w:r w:rsidR="000638E4" w:rsidRPr="00030B29">
        <w:rPr>
          <w:sz w:val="20"/>
        </w:rPr>
        <w:t xml:space="preserve">3. </w:t>
      </w:r>
      <w:r w:rsidR="007B74BB" w:rsidRPr="00030B29">
        <w:rPr>
          <w:sz w:val="20"/>
        </w:rPr>
        <w:t>R</w:t>
      </w:r>
      <w:r w:rsidR="000638E4" w:rsidRPr="00030B29">
        <w:rPr>
          <w:sz w:val="20"/>
        </w:rPr>
        <w:t xml:space="preserve">esearch by </w:t>
      </w:r>
      <w:proofErr w:type="spellStart"/>
      <w:r w:rsidR="000638E4" w:rsidRPr="00030B29">
        <w:rPr>
          <w:sz w:val="20"/>
        </w:rPr>
        <w:t>Hamerow</w:t>
      </w:r>
      <w:proofErr w:type="spellEnd"/>
      <w:r w:rsidR="000638E4" w:rsidRPr="00030B29">
        <w:rPr>
          <w:sz w:val="20"/>
        </w:rPr>
        <w:t xml:space="preserve"> (2002, p.87)</w:t>
      </w:r>
      <w:r w:rsidR="00F4080D" w:rsidRPr="00030B29">
        <w:rPr>
          <w:sz w:val="20"/>
        </w:rPr>
        <w:t xml:space="preserve">, Van </w:t>
      </w:r>
      <w:proofErr w:type="spellStart"/>
      <w:r w:rsidR="00F4080D" w:rsidRPr="00030B29">
        <w:rPr>
          <w:sz w:val="20"/>
        </w:rPr>
        <w:t>Beek</w:t>
      </w:r>
      <w:proofErr w:type="spellEnd"/>
      <w:r w:rsidR="00F4080D" w:rsidRPr="00030B29">
        <w:rPr>
          <w:sz w:val="20"/>
        </w:rPr>
        <w:t xml:space="preserve"> et al. (2015)</w:t>
      </w:r>
      <w:r w:rsidR="000638E4" w:rsidRPr="00030B29">
        <w:rPr>
          <w:sz w:val="20"/>
        </w:rPr>
        <w:t xml:space="preserve"> and Van </w:t>
      </w:r>
      <w:proofErr w:type="spellStart"/>
      <w:r w:rsidR="000638E4" w:rsidRPr="00030B29">
        <w:rPr>
          <w:sz w:val="20"/>
        </w:rPr>
        <w:t>Doesburg</w:t>
      </w:r>
      <w:proofErr w:type="spellEnd"/>
      <w:r w:rsidR="000638E4" w:rsidRPr="00030B29">
        <w:rPr>
          <w:sz w:val="20"/>
        </w:rPr>
        <w:t xml:space="preserve"> (in prep.</w:t>
      </w:r>
      <w:r w:rsidR="00F4080D" w:rsidRPr="00030B29">
        <w:rPr>
          <w:sz w:val="20"/>
        </w:rPr>
        <w:t xml:space="preserve">) </w:t>
      </w:r>
      <w:r w:rsidR="00C42954" w:rsidRPr="00030B29">
        <w:rPr>
          <w:sz w:val="20"/>
        </w:rPr>
        <w:t xml:space="preserve">has shown </w:t>
      </w:r>
      <w:r w:rsidR="000638E4" w:rsidRPr="00030B29">
        <w:rPr>
          <w:sz w:val="20"/>
        </w:rPr>
        <w:t xml:space="preserve">that during the EMPD </w:t>
      </w:r>
      <w:r w:rsidR="007B74BB" w:rsidRPr="00030B29">
        <w:rPr>
          <w:sz w:val="20"/>
        </w:rPr>
        <w:t xml:space="preserve">habitation clustered and </w:t>
      </w:r>
      <w:r w:rsidR="000638E4" w:rsidRPr="00030B29">
        <w:rPr>
          <w:sz w:val="20"/>
        </w:rPr>
        <w:t>larger rural settlements</w:t>
      </w:r>
      <w:r w:rsidR="007B74BB" w:rsidRPr="00030B29">
        <w:rPr>
          <w:sz w:val="20"/>
        </w:rPr>
        <w:t xml:space="preserve"> developed</w:t>
      </w:r>
      <w:r w:rsidR="000638E4" w:rsidRPr="00030B29">
        <w:rPr>
          <w:sz w:val="20"/>
        </w:rPr>
        <w:t xml:space="preserve">. </w:t>
      </w:r>
      <w:r w:rsidR="001E5784" w:rsidRPr="00030B29">
        <w:rPr>
          <w:sz w:val="20"/>
        </w:rPr>
        <w:t xml:space="preserve">To compensate for this </w:t>
      </w:r>
      <w:r w:rsidR="00C42954" w:rsidRPr="00030B29">
        <w:rPr>
          <w:sz w:val="20"/>
        </w:rPr>
        <w:t xml:space="preserve">phenomenon </w:t>
      </w:r>
      <w:r w:rsidR="000638E4" w:rsidRPr="00030B29">
        <w:rPr>
          <w:sz w:val="20"/>
        </w:rPr>
        <w:t xml:space="preserve">we </w:t>
      </w:r>
      <w:r w:rsidR="00B12480" w:rsidRPr="00030B29">
        <w:rPr>
          <w:sz w:val="20"/>
        </w:rPr>
        <w:t xml:space="preserve">defined </w:t>
      </w:r>
      <w:r w:rsidR="000638E4" w:rsidRPr="00030B29">
        <w:rPr>
          <w:sz w:val="20"/>
        </w:rPr>
        <w:t xml:space="preserve">the number of houses per settlement during this period </w:t>
      </w:r>
      <w:r w:rsidR="00B12480" w:rsidRPr="00030B29">
        <w:rPr>
          <w:sz w:val="20"/>
        </w:rPr>
        <w:t>as</w:t>
      </w:r>
      <w:r w:rsidR="000638E4" w:rsidRPr="00030B29">
        <w:rPr>
          <w:sz w:val="20"/>
        </w:rPr>
        <w:t xml:space="preserve"> 5 (</w:t>
      </w:r>
      <w:r w:rsidR="000F2E3E" w:rsidRPr="00030B29">
        <w:rPr>
          <w:sz w:val="20"/>
        </w:rPr>
        <w:t xml:space="preserve">see the </w:t>
      </w:r>
      <w:r w:rsidR="00A11099" w:rsidRPr="00030B29">
        <w:rPr>
          <w:sz w:val="20"/>
        </w:rPr>
        <w:t>main text</w:t>
      </w:r>
      <w:r w:rsidR="000F2E3E" w:rsidRPr="00030B29">
        <w:rPr>
          <w:sz w:val="20"/>
        </w:rPr>
        <w:t xml:space="preserve">, </w:t>
      </w:r>
      <w:r w:rsidR="000638E4" w:rsidRPr="00030B29">
        <w:rPr>
          <w:sz w:val="20"/>
        </w:rPr>
        <w:t xml:space="preserve">Table </w:t>
      </w:r>
      <w:r w:rsidR="00A11099" w:rsidRPr="00030B29">
        <w:rPr>
          <w:sz w:val="20"/>
        </w:rPr>
        <w:t>3</w:t>
      </w:r>
      <w:r w:rsidR="000638E4" w:rsidRPr="00030B29">
        <w:rPr>
          <w:sz w:val="20"/>
        </w:rPr>
        <w:t>).</w:t>
      </w:r>
    </w:p>
    <w:p w:rsidR="00A11099" w:rsidRPr="00030B29" w:rsidRDefault="00A11099" w:rsidP="00A11099">
      <w:pPr>
        <w:pStyle w:val="Geenafstand"/>
        <w:jc w:val="both"/>
        <w:rPr>
          <w:sz w:val="20"/>
        </w:rPr>
      </w:pPr>
    </w:p>
    <w:p w:rsidR="006C3121" w:rsidRPr="00030B29" w:rsidRDefault="006C3121" w:rsidP="006C3121">
      <w:pPr>
        <w:pStyle w:val="Geenafstand"/>
        <w:jc w:val="both"/>
        <w:rPr>
          <w:i/>
          <w:color w:val="000000" w:themeColor="text1"/>
          <w:sz w:val="20"/>
        </w:rPr>
      </w:pPr>
      <w:r w:rsidRPr="00030B29">
        <w:rPr>
          <w:i/>
          <w:color w:val="000000" w:themeColor="text1"/>
          <w:sz w:val="20"/>
        </w:rPr>
        <w:t>Large settlements and military presence</w:t>
      </w:r>
    </w:p>
    <w:p w:rsidR="00F4080D" w:rsidRPr="00030B29" w:rsidRDefault="006C3121" w:rsidP="006C3121">
      <w:pPr>
        <w:pStyle w:val="Geenafstand"/>
        <w:jc w:val="both"/>
        <w:rPr>
          <w:color w:val="000000" w:themeColor="text1"/>
          <w:sz w:val="20"/>
        </w:rPr>
      </w:pPr>
      <w:r w:rsidRPr="00030B29">
        <w:rPr>
          <w:color w:val="000000" w:themeColor="text1"/>
          <w:sz w:val="20"/>
        </w:rPr>
        <w:t xml:space="preserve">Population numbers for </w:t>
      </w:r>
      <w:r w:rsidR="00224041" w:rsidRPr="00030B29">
        <w:rPr>
          <w:color w:val="000000" w:themeColor="text1"/>
          <w:sz w:val="20"/>
        </w:rPr>
        <w:t xml:space="preserve">the </w:t>
      </w:r>
      <w:r w:rsidRPr="00030B29">
        <w:rPr>
          <w:color w:val="000000" w:themeColor="text1"/>
          <w:sz w:val="20"/>
        </w:rPr>
        <w:t>larger settlements</w:t>
      </w:r>
      <w:r w:rsidR="00224041" w:rsidRPr="00030B29">
        <w:rPr>
          <w:color w:val="000000" w:themeColor="text1"/>
          <w:sz w:val="20"/>
        </w:rPr>
        <w:t xml:space="preserve"> in </w:t>
      </w:r>
      <w:r w:rsidR="00706C3B" w:rsidRPr="00030B29">
        <w:rPr>
          <w:color w:val="000000" w:themeColor="text1"/>
          <w:sz w:val="20"/>
        </w:rPr>
        <w:t xml:space="preserve">the </w:t>
      </w:r>
      <w:r w:rsidR="00224041" w:rsidRPr="00030B29">
        <w:rPr>
          <w:color w:val="000000" w:themeColor="text1"/>
          <w:sz w:val="20"/>
        </w:rPr>
        <w:t>study area</w:t>
      </w:r>
      <w:r w:rsidRPr="00030B29">
        <w:rPr>
          <w:color w:val="000000" w:themeColor="text1"/>
          <w:sz w:val="20"/>
        </w:rPr>
        <w:t xml:space="preserve"> were based on settlement size, </w:t>
      </w:r>
      <w:r w:rsidR="00224041" w:rsidRPr="00030B29">
        <w:rPr>
          <w:color w:val="000000" w:themeColor="text1"/>
          <w:sz w:val="20"/>
        </w:rPr>
        <w:t>building density</w:t>
      </w:r>
      <w:r w:rsidR="00706C3B" w:rsidRPr="00030B29">
        <w:rPr>
          <w:color w:val="000000" w:themeColor="text1"/>
          <w:sz w:val="20"/>
        </w:rPr>
        <w:t>,</w:t>
      </w:r>
      <w:r w:rsidRPr="00030B29">
        <w:rPr>
          <w:color w:val="000000" w:themeColor="text1"/>
          <w:sz w:val="20"/>
        </w:rPr>
        <w:t xml:space="preserve"> and average household size. Quantitative data from well-</w:t>
      </w:r>
      <w:r w:rsidR="00706C3B" w:rsidRPr="00030B29">
        <w:rPr>
          <w:color w:val="000000" w:themeColor="text1"/>
          <w:sz w:val="20"/>
        </w:rPr>
        <w:t>studied</w:t>
      </w:r>
      <w:r w:rsidRPr="00030B29">
        <w:rPr>
          <w:color w:val="000000" w:themeColor="text1"/>
          <w:sz w:val="20"/>
        </w:rPr>
        <w:t xml:space="preserve"> larger settlements, specifically </w:t>
      </w:r>
      <w:r w:rsidR="00706C3B" w:rsidRPr="00030B29">
        <w:rPr>
          <w:color w:val="000000" w:themeColor="text1"/>
          <w:sz w:val="20"/>
        </w:rPr>
        <w:t xml:space="preserve">from </w:t>
      </w:r>
      <w:r w:rsidRPr="00030B29">
        <w:rPr>
          <w:color w:val="000000" w:themeColor="text1"/>
          <w:sz w:val="20"/>
        </w:rPr>
        <w:t xml:space="preserve">Roman Nijmegen and early-medieval </w:t>
      </w:r>
      <w:proofErr w:type="spellStart"/>
      <w:r w:rsidRPr="00030B29">
        <w:rPr>
          <w:color w:val="000000" w:themeColor="text1"/>
          <w:sz w:val="20"/>
        </w:rPr>
        <w:t>Dorestad</w:t>
      </w:r>
      <w:proofErr w:type="spellEnd"/>
      <w:r w:rsidRPr="00030B29">
        <w:rPr>
          <w:color w:val="000000" w:themeColor="text1"/>
          <w:sz w:val="20"/>
        </w:rPr>
        <w:t xml:space="preserve">, served as a frame of reference for estimating population numbers </w:t>
      </w:r>
      <w:r w:rsidR="00706C3B" w:rsidRPr="00030B29">
        <w:rPr>
          <w:color w:val="000000" w:themeColor="text1"/>
          <w:sz w:val="20"/>
        </w:rPr>
        <w:t xml:space="preserve">of </w:t>
      </w:r>
      <w:r w:rsidRPr="00030B29">
        <w:rPr>
          <w:color w:val="000000" w:themeColor="text1"/>
          <w:sz w:val="20"/>
        </w:rPr>
        <w:t>less-known contemporary larger settlements.</w:t>
      </w:r>
      <w:r w:rsidR="00F4080D" w:rsidRPr="00030B29">
        <w:rPr>
          <w:color w:val="000000" w:themeColor="text1"/>
          <w:sz w:val="20"/>
        </w:rPr>
        <w:t xml:space="preserve"> We defined large settlements as </w:t>
      </w:r>
      <w:r w:rsidR="00706C3B" w:rsidRPr="00030B29">
        <w:rPr>
          <w:color w:val="000000" w:themeColor="text1"/>
          <w:sz w:val="20"/>
        </w:rPr>
        <w:t xml:space="preserve">habitation </w:t>
      </w:r>
      <w:r w:rsidR="00F4080D" w:rsidRPr="00030B29">
        <w:rPr>
          <w:color w:val="000000" w:themeColor="text1"/>
          <w:sz w:val="20"/>
        </w:rPr>
        <w:t xml:space="preserve">sites </w:t>
      </w:r>
      <w:r w:rsidR="00706C3B" w:rsidRPr="00030B29">
        <w:rPr>
          <w:color w:val="000000" w:themeColor="text1"/>
          <w:sz w:val="20"/>
        </w:rPr>
        <w:t xml:space="preserve">which are outliers in terms of their size, covering </w:t>
      </w:r>
      <w:r w:rsidR="00F4080D" w:rsidRPr="00030B29">
        <w:rPr>
          <w:color w:val="000000" w:themeColor="text1"/>
          <w:sz w:val="20"/>
        </w:rPr>
        <w:t xml:space="preserve">&gt; 5 ha. </w:t>
      </w:r>
    </w:p>
    <w:p w:rsidR="00224041" w:rsidRPr="00030B29" w:rsidRDefault="006C3121" w:rsidP="00F4080D">
      <w:pPr>
        <w:pStyle w:val="Geenafstand"/>
        <w:ind w:firstLine="708"/>
        <w:jc w:val="both"/>
        <w:rPr>
          <w:color w:val="000000" w:themeColor="text1"/>
          <w:sz w:val="20"/>
        </w:rPr>
      </w:pPr>
      <w:r w:rsidRPr="00030B29">
        <w:rPr>
          <w:color w:val="000000" w:themeColor="text1"/>
          <w:sz w:val="20"/>
        </w:rPr>
        <w:t>For the Roman period we also separately estimated military presence (number of troops). These estimates are partly based on historical sources.</w:t>
      </w:r>
      <w:r w:rsidRPr="00030B29">
        <w:rPr>
          <w:sz w:val="20"/>
        </w:rPr>
        <w:t xml:space="preserve"> </w:t>
      </w:r>
      <w:r w:rsidR="00F4080D" w:rsidRPr="00030B29">
        <w:rPr>
          <w:sz w:val="20"/>
        </w:rPr>
        <w:t>Each R</w:t>
      </w:r>
      <w:r w:rsidR="001E7428" w:rsidRPr="00030B29">
        <w:rPr>
          <w:sz w:val="20"/>
        </w:rPr>
        <w:t xml:space="preserve">oman </w:t>
      </w:r>
      <w:r w:rsidR="00F4080D" w:rsidRPr="00030B29">
        <w:rPr>
          <w:i/>
          <w:sz w:val="20"/>
        </w:rPr>
        <w:t>castellum</w:t>
      </w:r>
      <w:r w:rsidR="003F7193" w:rsidRPr="00030B29">
        <w:rPr>
          <w:sz w:val="20"/>
        </w:rPr>
        <w:t xml:space="preserve"> (</w:t>
      </w:r>
      <w:r w:rsidR="00384CA2" w:rsidRPr="00030B29">
        <w:rPr>
          <w:sz w:val="20"/>
        </w:rPr>
        <w:t>fortre</w:t>
      </w:r>
      <w:r w:rsidR="00F4080D" w:rsidRPr="00030B29">
        <w:rPr>
          <w:sz w:val="20"/>
        </w:rPr>
        <w:t>s</w:t>
      </w:r>
      <w:r w:rsidR="00384CA2" w:rsidRPr="00030B29">
        <w:rPr>
          <w:sz w:val="20"/>
        </w:rPr>
        <w:t>s</w:t>
      </w:r>
      <w:r w:rsidR="00A851A5" w:rsidRPr="00030B29">
        <w:rPr>
          <w:sz w:val="20"/>
        </w:rPr>
        <w:t>)</w:t>
      </w:r>
      <w:r w:rsidR="001E7428" w:rsidRPr="00030B29">
        <w:rPr>
          <w:i/>
          <w:sz w:val="20"/>
        </w:rPr>
        <w:t xml:space="preserve"> </w:t>
      </w:r>
      <w:r w:rsidR="00706C3B" w:rsidRPr="00030B29">
        <w:rPr>
          <w:sz w:val="20"/>
        </w:rPr>
        <w:t xml:space="preserve">was characterized by </w:t>
      </w:r>
      <w:r w:rsidR="003F7193" w:rsidRPr="00030B29">
        <w:rPr>
          <w:sz w:val="20"/>
        </w:rPr>
        <w:t>a</w:t>
      </w:r>
      <w:r w:rsidR="00395A26" w:rsidRPr="00030B29">
        <w:rPr>
          <w:sz w:val="20"/>
        </w:rPr>
        <w:t>n</w:t>
      </w:r>
      <w:r w:rsidR="003F7193" w:rsidRPr="00030B29">
        <w:rPr>
          <w:sz w:val="20"/>
        </w:rPr>
        <w:t xml:space="preserve"> </w:t>
      </w:r>
      <w:r w:rsidR="00F4080D" w:rsidRPr="00030B29">
        <w:rPr>
          <w:sz w:val="20"/>
        </w:rPr>
        <w:t>associated</w:t>
      </w:r>
      <w:r w:rsidR="003F7193" w:rsidRPr="00030B29">
        <w:rPr>
          <w:sz w:val="20"/>
        </w:rPr>
        <w:t xml:space="preserve"> </w:t>
      </w:r>
      <w:r w:rsidR="00384CA2" w:rsidRPr="00030B29">
        <w:rPr>
          <w:sz w:val="20"/>
        </w:rPr>
        <w:t>civilian</w:t>
      </w:r>
      <w:r w:rsidR="003F7193" w:rsidRPr="00030B29">
        <w:rPr>
          <w:sz w:val="20"/>
        </w:rPr>
        <w:t xml:space="preserve"> settlement</w:t>
      </w:r>
      <w:r w:rsidR="00706C3B" w:rsidRPr="00030B29">
        <w:rPr>
          <w:sz w:val="20"/>
        </w:rPr>
        <w:t xml:space="preserve"> (</w:t>
      </w:r>
      <w:r w:rsidR="00395A26" w:rsidRPr="00030B29">
        <w:rPr>
          <w:i/>
          <w:sz w:val="20"/>
        </w:rPr>
        <w:t>vicus</w:t>
      </w:r>
      <w:r w:rsidR="00706C3B" w:rsidRPr="00030B29">
        <w:rPr>
          <w:sz w:val="20"/>
        </w:rPr>
        <w:t>)</w:t>
      </w:r>
      <w:r w:rsidR="001E7428" w:rsidRPr="00030B29">
        <w:rPr>
          <w:sz w:val="20"/>
        </w:rPr>
        <w:t xml:space="preserve">. </w:t>
      </w:r>
      <w:r w:rsidR="003F7193" w:rsidRPr="00030B29">
        <w:rPr>
          <w:sz w:val="20"/>
        </w:rPr>
        <w:t>I</w:t>
      </w:r>
      <w:r w:rsidR="001E7428" w:rsidRPr="00030B29">
        <w:rPr>
          <w:sz w:val="20"/>
        </w:rPr>
        <w:t xml:space="preserve">t has been suggested that the number of people living in </w:t>
      </w:r>
      <w:r w:rsidR="003F7193" w:rsidRPr="00030B29">
        <w:rPr>
          <w:sz w:val="20"/>
        </w:rPr>
        <w:t>a</w:t>
      </w:r>
      <w:r w:rsidR="001E7428" w:rsidRPr="00030B29">
        <w:rPr>
          <w:sz w:val="20"/>
        </w:rPr>
        <w:t xml:space="preserve"> </w:t>
      </w:r>
      <w:r w:rsidR="001E7428" w:rsidRPr="00030B29">
        <w:rPr>
          <w:i/>
          <w:sz w:val="20"/>
        </w:rPr>
        <w:t>vicus</w:t>
      </w:r>
      <w:r w:rsidR="001E7428" w:rsidRPr="00030B29">
        <w:rPr>
          <w:sz w:val="20"/>
        </w:rPr>
        <w:t xml:space="preserve"> </w:t>
      </w:r>
      <w:r w:rsidR="003F7193" w:rsidRPr="00030B29">
        <w:rPr>
          <w:sz w:val="20"/>
        </w:rPr>
        <w:t xml:space="preserve">may have been twice that of the number of </w:t>
      </w:r>
      <w:r w:rsidR="001E7428" w:rsidRPr="00030B29">
        <w:rPr>
          <w:sz w:val="20"/>
        </w:rPr>
        <w:t>soldiers (e.g. Sommer, 1984; 1991)</w:t>
      </w:r>
      <w:r w:rsidR="00A851A5" w:rsidRPr="00030B29">
        <w:rPr>
          <w:sz w:val="20"/>
        </w:rPr>
        <w:t>. Judging</w:t>
      </w:r>
      <w:r w:rsidR="003F7193" w:rsidRPr="00030B29">
        <w:rPr>
          <w:sz w:val="20"/>
        </w:rPr>
        <w:t xml:space="preserve"> by the size and house-density </w:t>
      </w:r>
      <w:r w:rsidR="00395A26" w:rsidRPr="00030B29">
        <w:rPr>
          <w:sz w:val="20"/>
        </w:rPr>
        <w:t xml:space="preserve">of </w:t>
      </w:r>
      <w:r w:rsidR="003F7193" w:rsidRPr="00030B29">
        <w:rPr>
          <w:i/>
          <w:sz w:val="20"/>
        </w:rPr>
        <w:t>vici</w:t>
      </w:r>
      <w:r w:rsidR="003F7193" w:rsidRPr="00030B29">
        <w:rPr>
          <w:sz w:val="20"/>
        </w:rPr>
        <w:t xml:space="preserve"> in </w:t>
      </w:r>
      <w:r w:rsidR="00706C3B" w:rsidRPr="00030B29">
        <w:rPr>
          <w:sz w:val="20"/>
        </w:rPr>
        <w:t xml:space="preserve">the </w:t>
      </w:r>
      <w:r w:rsidR="003F7193" w:rsidRPr="00030B29">
        <w:rPr>
          <w:sz w:val="20"/>
        </w:rPr>
        <w:t xml:space="preserve">study area </w:t>
      </w:r>
      <w:r w:rsidR="001E7428" w:rsidRPr="00030B29">
        <w:rPr>
          <w:sz w:val="20"/>
        </w:rPr>
        <w:t xml:space="preserve">(e.g. </w:t>
      </w:r>
      <w:proofErr w:type="spellStart"/>
      <w:r w:rsidR="001E7428" w:rsidRPr="00030B29">
        <w:rPr>
          <w:sz w:val="20"/>
        </w:rPr>
        <w:t>Hazenberg</w:t>
      </w:r>
      <w:proofErr w:type="spellEnd"/>
      <w:r w:rsidR="001E7428" w:rsidRPr="00030B29">
        <w:rPr>
          <w:sz w:val="20"/>
        </w:rPr>
        <w:t xml:space="preserve">, 2000; </w:t>
      </w:r>
      <w:proofErr w:type="spellStart"/>
      <w:r w:rsidR="001E7428" w:rsidRPr="00030B29">
        <w:rPr>
          <w:sz w:val="20"/>
        </w:rPr>
        <w:t>Ploegaert</w:t>
      </w:r>
      <w:proofErr w:type="spellEnd"/>
      <w:r w:rsidR="001E7428" w:rsidRPr="00030B29">
        <w:rPr>
          <w:sz w:val="20"/>
        </w:rPr>
        <w:t xml:space="preserve">, 2006; </w:t>
      </w:r>
      <w:proofErr w:type="spellStart"/>
      <w:r w:rsidR="004F2EFB" w:rsidRPr="00030B29">
        <w:rPr>
          <w:sz w:val="20"/>
        </w:rPr>
        <w:t>Blom</w:t>
      </w:r>
      <w:proofErr w:type="spellEnd"/>
      <w:r w:rsidR="00A11099" w:rsidRPr="00030B29">
        <w:rPr>
          <w:sz w:val="20"/>
        </w:rPr>
        <w:t xml:space="preserve"> &amp; </w:t>
      </w:r>
      <w:r w:rsidR="004F2EFB" w:rsidRPr="00030B29">
        <w:rPr>
          <w:sz w:val="20"/>
        </w:rPr>
        <w:t xml:space="preserve">Vos, 2007; </w:t>
      </w:r>
      <w:r w:rsidR="001E7428" w:rsidRPr="00030B29">
        <w:rPr>
          <w:sz w:val="20"/>
        </w:rPr>
        <w:t>Vos et al., 2012</w:t>
      </w:r>
      <w:r w:rsidR="004F2EFB" w:rsidRPr="00030B29">
        <w:rPr>
          <w:sz w:val="20"/>
        </w:rPr>
        <w:t xml:space="preserve">; </w:t>
      </w:r>
      <w:proofErr w:type="spellStart"/>
      <w:r w:rsidR="004F2EFB" w:rsidRPr="00030B29">
        <w:rPr>
          <w:sz w:val="20"/>
        </w:rPr>
        <w:t>Waasdorp</w:t>
      </w:r>
      <w:proofErr w:type="spellEnd"/>
      <w:r w:rsidR="00A11099" w:rsidRPr="00030B29">
        <w:rPr>
          <w:sz w:val="20"/>
        </w:rPr>
        <w:t xml:space="preserve"> &amp; </w:t>
      </w:r>
      <w:r w:rsidR="004F2EFB" w:rsidRPr="00030B29">
        <w:rPr>
          <w:sz w:val="20"/>
        </w:rPr>
        <w:t xml:space="preserve">Van </w:t>
      </w:r>
      <w:proofErr w:type="spellStart"/>
      <w:r w:rsidR="004F2EFB" w:rsidRPr="00030B29">
        <w:rPr>
          <w:sz w:val="20"/>
        </w:rPr>
        <w:t>Zoolingen</w:t>
      </w:r>
      <w:proofErr w:type="spellEnd"/>
      <w:r w:rsidR="004F2EFB" w:rsidRPr="00030B29">
        <w:rPr>
          <w:sz w:val="20"/>
        </w:rPr>
        <w:t>, 2015</w:t>
      </w:r>
      <w:r w:rsidR="001E7428" w:rsidRPr="00030B29">
        <w:rPr>
          <w:sz w:val="20"/>
        </w:rPr>
        <w:t>)</w:t>
      </w:r>
      <w:r w:rsidR="00706C3B" w:rsidRPr="00030B29">
        <w:rPr>
          <w:sz w:val="20"/>
        </w:rPr>
        <w:t>,</w:t>
      </w:r>
      <w:r w:rsidR="00395A26" w:rsidRPr="00030B29">
        <w:rPr>
          <w:sz w:val="20"/>
        </w:rPr>
        <w:t xml:space="preserve"> this estimate is too high</w:t>
      </w:r>
      <w:r w:rsidR="001E7428" w:rsidRPr="00030B29">
        <w:rPr>
          <w:sz w:val="20"/>
        </w:rPr>
        <w:t xml:space="preserve">. Van </w:t>
      </w:r>
      <w:proofErr w:type="spellStart"/>
      <w:r w:rsidR="001E7428" w:rsidRPr="00030B29">
        <w:rPr>
          <w:sz w:val="20"/>
        </w:rPr>
        <w:t>Dinter</w:t>
      </w:r>
      <w:proofErr w:type="spellEnd"/>
      <w:r w:rsidR="00D5256E" w:rsidRPr="00030B29">
        <w:rPr>
          <w:sz w:val="20"/>
        </w:rPr>
        <w:t xml:space="preserve"> et al. (2014, p. 29) for the western part of the Dutch </w:t>
      </w:r>
      <w:r w:rsidR="00D5256E" w:rsidRPr="00030B29">
        <w:rPr>
          <w:i/>
          <w:sz w:val="20"/>
        </w:rPr>
        <w:t xml:space="preserve">limes </w:t>
      </w:r>
      <w:r w:rsidR="00D5256E" w:rsidRPr="00030B29">
        <w:rPr>
          <w:sz w:val="20"/>
        </w:rPr>
        <w:t>concluded that the</w:t>
      </w:r>
      <w:r w:rsidR="00395A26" w:rsidRPr="00030B29">
        <w:rPr>
          <w:sz w:val="20"/>
        </w:rPr>
        <w:t xml:space="preserve"> </w:t>
      </w:r>
      <w:r w:rsidR="00D5256E" w:rsidRPr="00030B29">
        <w:rPr>
          <w:sz w:val="20"/>
        </w:rPr>
        <w:t xml:space="preserve">“.. </w:t>
      </w:r>
      <w:r w:rsidR="00D5256E" w:rsidRPr="00030B29">
        <w:rPr>
          <w:i/>
          <w:sz w:val="20"/>
        </w:rPr>
        <w:t>assumption of 350 soldiers per fort and</w:t>
      </w:r>
      <w:r w:rsidR="00D5256E" w:rsidRPr="00030B29">
        <w:rPr>
          <w:sz w:val="20"/>
        </w:rPr>
        <w:t xml:space="preserve"> </w:t>
      </w:r>
      <w:r w:rsidR="00D5256E" w:rsidRPr="00030B29">
        <w:rPr>
          <w:i/>
          <w:sz w:val="20"/>
        </w:rPr>
        <w:t>an equal number of people living in the surrounding vicus is rather a maximum estimate than an under-estimate</w:t>
      </w:r>
      <w:r w:rsidR="00D5256E" w:rsidRPr="00030B29">
        <w:rPr>
          <w:sz w:val="20"/>
        </w:rPr>
        <w:t>”</w:t>
      </w:r>
      <w:r w:rsidR="00BA27AD" w:rsidRPr="00030B29">
        <w:rPr>
          <w:sz w:val="20"/>
        </w:rPr>
        <w:t xml:space="preserve">. </w:t>
      </w:r>
      <w:r w:rsidR="00A851A5" w:rsidRPr="00030B29">
        <w:rPr>
          <w:sz w:val="20"/>
        </w:rPr>
        <w:t>Our calculations</w:t>
      </w:r>
      <w:r w:rsidR="00395A26" w:rsidRPr="00030B29">
        <w:rPr>
          <w:sz w:val="20"/>
        </w:rPr>
        <w:t xml:space="preserve"> </w:t>
      </w:r>
      <w:r w:rsidR="00A851A5" w:rsidRPr="00030B29">
        <w:rPr>
          <w:sz w:val="20"/>
        </w:rPr>
        <w:t xml:space="preserve">are based on </w:t>
      </w:r>
      <w:r w:rsidR="00706C3B" w:rsidRPr="00030B29">
        <w:rPr>
          <w:sz w:val="20"/>
        </w:rPr>
        <w:t>this assumption</w:t>
      </w:r>
      <w:r w:rsidR="00395A26" w:rsidRPr="00030B29">
        <w:rPr>
          <w:sz w:val="20"/>
        </w:rPr>
        <w:t xml:space="preserve">. Excavation results from </w:t>
      </w:r>
      <w:proofErr w:type="spellStart"/>
      <w:r w:rsidR="00395A26" w:rsidRPr="00030B29">
        <w:rPr>
          <w:sz w:val="20"/>
        </w:rPr>
        <w:t>Köngen</w:t>
      </w:r>
      <w:proofErr w:type="spellEnd"/>
      <w:r w:rsidR="00395A26" w:rsidRPr="00030B29">
        <w:rPr>
          <w:sz w:val="20"/>
        </w:rPr>
        <w:t xml:space="preserve"> and Ladenburg (Germany) hint at </w:t>
      </w:r>
      <w:r w:rsidR="00706C3B" w:rsidRPr="00030B29">
        <w:rPr>
          <w:sz w:val="20"/>
        </w:rPr>
        <w:t xml:space="preserve">a </w:t>
      </w:r>
      <w:r w:rsidR="00395A26" w:rsidRPr="00030B29">
        <w:rPr>
          <w:sz w:val="20"/>
        </w:rPr>
        <w:t xml:space="preserve">similar ratio between </w:t>
      </w:r>
      <w:r w:rsidR="00706C3B" w:rsidRPr="00030B29">
        <w:rPr>
          <w:sz w:val="20"/>
        </w:rPr>
        <w:t xml:space="preserve">the </w:t>
      </w:r>
      <w:r w:rsidR="00395A26" w:rsidRPr="00030B29">
        <w:rPr>
          <w:sz w:val="20"/>
        </w:rPr>
        <w:t xml:space="preserve">number of </w:t>
      </w:r>
      <w:r w:rsidR="00706C3B" w:rsidRPr="00030B29">
        <w:rPr>
          <w:sz w:val="20"/>
        </w:rPr>
        <w:t xml:space="preserve">Roman </w:t>
      </w:r>
      <w:r w:rsidR="00395A26" w:rsidRPr="00030B29">
        <w:rPr>
          <w:sz w:val="20"/>
        </w:rPr>
        <w:t xml:space="preserve">soldiers and </w:t>
      </w:r>
      <w:r w:rsidR="00395A26" w:rsidRPr="00030B29">
        <w:rPr>
          <w:i/>
          <w:sz w:val="20"/>
        </w:rPr>
        <w:t>vici</w:t>
      </w:r>
      <w:r w:rsidR="00395A26" w:rsidRPr="00030B29">
        <w:rPr>
          <w:sz w:val="20"/>
        </w:rPr>
        <w:t>-inhabitants (</w:t>
      </w:r>
      <w:proofErr w:type="spellStart"/>
      <w:r w:rsidR="00395A26" w:rsidRPr="00030B29">
        <w:rPr>
          <w:sz w:val="20"/>
        </w:rPr>
        <w:t>Hanel</w:t>
      </w:r>
      <w:proofErr w:type="spellEnd"/>
      <w:r w:rsidR="00395A26" w:rsidRPr="00030B29">
        <w:rPr>
          <w:sz w:val="20"/>
        </w:rPr>
        <w:t xml:space="preserve"> (2007, p. 413).</w:t>
      </w:r>
      <w:r w:rsidR="00224041" w:rsidRPr="00030B29">
        <w:rPr>
          <w:color w:val="000000" w:themeColor="text1"/>
          <w:sz w:val="20"/>
        </w:rPr>
        <w:t xml:space="preserve"> </w:t>
      </w:r>
    </w:p>
    <w:p w:rsidR="00224041" w:rsidRPr="00030B29" w:rsidRDefault="00224041" w:rsidP="00224041">
      <w:pPr>
        <w:pStyle w:val="Geenafstand"/>
        <w:jc w:val="both"/>
        <w:rPr>
          <w:color w:val="000000" w:themeColor="text1"/>
          <w:sz w:val="20"/>
        </w:rPr>
      </w:pPr>
    </w:p>
    <w:p w:rsidR="00224041" w:rsidRPr="00030B29" w:rsidRDefault="00224041" w:rsidP="00FF2AD8">
      <w:pPr>
        <w:pStyle w:val="Geenafstand"/>
        <w:jc w:val="both"/>
        <w:rPr>
          <w:color w:val="000000" w:themeColor="text1"/>
          <w:sz w:val="20"/>
        </w:rPr>
      </w:pPr>
      <w:r w:rsidRPr="00030B29">
        <w:rPr>
          <w:color w:val="000000" w:themeColor="text1"/>
          <w:sz w:val="20"/>
        </w:rPr>
        <w:t xml:space="preserve">Total population numbers were </w:t>
      </w:r>
      <w:r w:rsidR="00706C3B" w:rsidRPr="00030B29">
        <w:rPr>
          <w:color w:val="000000" w:themeColor="text1"/>
          <w:sz w:val="20"/>
        </w:rPr>
        <w:t xml:space="preserve">derived </w:t>
      </w:r>
      <w:r w:rsidRPr="00030B29">
        <w:rPr>
          <w:color w:val="000000" w:themeColor="text1"/>
          <w:sz w:val="20"/>
        </w:rPr>
        <w:t>by</w:t>
      </w:r>
      <w:r w:rsidR="00A11099" w:rsidRPr="00030B29">
        <w:rPr>
          <w:color w:val="000000" w:themeColor="text1"/>
          <w:sz w:val="20"/>
        </w:rPr>
        <w:t xml:space="preserve"> adding the </w:t>
      </w:r>
      <w:r w:rsidRPr="00030B29">
        <w:rPr>
          <w:color w:val="000000" w:themeColor="text1"/>
          <w:sz w:val="20"/>
        </w:rPr>
        <w:t>estimates for rural population, larger settlements</w:t>
      </w:r>
      <w:r w:rsidR="00E132EB" w:rsidRPr="00030B29">
        <w:rPr>
          <w:color w:val="000000" w:themeColor="text1"/>
          <w:sz w:val="20"/>
        </w:rPr>
        <w:t>,</w:t>
      </w:r>
      <w:r w:rsidRPr="00030B29">
        <w:rPr>
          <w:color w:val="000000" w:themeColor="text1"/>
          <w:sz w:val="20"/>
        </w:rPr>
        <w:t xml:space="preserve"> and military presence. </w:t>
      </w:r>
    </w:p>
    <w:p w:rsidR="00224041" w:rsidRPr="00030B29" w:rsidRDefault="00224041" w:rsidP="00FF2AD8">
      <w:pPr>
        <w:pStyle w:val="Geenafstand"/>
        <w:jc w:val="both"/>
        <w:rPr>
          <w:color w:val="000000" w:themeColor="text1"/>
          <w:sz w:val="20"/>
        </w:rPr>
      </w:pPr>
    </w:p>
    <w:p w:rsidR="00922A1C" w:rsidRPr="00030B29" w:rsidRDefault="00C76811" w:rsidP="00FF2AD8">
      <w:pPr>
        <w:pStyle w:val="Geenafstand"/>
        <w:jc w:val="both"/>
        <w:rPr>
          <w:color w:val="000000" w:themeColor="text1"/>
          <w:sz w:val="20"/>
        </w:rPr>
      </w:pPr>
      <w:r w:rsidRPr="00030B29">
        <w:rPr>
          <w:b/>
          <w:sz w:val="20"/>
        </w:rPr>
        <w:t>Population estimates</w:t>
      </w:r>
      <w:r w:rsidR="00922A1C" w:rsidRPr="00030B29">
        <w:rPr>
          <w:b/>
          <w:sz w:val="20"/>
        </w:rPr>
        <w:t xml:space="preserve"> for each ABR</w:t>
      </w:r>
      <w:r w:rsidR="002D3BAF" w:rsidRPr="00030B29">
        <w:rPr>
          <w:b/>
          <w:sz w:val="20"/>
        </w:rPr>
        <w:t xml:space="preserve"> </w:t>
      </w:r>
      <w:r w:rsidR="00922A1C" w:rsidRPr="00030B29">
        <w:rPr>
          <w:b/>
          <w:sz w:val="20"/>
        </w:rPr>
        <w:t>subperiod</w:t>
      </w:r>
    </w:p>
    <w:p w:rsidR="00AE19A8" w:rsidRPr="00030B29" w:rsidRDefault="00922A1C" w:rsidP="00922A1C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Based on these </w:t>
      </w:r>
      <w:r w:rsidR="002D3BAF" w:rsidRPr="00030B29">
        <w:rPr>
          <w:sz w:val="20"/>
        </w:rPr>
        <w:t xml:space="preserve">numbers </w:t>
      </w:r>
      <w:r w:rsidR="00AE19A8" w:rsidRPr="00030B29">
        <w:rPr>
          <w:sz w:val="20"/>
        </w:rPr>
        <w:t xml:space="preserve">we reconstructed and quantified </w:t>
      </w:r>
      <w:r w:rsidR="007B658E" w:rsidRPr="00030B29">
        <w:rPr>
          <w:sz w:val="20"/>
        </w:rPr>
        <w:t>palaeo</w:t>
      </w:r>
      <w:r w:rsidR="00AE19A8" w:rsidRPr="00030B29">
        <w:rPr>
          <w:sz w:val="20"/>
        </w:rPr>
        <w:t>demographic trend</w:t>
      </w:r>
      <w:r w:rsidR="00224041" w:rsidRPr="00030B29">
        <w:rPr>
          <w:sz w:val="20"/>
        </w:rPr>
        <w:t>s</w:t>
      </w:r>
      <w:r w:rsidR="00AE19A8" w:rsidRPr="00030B29">
        <w:rPr>
          <w:sz w:val="20"/>
        </w:rPr>
        <w:t xml:space="preserve"> for each individual ABR-subperiod.</w:t>
      </w:r>
      <w:r w:rsidR="00224041" w:rsidRPr="00030B29">
        <w:rPr>
          <w:sz w:val="20"/>
        </w:rPr>
        <w:t xml:space="preserve"> To ensure maximum readability</w:t>
      </w:r>
      <w:r w:rsidR="002D3BAF" w:rsidRPr="00030B29">
        <w:rPr>
          <w:sz w:val="20"/>
        </w:rPr>
        <w:t>,</w:t>
      </w:r>
      <w:r w:rsidR="00AE19A8" w:rsidRPr="00030B29">
        <w:rPr>
          <w:sz w:val="20"/>
        </w:rPr>
        <w:t xml:space="preserve"> </w:t>
      </w:r>
      <w:r w:rsidR="00224041" w:rsidRPr="00030B29">
        <w:rPr>
          <w:sz w:val="20"/>
        </w:rPr>
        <w:t>i</w:t>
      </w:r>
      <w:r w:rsidR="00AE19A8" w:rsidRPr="00030B29">
        <w:rPr>
          <w:sz w:val="20"/>
        </w:rPr>
        <w:t>ntegrated overview</w:t>
      </w:r>
      <w:r w:rsidR="00B7110F" w:rsidRPr="00030B29">
        <w:rPr>
          <w:sz w:val="20"/>
        </w:rPr>
        <w:t>s</w:t>
      </w:r>
      <w:r w:rsidR="00AE19A8" w:rsidRPr="00030B29">
        <w:rPr>
          <w:sz w:val="20"/>
        </w:rPr>
        <w:t xml:space="preserve"> of all reconstructed </w:t>
      </w:r>
      <w:r w:rsidR="00BD1058" w:rsidRPr="00030B29">
        <w:rPr>
          <w:sz w:val="20"/>
        </w:rPr>
        <w:t xml:space="preserve">population </w:t>
      </w:r>
      <w:r w:rsidR="00AE19A8" w:rsidRPr="00030B29">
        <w:rPr>
          <w:sz w:val="20"/>
        </w:rPr>
        <w:t>numbers are provided</w:t>
      </w:r>
      <w:r w:rsidR="00BD1058" w:rsidRPr="00030B29">
        <w:rPr>
          <w:sz w:val="20"/>
        </w:rPr>
        <w:t xml:space="preserve"> in table</w:t>
      </w:r>
      <w:r w:rsidR="00956CDD" w:rsidRPr="00030B29">
        <w:rPr>
          <w:sz w:val="20"/>
        </w:rPr>
        <w:t>s</w:t>
      </w:r>
      <w:r w:rsidR="00BD1058" w:rsidRPr="00030B29">
        <w:rPr>
          <w:sz w:val="20"/>
        </w:rPr>
        <w:t xml:space="preserve"> </w:t>
      </w:r>
      <w:r w:rsidR="00A11099" w:rsidRPr="00030B29">
        <w:rPr>
          <w:sz w:val="20"/>
        </w:rPr>
        <w:t>4-7</w:t>
      </w:r>
      <w:r w:rsidR="00044F50" w:rsidRPr="00030B29">
        <w:rPr>
          <w:sz w:val="20"/>
        </w:rPr>
        <w:t xml:space="preserve"> </w:t>
      </w:r>
      <w:r w:rsidR="00A11099" w:rsidRPr="00030B29">
        <w:rPr>
          <w:sz w:val="20"/>
        </w:rPr>
        <w:t>in the main text</w:t>
      </w:r>
      <w:r w:rsidR="00BD1058" w:rsidRPr="00030B29">
        <w:rPr>
          <w:sz w:val="20"/>
        </w:rPr>
        <w:t>.</w:t>
      </w:r>
    </w:p>
    <w:p w:rsidR="00922A1C" w:rsidRPr="00030B29" w:rsidRDefault="00922A1C" w:rsidP="00FF2AD8">
      <w:pPr>
        <w:pStyle w:val="Geenafstand"/>
        <w:jc w:val="both"/>
        <w:rPr>
          <w:b/>
          <w:sz w:val="20"/>
        </w:rPr>
      </w:pPr>
    </w:p>
    <w:p w:rsidR="004136F4" w:rsidRPr="00030B29" w:rsidRDefault="004136F4" w:rsidP="00641886">
      <w:pPr>
        <w:pStyle w:val="Geenafstand"/>
        <w:ind w:firstLine="708"/>
        <w:jc w:val="both"/>
        <w:rPr>
          <w:sz w:val="20"/>
          <w:u w:val="single"/>
        </w:rPr>
      </w:pPr>
      <w:r w:rsidRPr="00030B29">
        <w:rPr>
          <w:b/>
          <w:sz w:val="20"/>
          <w:u w:val="single"/>
        </w:rPr>
        <w:t>Early-Roman period</w:t>
      </w:r>
      <w:r w:rsidR="00823685" w:rsidRPr="00030B29">
        <w:rPr>
          <w:b/>
          <w:sz w:val="20"/>
          <w:u w:val="single"/>
        </w:rPr>
        <w:t>: 12 BC – AD 70</w:t>
      </w:r>
      <w:r w:rsidRPr="00030B29">
        <w:rPr>
          <w:b/>
          <w:sz w:val="20"/>
          <w:u w:val="single"/>
        </w:rPr>
        <w:t xml:space="preserve"> (ERP)</w:t>
      </w:r>
    </w:p>
    <w:p w:rsidR="0048758F" w:rsidRPr="00030B29" w:rsidRDefault="00082036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The</w:t>
      </w:r>
      <w:r w:rsidR="00D75E1F" w:rsidRPr="00030B29">
        <w:rPr>
          <w:sz w:val="20"/>
        </w:rPr>
        <w:t xml:space="preserve"> </w:t>
      </w:r>
      <w:r w:rsidRPr="00030B29">
        <w:rPr>
          <w:sz w:val="20"/>
        </w:rPr>
        <w:t xml:space="preserve">ERP </w:t>
      </w:r>
      <w:r w:rsidR="002D3BAF" w:rsidRPr="00030B29">
        <w:rPr>
          <w:sz w:val="20"/>
        </w:rPr>
        <w:t xml:space="preserve">was </w:t>
      </w:r>
      <w:r w:rsidR="00044F50" w:rsidRPr="00030B29">
        <w:rPr>
          <w:sz w:val="20"/>
        </w:rPr>
        <w:t>cha</w:t>
      </w:r>
      <w:r w:rsidR="0048758F" w:rsidRPr="00030B29">
        <w:rPr>
          <w:sz w:val="20"/>
        </w:rPr>
        <w:t>racterized by the start of Roman occupation and the</w:t>
      </w:r>
      <w:r w:rsidR="00B82DD3" w:rsidRPr="00030B29">
        <w:rPr>
          <w:sz w:val="20"/>
        </w:rPr>
        <w:t xml:space="preserve"> influx of </w:t>
      </w:r>
      <w:r w:rsidRPr="00030B29">
        <w:rPr>
          <w:sz w:val="20"/>
        </w:rPr>
        <w:t xml:space="preserve">Roman </w:t>
      </w:r>
      <w:r w:rsidR="00044F50" w:rsidRPr="00030B29">
        <w:rPr>
          <w:sz w:val="20"/>
        </w:rPr>
        <w:t>troops</w:t>
      </w:r>
      <w:r w:rsidR="00224041" w:rsidRPr="00030B29">
        <w:rPr>
          <w:sz w:val="20"/>
        </w:rPr>
        <w:t xml:space="preserve"> in the area</w:t>
      </w:r>
      <w:r w:rsidRPr="00030B29">
        <w:rPr>
          <w:sz w:val="20"/>
        </w:rPr>
        <w:t>.</w:t>
      </w:r>
      <w:r w:rsidR="00FF2AD8" w:rsidRPr="00030B29">
        <w:rPr>
          <w:sz w:val="20"/>
        </w:rPr>
        <w:t xml:space="preserve"> </w:t>
      </w:r>
      <w:r w:rsidR="00044F50" w:rsidRPr="00030B29">
        <w:rPr>
          <w:sz w:val="20"/>
        </w:rPr>
        <w:t>Nonetheless settlement</w:t>
      </w:r>
      <w:r w:rsidR="00224041" w:rsidRPr="00030B29">
        <w:rPr>
          <w:sz w:val="20"/>
        </w:rPr>
        <w:t>s remained predominantly rural</w:t>
      </w:r>
      <w:r w:rsidR="00FF2AD8" w:rsidRPr="00030B29">
        <w:rPr>
          <w:sz w:val="20"/>
        </w:rPr>
        <w:t xml:space="preserve"> </w:t>
      </w:r>
      <w:r w:rsidR="002D3BAF" w:rsidRPr="00030B29">
        <w:rPr>
          <w:sz w:val="20"/>
        </w:rPr>
        <w:t xml:space="preserve">during </w:t>
      </w:r>
      <w:r w:rsidR="00FF2AD8" w:rsidRPr="00030B29">
        <w:rPr>
          <w:sz w:val="20"/>
        </w:rPr>
        <w:t xml:space="preserve">this period </w:t>
      </w:r>
      <w:r w:rsidR="00224041" w:rsidRPr="00030B29">
        <w:rPr>
          <w:sz w:val="20"/>
        </w:rPr>
        <w:t xml:space="preserve">and </w:t>
      </w:r>
      <w:r w:rsidR="00FF2AD8" w:rsidRPr="00030B29">
        <w:rPr>
          <w:sz w:val="20"/>
        </w:rPr>
        <w:t xml:space="preserve">consisted of </w:t>
      </w:r>
      <w:r w:rsidR="00044F50" w:rsidRPr="00030B29">
        <w:rPr>
          <w:sz w:val="20"/>
        </w:rPr>
        <w:t xml:space="preserve">isolated farms </w:t>
      </w:r>
      <w:r w:rsidR="000F2E3E" w:rsidRPr="00030B29">
        <w:rPr>
          <w:sz w:val="20"/>
        </w:rPr>
        <w:t xml:space="preserve">and </w:t>
      </w:r>
      <w:r w:rsidR="00FF2AD8" w:rsidRPr="00030B29">
        <w:rPr>
          <w:sz w:val="20"/>
        </w:rPr>
        <w:t xml:space="preserve">small </w:t>
      </w:r>
      <w:r w:rsidR="00641886" w:rsidRPr="00030B29">
        <w:rPr>
          <w:sz w:val="20"/>
        </w:rPr>
        <w:t>agglomerations</w:t>
      </w:r>
      <w:r w:rsidR="00FF2AD8" w:rsidRPr="00030B29">
        <w:rPr>
          <w:sz w:val="20"/>
        </w:rPr>
        <w:t xml:space="preserve"> of farms. Based on</w:t>
      </w:r>
      <w:r w:rsidR="00641CAB" w:rsidRPr="00030B29">
        <w:rPr>
          <w:sz w:val="20"/>
        </w:rPr>
        <w:t xml:space="preserve"> the</w:t>
      </w:r>
      <w:r w:rsidR="00FF2AD8" w:rsidRPr="00030B29">
        <w:rPr>
          <w:sz w:val="20"/>
        </w:rPr>
        <w:t xml:space="preserve"> work</w:t>
      </w:r>
      <w:r w:rsidR="00641CAB" w:rsidRPr="00030B29">
        <w:rPr>
          <w:sz w:val="20"/>
        </w:rPr>
        <w:t xml:space="preserve"> </w:t>
      </w:r>
      <w:r w:rsidR="00FF2AD8" w:rsidRPr="00030B29">
        <w:rPr>
          <w:sz w:val="20"/>
        </w:rPr>
        <w:t xml:space="preserve">by </w:t>
      </w:r>
      <w:proofErr w:type="spellStart"/>
      <w:r w:rsidR="00FF2AD8" w:rsidRPr="00030B29">
        <w:rPr>
          <w:sz w:val="20"/>
        </w:rPr>
        <w:t>Bloemers</w:t>
      </w:r>
      <w:proofErr w:type="spellEnd"/>
      <w:r w:rsidR="00FF2AD8" w:rsidRPr="00030B29">
        <w:rPr>
          <w:sz w:val="20"/>
        </w:rPr>
        <w:t xml:space="preserve"> (1978</w:t>
      </w:r>
      <w:r w:rsidR="00224041" w:rsidRPr="00030B29">
        <w:rPr>
          <w:sz w:val="20"/>
        </w:rPr>
        <w:t>) on the</w:t>
      </w:r>
      <w:r w:rsidR="00FF2AD8" w:rsidRPr="00030B29">
        <w:rPr>
          <w:sz w:val="20"/>
        </w:rPr>
        <w:t xml:space="preserve"> </w:t>
      </w:r>
      <w:r w:rsidR="00FF2AD8" w:rsidRPr="00030B29">
        <w:rPr>
          <w:i/>
          <w:sz w:val="20"/>
        </w:rPr>
        <w:t xml:space="preserve">civitas </w:t>
      </w:r>
      <w:proofErr w:type="spellStart"/>
      <w:r w:rsidR="00641886" w:rsidRPr="00030B29">
        <w:rPr>
          <w:i/>
          <w:sz w:val="20"/>
        </w:rPr>
        <w:t>Cananefates</w:t>
      </w:r>
      <w:proofErr w:type="spellEnd"/>
      <w:r w:rsidR="00641886" w:rsidRPr="00030B29">
        <w:rPr>
          <w:sz w:val="20"/>
        </w:rPr>
        <w:t>, Vos (2009</w:t>
      </w:r>
      <w:r w:rsidR="00224041" w:rsidRPr="00030B29">
        <w:rPr>
          <w:sz w:val="20"/>
        </w:rPr>
        <w:t>) on the</w:t>
      </w:r>
      <w:r w:rsidR="00641CAB" w:rsidRPr="00030B29">
        <w:rPr>
          <w:sz w:val="20"/>
        </w:rPr>
        <w:t xml:space="preserve"> </w:t>
      </w:r>
      <w:proofErr w:type="spellStart"/>
      <w:r w:rsidR="00641CAB" w:rsidRPr="00030B29">
        <w:rPr>
          <w:sz w:val="20"/>
        </w:rPr>
        <w:t>Kromme</w:t>
      </w:r>
      <w:proofErr w:type="spellEnd"/>
      <w:r w:rsidR="00641CAB" w:rsidRPr="00030B29">
        <w:rPr>
          <w:sz w:val="20"/>
        </w:rPr>
        <w:t>-Rijn area</w:t>
      </w:r>
      <w:r w:rsidR="00FF2AD8" w:rsidRPr="00030B29">
        <w:rPr>
          <w:sz w:val="20"/>
        </w:rPr>
        <w:t xml:space="preserve">, </w:t>
      </w:r>
      <w:proofErr w:type="spellStart"/>
      <w:r w:rsidR="00FF2AD8" w:rsidRPr="00030B29">
        <w:rPr>
          <w:sz w:val="20"/>
        </w:rPr>
        <w:t>Heeren</w:t>
      </w:r>
      <w:proofErr w:type="spellEnd"/>
      <w:r w:rsidR="00FF2AD8" w:rsidRPr="00030B29">
        <w:rPr>
          <w:sz w:val="20"/>
        </w:rPr>
        <w:t xml:space="preserve"> (2009</w:t>
      </w:r>
      <w:r w:rsidR="00224041" w:rsidRPr="00030B29">
        <w:rPr>
          <w:sz w:val="20"/>
        </w:rPr>
        <w:t>) on the</w:t>
      </w:r>
      <w:r w:rsidR="00641CAB" w:rsidRPr="00030B29">
        <w:rPr>
          <w:sz w:val="20"/>
        </w:rPr>
        <w:t xml:space="preserve"> </w:t>
      </w:r>
      <w:r w:rsidR="00641CAB" w:rsidRPr="00030B29">
        <w:rPr>
          <w:i/>
          <w:sz w:val="20"/>
        </w:rPr>
        <w:t xml:space="preserve">civitas </w:t>
      </w:r>
      <w:proofErr w:type="spellStart"/>
      <w:r w:rsidR="00641CAB" w:rsidRPr="00030B29">
        <w:rPr>
          <w:i/>
          <w:sz w:val="20"/>
        </w:rPr>
        <w:t>Batavorum</w:t>
      </w:r>
      <w:proofErr w:type="spellEnd"/>
      <w:r w:rsidR="000F2E3E" w:rsidRPr="00030B29">
        <w:rPr>
          <w:sz w:val="20"/>
        </w:rPr>
        <w:t>,</w:t>
      </w:r>
      <w:r w:rsidR="00641CAB" w:rsidRPr="00030B29">
        <w:rPr>
          <w:sz w:val="20"/>
        </w:rPr>
        <w:t xml:space="preserve"> and Dijkstra (2011</w:t>
      </w:r>
      <w:r w:rsidR="00224041" w:rsidRPr="00030B29">
        <w:rPr>
          <w:sz w:val="20"/>
        </w:rPr>
        <w:t xml:space="preserve">) on the estuaries of the </w:t>
      </w:r>
      <w:r w:rsidR="00641CAB" w:rsidRPr="00030B29">
        <w:rPr>
          <w:sz w:val="20"/>
        </w:rPr>
        <w:t>Rhine and Meuse</w:t>
      </w:r>
      <w:r w:rsidR="003C1791" w:rsidRPr="00030B29">
        <w:rPr>
          <w:sz w:val="20"/>
        </w:rPr>
        <w:t>,</w:t>
      </w:r>
      <w:r w:rsidR="00641CAB" w:rsidRPr="00030B29">
        <w:rPr>
          <w:sz w:val="20"/>
        </w:rPr>
        <w:t xml:space="preserve"> we determine</w:t>
      </w:r>
      <w:r w:rsidR="00044F50" w:rsidRPr="00030B29">
        <w:rPr>
          <w:sz w:val="20"/>
        </w:rPr>
        <w:t>d</w:t>
      </w:r>
      <w:r w:rsidR="00641CAB" w:rsidRPr="00030B29">
        <w:rPr>
          <w:sz w:val="20"/>
        </w:rPr>
        <w:t xml:space="preserve"> an average number of 1.5 houses per ERP settlement</w:t>
      </w:r>
      <w:r w:rsidR="00044F50" w:rsidRPr="00030B29">
        <w:rPr>
          <w:sz w:val="20"/>
        </w:rPr>
        <w:t>,</w:t>
      </w:r>
      <w:r w:rsidR="00641CAB" w:rsidRPr="00030B29">
        <w:rPr>
          <w:sz w:val="20"/>
        </w:rPr>
        <w:t xml:space="preserve"> and </w:t>
      </w:r>
      <w:r w:rsidR="00044F50" w:rsidRPr="00030B29">
        <w:rPr>
          <w:sz w:val="20"/>
        </w:rPr>
        <w:t xml:space="preserve">a </w:t>
      </w:r>
      <w:r w:rsidR="00641CAB" w:rsidRPr="00030B29">
        <w:rPr>
          <w:sz w:val="20"/>
        </w:rPr>
        <w:t xml:space="preserve">household size of 6.5 (Table </w:t>
      </w:r>
      <w:r w:rsidR="00E132EB" w:rsidRPr="00030B29">
        <w:rPr>
          <w:sz w:val="20"/>
        </w:rPr>
        <w:t>A.</w:t>
      </w:r>
      <w:r w:rsidR="00641CAB" w:rsidRPr="00030B29">
        <w:rPr>
          <w:sz w:val="20"/>
        </w:rPr>
        <w:t>2).</w:t>
      </w:r>
    </w:p>
    <w:p w:rsidR="0048758F" w:rsidRPr="00030B29" w:rsidRDefault="0048758F" w:rsidP="00FF2AD8">
      <w:pPr>
        <w:pStyle w:val="Geenafstand"/>
        <w:jc w:val="both"/>
        <w:rPr>
          <w:sz w:val="20"/>
        </w:rPr>
      </w:pPr>
    </w:p>
    <w:p w:rsidR="005F2F6D" w:rsidRPr="00030B29" w:rsidRDefault="0048758F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Military presence</w:t>
      </w:r>
    </w:p>
    <w:p w:rsidR="006D065E" w:rsidRPr="00030B29" w:rsidRDefault="005919A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Roman</w:t>
      </w:r>
      <w:r w:rsidR="00B36224" w:rsidRPr="00030B29">
        <w:rPr>
          <w:sz w:val="20"/>
        </w:rPr>
        <w:t>-</w:t>
      </w:r>
      <w:r w:rsidRPr="00030B29">
        <w:rPr>
          <w:sz w:val="20"/>
        </w:rPr>
        <w:t xml:space="preserve">military presence during the ERP </w:t>
      </w:r>
      <w:r w:rsidR="00030556" w:rsidRPr="00030B29">
        <w:rPr>
          <w:sz w:val="20"/>
        </w:rPr>
        <w:t xml:space="preserve">greatly </w:t>
      </w:r>
      <w:r w:rsidRPr="00030B29">
        <w:rPr>
          <w:sz w:val="20"/>
        </w:rPr>
        <w:t>fluctuated.</w:t>
      </w:r>
      <w:r w:rsidR="00BD70CD" w:rsidRPr="00030B29">
        <w:rPr>
          <w:sz w:val="20"/>
        </w:rPr>
        <w:t xml:space="preserve"> In our calculations we have included </w:t>
      </w:r>
      <w:r w:rsidRPr="00030B29">
        <w:rPr>
          <w:sz w:val="20"/>
        </w:rPr>
        <w:t xml:space="preserve">the maximum </w:t>
      </w:r>
      <w:r w:rsidR="00030556" w:rsidRPr="00030B29">
        <w:rPr>
          <w:sz w:val="20"/>
        </w:rPr>
        <w:t>number</w:t>
      </w:r>
      <w:r w:rsidRPr="00030B29">
        <w:rPr>
          <w:sz w:val="20"/>
        </w:rPr>
        <w:t xml:space="preserve"> of soldiers</w:t>
      </w:r>
      <w:r w:rsidR="00BD70CD" w:rsidRPr="00030B29">
        <w:rPr>
          <w:sz w:val="20"/>
        </w:rPr>
        <w:t xml:space="preserve"> during this period</w:t>
      </w:r>
      <w:r w:rsidRPr="00030B29">
        <w:rPr>
          <w:sz w:val="20"/>
        </w:rPr>
        <w:t xml:space="preserve">. </w:t>
      </w:r>
      <w:r w:rsidR="003C1791" w:rsidRPr="00030B29">
        <w:rPr>
          <w:sz w:val="20"/>
        </w:rPr>
        <w:t xml:space="preserve">Although </w:t>
      </w:r>
      <w:r w:rsidR="00BD70CD" w:rsidRPr="00030B29">
        <w:rPr>
          <w:sz w:val="20"/>
        </w:rPr>
        <w:t>from a historical perspective</w:t>
      </w:r>
      <w:r w:rsidRPr="00030B29">
        <w:rPr>
          <w:sz w:val="20"/>
        </w:rPr>
        <w:t xml:space="preserve"> </w:t>
      </w:r>
      <w:r w:rsidR="00030556" w:rsidRPr="00030B29">
        <w:rPr>
          <w:sz w:val="20"/>
        </w:rPr>
        <w:t xml:space="preserve">the ERP </w:t>
      </w:r>
      <w:r w:rsidRPr="00030B29">
        <w:rPr>
          <w:sz w:val="20"/>
        </w:rPr>
        <w:t>end</w:t>
      </w:r>
      <w:r w:rsidR="00030556" w:rsidRPr="00030B29">
        <w:rPr>
          <w:sz w:val="20"/>
        </w:rPr>
        <w:t>s</w:t>
      </w:r>
      <w:r w:rsidRPr="00030B29">
        <w:rPr>
          <w:sz w:val="20"/>
        </w:rPr>
        <w:t xml:space="preserve"> in AD 70</w:t>
      </w:r>
      <w:r w:rsidR="003C1791" w:rsidRPr="00030B29">
        <w:rPr>
          <w:sz w:val="20"/>
        </w:rPr>
        <w:t xml:space="preserve"> (after the army </w:t>
      </w:r>
      <w:r w:rsidRPr="00030B29">
        <w:rPr>
          <w:sz w:val="20"/>
        </w:rPr>
        <w:t>successfully quell</w:t>
      </w:r>
      <w:r w:rsidR="003C1791" w:rsidRPr="00030B29">
        <w:rPr>
          <w:sz w:val="20"/>
        </w:rPr>
        <w:t>ed</w:t>
      </w:r>
      <w:r w:rsidRPr="00030B29">
        <w:rPr>
          <w:sz w:val="20"/>
        </w:rPr>
        <w:t xml:space="preserve"> the Bat</w:t>
      </w:r>
      <w:r w:rsidR="00BD70CD" w:rsidRPr="00030B29">
        <w:rPr>
          <w:sz w:val="20"/>
        </w:rPr>
        <w:t>avian revolt of AD 69</w:t>
      </w:r>
      <w:r w:rsidR="00A11099" w:rsidRPr="00030B29">
        <w:rPr>
          <w:sz w:val="20"/>
        </w:rPr>
        <w:t>-70</w:t>
      </w:r>
      <w:r w:rsidR="003C1791" w:rsidRPr="00030B29">
        <w:rPr>
          <w:sz w:val="20"/>
        </w:rPr>
        <w:t>)</w:t>
      </w:r>
      <w:r w:rsidR="00BD70CD" w:rsidRPr="00030B29">
        <w:rPr>
          <w:sz w:val="20"/>
        </w:rPr>
        <w:t xml:space="preserve">, we included </w:t>
      </w:r>
      <w:r w:rsidR="00030556" w:rsidRPr="00030B29">
        <w:rPr>
          <w:sz w:val="20"/>
        </w:rPr>
        <w:t>t</w:t>
      </w:r>
      <w:r w:rsidRPr="00030B29">
        <w:rPr>
          <w:sz w:val="20"/>
        </w:rPr>
        <w:t xml:space="preserve">he Roman military presence between </w:t>
      </w:r>
      <w:r w:rsidRPr="00030B29">
        <w:rPr>
          <w:sz w:val="20"/>
        </w:rPr>
        <w:lastRenderedPageBreak/>
        <w:t xml:space="preserve">AD 70 – 104 </w:t>
      </w:r>
      <w:r w:rsidR="003C1791" w:rsidRPr="00030B29">
        <w:rPr>
          <w:sz w:val="20"/>
        </w:rPr>
        <w:t>in</w:t>
      </w:r>
      <w:r w:rsidRPr="00030B29">
        <w:rPr>
          <w:sz w:val="20"/>
        </w:rPr>
        <w:t xml:space="preserve">to </w:t>
      </w:r>
      <w:r w:rsidR="00A11099" w:rsidRPr="00030B29">
        <w:rPr>
          <w:sz w:val="20"/>
        </w:rPr>
        <w:t xml:space="preserve">our </w:t>
      </w:r>
      <w:r w:rsidRPr="00030B29">
        <w:rPr>
          <w:sz w:val="20"/>
        </w:rPr>
        <w:t>demographic calculations</w:t>
      </w:r>
      <w:r w:rsidR="003C1791" w:rsidRPr="00030B29">
        <w:rPr>
          <w:sz w:val="20"/>
        </w:rPr>
        <w:t xml:space="preserve"> of the ERP</w:t>
      </w:r>
      <w:r w:rsidRPr="00030B29">
        <w:rPr>
          <w:sz w:val="20"/>
        </w:rPr>
        <w:t>.</w:t>
      </w:r>
      <w:r w:rsidR="001C250F" w:rsidRPr="00030B29">
        <w:rPr>
          <w:sz w:val="20"/>
        </w:rPr>
        <w:t xml:space="preserve"> </w:t>
      </w:r>
      <w:r w:rsidR="003C1791" w:rsidRPr="00030B29">
        <w:rPr>
          <w:sz w:val="20"/>
        </w:rPr>
        <w:t xml:space="preserve">The reason for this approach is that </w:t>
      </w:r>
      <w:r w:rsidR="001C250F" w:rsidRPr="00030B29">
        <w:rPr>
          <w:sz w:val="20"/>
        </w:rPr>
        <w:t xml:space="preserve">military presence </w:t>
      </w:r>
      <w:r w:rsidR="003C1791" w:rsidRPr="00030B29">
        <w:rPr>
          <w:sz w:val="20"/>
        </w:rPr>
        <w:t xml:space="preserve">during these 34 years was </w:t>
      </w:r>
      <w:r w:rsidR="00B82DD3" w:rsidRPr="00030B29">
        <w:rPr>
          <w:sz w:val="20"/>
        </w:rPr>
        <w:t>a direct consequence of preceding</w:t>
      </w:r>
      <w:r w:rsidR="001C250F" w:rsidRPr="00030B29">
        <w:rPr>
          <w:sz w:val="20"/>
        </w:rPr>
        <w:t xml:space="preserve"> ERP</w:t>
      </w:r>
      <w:r w:rsidR="00B82DD3" w:rsidRPr="00030B29">
        <w:rPr>
          <w:sz w:val="20"/>
        </w:rPr>
        <w:t xml:space="preserve"> </w:t>
      </w:r>
      <w:r w:rsidR="00F12D05" w:rsidRPr="00030B29">
        <w:rPr>
          <w:sz w:val="20"/>
        </w:rPr>
        <w:t>events</w:t>
      </w:r>
      <w:r w:rsidR="00B82DD3" w:rsidRPr="00030B29">
        <w:rPr>
          <w:sz w:val="20"/>
        </w:rPr>
        <w:t xml:space="preserve"> and </w:t>
      </w:r>
      <w:r w:rsidR="003C1791" w:rsidRPr="00030B29">
        <w:rPr>
          <w:sz w:val="20"/>
        </w:rPr>
        <w:t xml:space="preserve">hence not </w:t>
      </w:r>
      <w:r w:rsidR="00B82DD3" w:rsidRPr="00030B29">
        <w:rPr>
          <w:sz w:val="20"/>
        </w:rPr>
        <w:t>characteristic for the</w:t>
      </w:r>
      <w:r w:rsidR="00F12D05" w:rsidRPr="00030B29">
        <w:rPr>
          <w:sz w:val="20"/>
        </w:rPr>
        <w:t xml:space="preserve"> </w:t>
      </w:r>
      <w:r w:rsidR="003C1791" w:rsidRPr="00030B29">
        <w:rPr>
          <w:sz w:val="20"/>
        </w:rPr>
        <w:t xml:space="preserve">largest part </w:t>
      </w:r>
      <w:r w:rsidR="00F12D05" w:rsidRPr="00030B29">
        <w:rPr>
          <w:sz w:val="20"/>
        </w:rPr>
        <w:t>of the</w:t>
      </w:r>
      <w:r w:rsidR="00B82DD3" w:rsidRPr="00030B29">
        <w:rPr>
          <w:sz w:val="20"/>
        </w:rPr>
        <w:t xml:space="preserve"> MRP</w:t>
      </w:r>
      <w:r w:rsidR="00A11099" w:rsidRPr="00030B29">
        <w:rPr>
          <w:sz w:val="20"/>
        </w:rPr>
        <w:t>.</w:t>
      </w:r>
      <w:r w:rsidR="003C1791" w:rsidRPr="00030B29">
        <w:rPr>
          <w:sz w:val="20"/>
        </w:rPr>
        <w:t xml:space="preserve"> </w:t>
      </w:r>
      <w:r w:rsidR="00B82DD3" w:rsidRPr="00030B29">
        <w:rPr>
          <w:sz w:val="20"/>
        </w:rPr>
        <w:t xml:space="preserve">Around AD 70 circa </w:t>
      </w:r>
      <w:r w:rsidRPr="00030B29">
        <w:rPr>
          <w:sz w:val="20"/>
        </w:rPr>
        <w:t>4</w:t>
      </w:r>
      <w:r w:rsidR="00B36224" w:rsidRPr="00030B29">
        <w:rPr>
          <w:sz w:val="20"/>
        </w:rPr>
        <w:t>,</w:t>
      </w:r>
      <w:r w:rsidRPr="00030B29">
        <w:rPr>
          <w:sz w:val="20"/>
        </w:rPr>
        <w:t>000</w:t>
      </w:r>
      <w:r w:rsidR="00B82DD3" w:rsidRPr="00030B29">
        <w:rPr>
          <w:sz w:val="20"/>
        </w:rPr>
        <w:t xml:space="preserve"> Roman soldiers (</w:t>
      </w:r>
      <w:r w:rsidRPr="00030B29">
        <w:rPr>
          <w:sz w:val="20"/>
        </w:rPr>
        <w:t xml:space="preserve">8 cohorts </w:t>
      </w:r>
      <w:r w:rsidR="00B82DD3" w:rsidRPr="00030B29">
        <w:rPr>
          <w:sz w:val="20"/>
        </w:rPr>
        <w:t>= 8 x 400 soldiers)</w:t>
      </w:r>
      <w:r w:rsidR="00E6343D" w:rsidRPr="00030B29">
        <w:rPr>
          <w:sz w:val="20"/>
        </w:rPr>
        <w:t xml:space="preserve"> of the 10</w:t>
      </w:r>
      <w:r w:rsidR="00E6343D" w:rsidRPr="00030B29">
        <w:rPr>
          <w:sz w:val="20"/>
          <w:vertAlign w:val="superscript"/>
        </w:rPr>
        <w:t>th</w:t>
      </w:r>
      <w:r w:rsidR="00E6343D" w:rsidRPr="00030B29">
        <w:rPr>
          <w:sz w:val="20"/>
        </w:rPr>
        <w:t xml:space="preserve"> legion (</w:t>
      </w:r>
      <w:proofErr w:type="spellStart"/>
      <w:r w:rsidR="00E6343D" w:rsidRPr="00030B29">
        <w:rPr>
          <w:i/>
          <w:sz w:val="20"/>
        </w:rPr>
        <w:t>Legio</w:t>
      </w:r>
      <w:proofErr w:type="spellEnd"/>
      <w:r w:rsidR="00E6343D" w:rsidRPr="00030B29">
        <w:rPr>
          <w:i/>
          <w:sz w:val="20"/>
        </w:rPr>
        <w:t xml:space="preserve"> X </w:t>
      </w:r>
      <w:proofErr w:type="spellStart"/>
      <w:r w:rsidR="00E6343D" w:rsidRPr="00030B29">
        <w:rPr>
          <w:i/>
          <w:sz w:val="20"/>
        </w:rPr>
        <w:t>Gemina</w:t>
      </w:r>
      <w:proofErr w:type="spellEnd"/>
      <w:r w:rsidR="00E6343D" w:rsidRPr="00030B29">
        <w:rPr>
          <w:sz w:val="20"/>
        </w:rPr>
        <w:t>)</w:t>
      </w:r>
      <w:r w:rsidR="00B82DD3" w:rsidRPr="00030B29">
        <w:rPr>
          <w:sz w:val="20"/>
        </w:rPr>
        <w:t xml:space="preserve"> occupied</w:t>
      </w:r>
      <w:r w:rsidR="00F12D05" w:rsidRPr="00030B29">
        <w:rPr>
          <w:sz w:val="20"/>
        </w:rPr>
        <w:t xml:space="preserve"> the </w:t>
      </w:r>
      <w:r w:rsidR="00F12D05" w:rsidRPr="00030B29">
        <w:rPr>
          <w:i/>
          <w:sz w:val="20"/>
        </w:rPr>
        <w:t>c</w:t>
      </w:r>
      <w:r w:rsidR="00B82DD3" w:rsidRPr="00030B29">
        <w:rPr>
          <w:i/>
          <w:sz w:val="20"/>
        </w:rPr>
        <w:t>astra</w:t>
      </w:r>
      <w:r w:rsidR="00B82DD3" w:rsidRPr="00030B29">
        <w:rPr>
          <w:sz w:val="20"/>
        </w:rPr>
        <w:t xml:space="preserve"> at Nijmegen</w:t>
      </w:r>
      <w:r w:rsidR="00F12D05" w:rsidRPr="00030B29">
        <w:rPr>
          <w:sz w:val="20"/>
        </w:rPr>
        <w:t xml:space="preserve"> (Driessen, 2007)</w:t>
      </w:r>
      <w:r w:rsidR="00B82DD3" w:rsidRPr="00030B29">
        <w:rPr>
          <w:sz w:val="20"/>
        </w:rPr>
        <w:t>. In their tracks around 10</w:t>
      </w:r>
      <w:r w:rsidR="00B36224" w:rsidRPr="00030B29">
        <w:rPr>
          <w:sz w:val="20"/>
        </w:rPr>
        <w:t>,</w:t>
      </w:r>
      <w:r w:rsidR="00B82DD3" w:rsidRPr="00030B29">
        <w:rPr>
          <w:sz w:val="20"/>
        </w:rPr>
        <w:t xml:space="preserve">000 </w:t>
      </w:r>
      <w:r w:rsidR="00F12D05" w:rsidRPr="00030B29">
        <w:rPr>
          <w:sz w:val="20"/>
        </w:rPr>
        <w:t>people</w:t>
      </w:r>
      <w:r w:rsidR="00E6343D" w:rsidRPr="00030B29">
        <w:rPr>
          <w:sz w:val="20"/>
        </w:rPr>
        <w:t xml:space="preserve"> </w:t>
      </w:r>
      <w:r w:rsidR="00F12D05" w:rsidRPr="00030B29">
        <w:rPr>
          <w:sz w:val="20"/>
        </w:rPr>
        <w:t xml:space="preserve">settled in the nearby </w:t>
      </w:r>
      <w:proofErr w:type="spellStart"/>
      <w:r w:rsidR="00F12D05" w:rsidRPr="00030B29">
        <w:rPr>
          <w:i/>
          <w:sz w:val="20"/>
        </w:rPr>
        <w:t>canabae</w:t>
      </w:r>
      <w:proofErr w:type="spellEnd"/>
      <w:r w:rsidR="00E6343D" w:rsidRPr="00030B29">
        <w:rPr>
          <w:i/>
          <w:sz w:val="20"/>
        </w:rPr>
        <w:t xml:space="preserve"> </w:t>
      </w:r>
      <w:proofErr w:type="spellStart"/>
      <w:r w:rsidR="00E6343D" w:rsidRPr="00030B29">
        <w:rPr>
          <w:i/>
          <w:sz w:val="20"/>
        </w:rPr>
        <w:t>legionis</w:t>
      </w:r>
      <w:proofErr w:type="spellEnd"/>
      <w:r w:rsidR="00F12D05" w:rsidRPr="00030B29">
        <w:rPr>
          <w:sz w:val="20"/>
        </w:rPr>
        <w:t>, which covered almost 100 ha (</w:t>
      </w:r>
      <w:r w:rsidR="0094511F" w:rsidRPr="00030B29">
        <w:rPr>
          <w:sz w:val="20"/>
        </w:rPr>
        <w:t>Willems et al</w:t>
      </w:r>
      <w:r w:rsidR="00F12D05" w:rsidRPr="00030B29">
        <w:rPr>
          <w:sz w:val="20"/>
        </w:rPr>
        <w:t>.</w:t>
      </w:r>
      <w:r w:rsidR="0094511F" w:rsidRPr="00030B29">
        <w:rPr>
          <w:sz w:val="20"/>
        </w:rPr>
        <w:t>, 2004).</w:t>
      </w:r>
      <w:r w:rsidR="00370D0F" w:rsidRPr="00030B29">
        <w:rPr>
          <w:sz w:val="20"/>
        </w:rPr>
        <w:t xml:space="preserve"> </w:t>
      </w:r>
      <w:r w:rsidR="00E6343D" w:rsidRPr="00030B29">
        <w:rPr>
          <w:sz w:val="20"/>
        </w:rPr>
        <w:t>We calculated 10</w:t>
      </w:r>
      <w:r w:rsidR="00B36224" w:rsidRPr="00030B29">
        <w:rPr>
          <w:sz w:val="20"/>
        </w:rPr>
        <w:t>,</w:t>
      </w:r>
      <w:r w:rsidR="00E6343D" w:rsidRPr="00030B29">
        <w:rPr>
          <w:sz w:val="20"/>
        </w:rPr>
        <w:t xml:space="preserve">000 people for the </w:t>
      </w:r>
      <w:proofErr w:type="spellStart"/>
      <w:r w:rsidR="00E6343D" w:rsidRPr="00030B29">
        <w:rPr>
          <w:i/>
          <w:sz w:val="20"/>
        </w:rPr>
        <w:t>canabae</w:t>
      </w:r>
      <w:proofErr w:type="spellEnd"/>
      <w:r w:rsidR="00E6343D" w:rsidRPr="00030B29">
        <w:rPr>
          <w:i/>
          <w:sz w:val="20"/>
        </w:rPr>
        <w:t xml:space="preserve"> </w:t>
      </w:r>
      <w:proofErr w:type="spellStart"/>
      <w:r w:rsidR="00E6343D" w:rsidRPr="00030B29">
        <w:rPr>
          <w:i/>
          <w:sz w:val="20"/>
        </w:rPr>
        <w:t>legionis</w:t>
      </w:r>
      <w:proofErr w:type="spellEnd"/>
      <w:r w:rsidR="00E6343D" w:rsidRPr="00030B29">
        <w:rPr>
          <w:sz w:val="20"/>
        </w:rPr>
        <w:t xml:space="preserve"> based on the fact that this settlement </w:t>
      </w:r>
      <w:r w:rsidR="003C1791" w:rsidRPr="00030B29">
        <w:rPr>
          <w:sz w:val="20"/>
        </w:rPr>
        <w:t xml:space="preserve">covered </w:t>
      </w:r>
      <w:r w:rsidR="00E6343D" w:rsidRPr="00030B29">
        <w:rPr>
          <w:sz w:val="20"/>
        </w:rPr>
        <w:t xml:space="preserve">twice the surface area of the later Roman town at Nijmegen, </w:t>
      </w:r>
      <w:r w:rsidR="000F2E3E" w:rsidRPr="00030B29">
        <w:rPr>
          <w:sz w:val="20"/>
        </w:rPr>
        <w:t>(</w:t>
      </w:r>
      <w:r w:rsidR="00E6343D" w:rsidRPr="00030B29">
        <w:rPr>
          <w:sz w:val="20"/>
        </w:rPr>
        <w:t>50 ha</w:t>
      </w:r>
      <w:r w:rsidR="000F2E3E" w:rsidRPr="00030B29">
        <w:rPr>
          <w:sz w:val="20"/>
        </w:rPr>
        <w:t>)</w:t>
      </w:r>
      <w:r w:rsidR="00E6343D" w:rsidRPr="00030B29">
        <w:rPr>
          <w:sz w:val="20"/>
        </w:rPr>
        <w:t xml:space="preserve">, </w:t>
      </w:r>
      <w:r w:rsidR="000F2E3E" w:rsidRPr="00030B29">
        <w:rPr>
          <w:sz w:val="20"/>
        </w:rPr>
        <w:t xml:space="preserve">and </w:t>
      </w:r>
      <w:r w:rsidR="003C1791" w:rsidRPr="00030B29">
        <w:rPr>
          <w:sz w:val="20"/>
        </w:rPr>
        <w:t xml:space="preserve">was </w:t>
      </w:r>
      <w:r w:rsidR="00E6343D" w:rsidRPr="00030B29">
        <w:rPr>
          <w:sz w:val="20"/>
        </w:rPr>
        <w:t>characterized by a similar house-density level</w:t>
      </w:r>
      <w:r w:rsidR="000F2E3E" w:rsidRPr="00030B29">
        <w:rPr>
          <w:sz w:val="20"/>
        </w:rPr>
        <w:t>,</w:t>
      </w:r>
      <w:r w:rsidR="00E6343D" w:rsidRPr="00030B29">
        <w:rPr>
          <w:sz w:val="20"/>
        </w:rPr>
        <w:t xml:space="preserve"> therefore probably </w:t>
      </w:r>
      <w:r w:rsidR="003C1791" w:rsidRPr="00030B29">
        <w:rPr>
          <w:sz w:val="20"/>
        </w:rPr>
        <w:t>contain</w:t>
      </w:r>
      <w:r w:rsidR="000F2E3E" w:rsidRPr="00030B29">
        <w:rPr>
          <w:sz w:val="20"/>
        </w:rPr>
        <w:t>ing</w:t>
      </w:r>
      <w:r w:rsidR="003C1791" w:rsidRPr="00030B29">
        <w:rPr>
          <w:sz w:val="20"/>
        </w:rPr>
        <w:t xml:space="preserve"> </w:t>
      </w:r>
      <w:r w:rsidR="00E6343D" w:rsidRPr="00030B29">
        <w:rPr>
          <w:sz w:val="20"/>
        </w:rPr>
        <w:t>twice as many people</w:t>
      </w:r>
      <w:r w:rsidR="003C1791" w:rsidRPr="00030B29">
        <w:rPr>
          <w:sz w:val="20"/>
        </w:rPr>
        <w:t>.</w:t>
      </w:r>
    </w:p>
    <w:p w:rsidR="005919A2" w:rsidRPr="00030B29" w:rsidRDefault="00370D0F" w:rsidP="006D065E">
      <w:pPr>
        <w:pStyle w:val="Geenafstand"/>
        <w:ind w:firstLine="708"/>
        <w:jc w:val="both"/>
        <w:rPr>
          <w:sz w:val="20"/>
        </w:rPr>
      </w:pPr>
      <w:r w:rsidRPr="00030B29">
        <w:rPr>
          <w:sz w:val="20"/>
        </w:rPr>
        <w:t xml:space="preserve">Besides the large </w:t>
      </w:r>
      <w:r w:rsidRPr="00030B29">
        <w:rPr>
          <w:i/>
          <w:sz w:val="20"/>
        </w:rPr>
        <w:t xml:space="preserve">castra </w:t>
      </w:r>
      <w:r w:rsidR="00BD70CD" w:rsidRPr="00030B29">
        <w:rPr>
          <w:sz w:val="20"/>
        </w:rPr>
        <w:t>at</w:t>
      </w:r>
      <w:r w:rsidRPr="00030B29">
        <w:rPr>
          <w:sz w:val="20"/>
        </w:rPr>
        <w:t xml:space="preserve"> Nijmegen the study area contained 14 smaller Roman fortresses,</w:t>
      </w:r>
      <w:r w:rsidR="00BD70CD" w:rsidRPr="00030B29">
        <w:rPr>
          <w:sz w:val="20"/>
        </w:rPr>
        <w:t xml:space="preserve"> the</w:t>
      </w:r>
      <w:r w:rsidRPr="00030B29">
        <w:rPr>
          <w:sz w:val="20"/>
        </w:rPr>
        <w:t xml:space="preserve"> </w:t>
      </w:r>
      <w:r w:rsidRPr="00030B29">
        <w:rPr>
          <w:i/>
          <w:sz w:val="20"/>
        </w:rPr>
        <w:t>castella</w:t>
      </w:r>
      <w:r w:rsidR="00DB4706" w:rsidRPr="00030B29">
        <w:rPr>
          <w:i/>
          <w:sz w:val="20"/>
        </w:rPr>
        <w:t xml:space="preserve"> </w:t>
      </w:r>
      <w:r w:rsidR="00DB4706" w:rsidRPr="00030B29">
        <w:rPr>
          <w:sz w:val="20"/>
        </w:rPr>
        <w:t xml:space="preserve">(Table </w:t>
      </w:r>
      <w:r w:rsidR="00E132EB" w:rsidRPr="00030B29">
        <w:rPr>
          <w:sz w:val="20"/>
        </w:rPr>
        <w:t>A.</w:t>
      </w:r>
      <w:r w:rsidR="00A11099" w:rsidRPr="00030B29">
        <w:rPr>
          <w:sz w:val="20"/>
        </w:rPr>
        <w:t>1</w:t>
      </w:r>
      <w:r w:rsidR="00DB4706" w:rsidRPr="00030B29">
        <w:rPr>
          <w:sz w:val="20"/>
        </w:rPr>
        <w:t>)</w:t>
      </w:r>
      <w:r w:rsidRPr="00030B29">
        <w:rPr>
          <w:sz w:val="20"/>
        </w:rPr>
        <w:t xml:space="preserve">. </w:t>
      </w:r>
      <w:r w:rsidR="00DB4706" w:rsidRPr="00030B29">
        <w:rPr>
          <w:sz w:val="20"/>
        </w:rPr>
        <w:t xml:space="preserve">Although the chronological framework of each </w:t>
      </w:r>
      <w:r w:rsidR="00BD70CD" w:rsidRPr="00030B29">
        <w:rPr>
          <w:sz w:val="20"/>
        </w:rPr>
        <w:t>individual</w:t>
      </w:r>
      <w:r w:rsidR="00DB4706" w:rsidRPr="00030B29">
        <w:rPr>
          <w:sz w:val="20"/>
        </w:rPr>
        <w:t xml:space="preserve"> </w:t>
      </w:r>
      <w:r w:rsidR="00DB4706" w:rsidRPr="00030B29">
        <w:rPr>
          <w:i/>
          <w:sz w:val="20"/>
        </w:rPr>
        <w:t>castell</w:t>
      </w:r>
      <w:r w:rsidR="00BD70CD" w:rsidRPr="00030B29">
        <w:rPr>
          <w:i/>
          <w:sz w:val="20"/>
        </w:rPr>
        <w:t>um</w:t>
      </w:r>
      <w:r w:rsidR="00DB4706" w:rsidRPr="00030B29">
        <w:rPr>
          <w:i/>
          <w:sz w:val="20"/>
        </w:rPr>
        <w:t xml:space="preserve"> </w:t>
      </w:r>
      <w:r w:rsidR="00DB4706" w:rsidRPr="00030B29">
        <w:rPr>
          <w:sz w:val="20"/>
        </w:rPr>
        <w:t xml:space="preserve">differs, they all </w:t>
      </w:r>
      <w:r w:rsidR="003C1791" w:rsidRPr="00030B29">
        <w:rPr>
          <w:sz w:val="20"/>
        </w:rPr>
        <w:t xml:space="preserve">were </w:t>
      </w:r>
      <w:r w:rsidR="00DB4706" w:rsidRPr="00030B29">
        <w:rPr>
          <w:sz w:val="20"/>
        </w:rPr>
        <w:t xml:space="preserve">in use after AD 70 and </w:t>
      </w:r>
      <w:r w:rsidR="003C1791" w:rsidRPr="00030B29">
        <w:rPr>
          <w:sz w:val="20"/>
        </w:rPr>
        <w:t xml:space="preserve">should </w:t>
      </w:r>
      <w:r w:rsidR="00DB4706" w:rsidRPr="00030B29">
        <w:rPr>
          <w:sz w:val="20"/>
        </w:rPr>
        <w:t xml:space="preserve">therefore </w:t>
      </w:r>
      <w:r w:rsidR="003C1791" w:rsidRPr="00030B29">
        <w:rPr>
          <w:sz w:val="20"/>
        </w:rPr>
        <w:t xml:space="preserve">be </w:t>
      </w:r>
      <w:r w:rsidR="00DB4706" w:rsidRPr="00030B29">
        <w:rPr>
          <w:sz w:val="20"/>
        </w:rPr>
        <w:t xml:space="preserve">included in the </w:t>
      </w:r>
      <w:r w:rsidR="00BD70CD" w:rsidRPr="00030B29">
        <w:rPr>
          <w:sz w:val="20"/>
        </w:rPr>
        <w:t xml:space="preserve">demographic calculations of both the </w:t>
      </w:r>
      <w:r w:rsidR="00A126FE" w:rsidRPr="00030B29">
        <w:rPr>
          <w:sz w:val="20"/>
        </w:rPr>
        <w:t>ERP and MRP</w:t>
      </w:r>
      <w:r w:rsidR="00DB4706" w:rsidRPr="00030B29">
        <w:rPr>
          <w:sz w:val="20"/>
        </w:rPr>
        <w:t xml:space="preserve">. </w:t>
      </w:r>
      <w:r w:rsidR="00402433" w:rsidRPr="00030B29">
        <w:rPr>
          <w:sz w:val="20"/>
        </w:rPr>
        <w:t xml:space="preserve">In order to reconstruct the number of soldiers and </w:t>
      </w:r>
      <w:r w:rsidR="00402433" w:rsidRPr="00030B29">
        <w:rPr>
          <w:i/>
          <w:sz w:val="20"/>
        </w:rPr>
        <w:t>vici</w:t>
      </w:r>
      <w:r w:rsidR="00402433" w:rsidRPr="00030B29">
        <w:rPr>
          <w:i/>
          <w:sz w:val="20"/>
        </w:rPr>
        <w:softHyphen/>
      </w:r>
      <w:r w:rsidR="00402433" w:rsidRPr="00030B29">
        <w:rPr>
          <w:sz w:val="20"/>
        </w:rPr>
        <w:t xml:space="preserve">-inhabitants represented by these </w:t>
      </w:r>
      <w:r w:rsidR="00402433" w:rsidRPr="00030B29">
        <w:rPr>
          <w:i/>
          <w:sz w:val="20"/>
        </w:rPr>
        <w:t xml:space="preserve">castella </w:t>
      </w:r>
      <w:r w:rsidR="00402433" w:rsidRPr="00030B29">
        <w:rPr>
          <w:sz w:val="20"/>
        </w:rPr>
        <w:t>we applied the</w:t>
      </w:r>
      <w:r w:rsidR="00BD70CD" w:rsidRPr="00030B29">
        <w:rPr>
          <w:sz w:val="20"/>
        </w:rPr>
        <w:t xml:space="preserve"> 1-to-1</w:t>
      </w:r>
      <w:r w:rsidR="00402433" w:rsidRPr="00030B29">
        <w:rPr>
          <w:sz w:val="20"/>
        </w:rPr>
        <w:t xml:space="preserve"> ratio as</w:t>
      </w:r>
      <w:r w:rsidR="00BD70CD" w:rsidRPr="00030B29">
        <w:rPr>
          <w:sz w:val="20"/>
        </w:rPr>
        <w:t xml:space="preserve"> is</w:t>
      </w:r>
      <w:r w:rsidR="00A126FE" w:rsidRPr="00030B29">
        <w:rPr>
          <w:sz w:val="20"/>
        </w:rPr>
        <w:t xml:space="preserve"> explained </w:t>
      </w:r>
      <w:r w:rsidR="00BD70CD" w:rsidRPr="00030B29">
        <w:rPr>
          <w:sz w:val="20"/>
        </w:rPr>
        <w:t>above</w:t>
      </w:r>
      <w:r w:rsidR="006D065E" w:rsidRPr="00030B29">
        <w:rPr>
          <w:sz w:val="20"/>
        </w:rPr>
        <w:t>.</w:t>
      </w:r>
      <w:r w:rsidR="00BD70CD" w:rsidRPr="00030B29">
        <w:rPr>
          <w:sz w:val="20"/>
        </w:rPr>
        <w:t xml:space="preserve"> Based on Van </w:t>
      </w:r>
      <w:proofErr w:type="spellStart"/>
      <w:r w:rsidR="00BD70CD" w:rsidRPr="00030B29">
        <w:rPr>
          <w:sz w:val="20"/>
        </w:rPr>
        <w:t>Dinter</w:t>
      </w:r>
      <w:proofErr w:type="spellEnd"/>
      <w:r w:rsidR="00BD70CD" w:rsidRPr="00030B29">
        <w:rPr>
          <w:sz w:val="20"/>
        </w:rPr>
        <w:t xml:space="preserve"> et al. (2014)</w:t>
      </w:r>
      <w:r w:rsidR="004367A0" w:rsidRPr="00030B29">
        <w:rPr>
          <w:sz w:val="20"/>
        </w:rPr>
        <w:t xml:space="preserve"> </w:t>
      </w:r>
      <w:r w:rsidR="00BD70CD" w:rsidRPr="00030B29">
        <w:rPr>
          <w:sz w:val="20"/>
        </w:rPr>
        <w:t>we set the population numbers for e</w:t>
      </w:r>
      <w:r w:rsidR="004367A0" w:rsidRPr="00030B29">
        <w:rPr>
          <w:sz w:val="20"/>
        </w:rPr>
        <w:t xml:space="preserve">ach </w:t>
      </w:r>
      <w:r w:rsidR="004367A0" w:rsidRPr="00030B29">
        <w:rPr>
          <w:i/>
          <w:sz w:val="20"/>
        </w:rPr>
        <w:t>castellum</w:t>
      </w:r>
      <w:r w:rsidR="004367A0" w:rsidRPr="00030B29">
        <w:rPr>
          <w:sz w:val="20"/>
        </w:rPr>
        <w:t xml:space="preserve"> </w:t>
      </w:r>
      <w:r w:rsidR="003C1791" w:rsidRPr="00030B29">
        <w:rPr>
          <w:sz w:val="20"/>
        </w:rPr>
        <w:t xml:space="preserve">at </w:t>
      </w:r>
      <w:r w:rsidR="004367A0" w:rsidRPr="00030B29">
        <w:rPr>
          <w:sz w:val="20"/>
        </w:rPr>
        <w:t xml:space="preserve">350 soldiers and </w:t>
      </w:r>
      <w:r w:rsidR="00BD70CD" w:rsidRPr="00030B29">
        <w:rPr>
          <w:sz w:val="20"/>
        </w:rPr>
        <w:t xml:space="preserve">for </w:t>
      </w:r>
      <w:r w:rsidR="004367A0" w:rsidRPr="00030B29">
        <w:rPr>
          <w:sz w:val="20"/>
        </w:rPr>
        <w:t xml:space="preserve">each </w:t>
      </w:r>
      <w:r w:rsidR="00BD70CD" w:rsidRPr="00030B29">
        <w:rPr>
          <w:sz w:val="20"/>
        </w:rPr>
        <w:t>associated</w:t>
      </w:r>
      <w:r w:rsidR="004367A0" w:rsidRPr="00030B29">
        <w:rPr>
          <w:sz w:val="20"/>
        </w:rPr>
        <w:t xml:space="preserve"> </w:t>
      </w:r>
      <w:r w:rsidR="004367A0" w:rsidRPr="00030B29">
        <w:rPr>
          <w:i/>
          <w:sz w:val="20"/>
        </w:rPr>
        <w:t>vicus</w:t>
      </w:r>
      <w:r w:rsidR="004367A0" w:rsidRPr="00030B29">
        <w:rPr>
          <w:sz w:val="20"/>
        </w:rPr>
        <w:t xml:space="preserve"> </w:t>
      </w:r>
      <w:r w:rsidR="003C1791" w:rsidRPr="00030B29">
        <w:rPr>
          <w:sz w:val="20"/>
        </w:rPr>
        <w:t xml:space="preserve">at </w:t>
      </w:r>
      <w:r w:rsidR="004367A0" w:rsidRPr="00030B29">
        <w:rPr>
          <w:sz w:val="20"/>
        </w:rPr>
        <w:t>350 civilians</w:t>
      </w:r>
      <w:r w:rsidR="00BD70CD" w:rsidRPr="00030B29">
        <w:rPr>
          <w:sz w:val="20"/>
        </w:rPr>
        <w:t xml:space="preserve"> (Table</w:t>
      </w:r>
      <w:r w:rsidR="00C1273C" w:rsidRPr="00030B29">
        <w:rPr>
          <w:sz w:val="20"/>
        </w:rPr>
        <w:t>s</w:t>
      </w:r>
      <w:r w:rsidR="00BD70CD" w:rsidRPr="00030B29">
        <w:rPr>
          <w:sz w:val="20"/>
        </w:rPr>
        <w:t xml:space="preserve"> </w:t>
      </w:r>
      <w:r w:rsidR="00E132EB" w:rsidRPr="00030B29">
        <w:rPr>
          <w:sz w:val="20"/>
        </w:rPr>
        <w:t>A.</w:t>
      </w:r>
      <w:r w:rsidR="00A11099" w:rsidRPr="00030B29">
        <w:rPr>
          <w:sz w:val="20"/>
        </w:rPr>
        <w:t>1</w:t>
      </w:r>
      <w:r w:rsidR="00C1273C" w:rsidRPr="00030B29">
        <w:rPr>
          <w:sz w:val="20"/>
        </w:rPr>
        <w:t xml:space="preserve"> and </w:t>
      </w:r>
      <w:r w:rsidR="00C909E7" w:rsidRPr="00030B29">
        <w:rPr>
          <w:sz w:val="20"/>
        </w:rPr>
        <w:t>A.3</w:t>
      </w:r>
      <w:r w:rsidR="00BD70CD" w:rsidRPr="00030B29">
        <w:rPr>
          <w:sz w:val="20"/>
        </w:rPr>
        <w:t>)</w:t>
      </w:r>
      <w:r w:rsidR="004367A0" w:rsidRPr="00030B29">
        <w:rPr>
          <w:sz w:val="20"/>
        </w:rPr>
        <w:t xml:space="preserve">. </w:t>
      </w:r>
      <w:r w:rsidR="006D065E" w:rsidRPr="00030B29">
        <w:rPr>
          <w:sz w:val="20"/>
        </w:rPr>
        <w:t xml:space="preserve"> </w:t>
      </w:r>
      <w:r w:rsidRPr="00030B29">
        <w:rPr>
          <w:sz w:val="20"/>
        </w:rPr>
        <w:t xml:space="preserve">  </w:t>
      </w:r>
    </w:p>
    <w:p w:rsidR="004136F4" w:rsidRPr="00030B29" w:rsidRDefault="004136F4" w:rsidP="00FF2AD8">
      <w:pPr>
        <w:pStyle w:val="Geenafstand"/>
        <w:jc w:val="both"/>
        <w:rPr>
          <w:sz w:val="20"/>
        </w:rPr>
      </w:pPr>
    </w:p>
    <w:p w:rsidR="00E132EB" w:rsidRPr="00030B29" w:rsidRDefault="00E132EB" w:rsidP="00E132EB">
      <w:pPr>
        <w:pStyle w:val="Geenafstand"/>
        <w:rPr>
          <w:i/>
          <w:sz w:val="20"/>
        </w:rPr>
      </w:pPr>
      <w:r w:rsidRPr="00030B29">
        <w:rPr>
          <w:sz w:val="20"/>
        </w:rPr>
        <w:t>Table A.</w:t>
      </w:r>
      <w:r w:rsidR="00A11099" w:rsidRPr="00030B29">
        <w:rPr>
          <w:sz w:val="20"/>
        </w:rPr>
        <w:t>1</w:t>
      </w:r>
      <w:r w:rsidRPr="00030B29">
        <w:rPr>
          <w:sz w:val="20"/>
        </w:rPr>
        <w:t xml:space="preserve"> |</w:t>
      </w:r>
      <w:r w:rsidRPr="00030B29">
        <w:rPr>
          <w:i/>
          <w:sz w:val="20"/>
        </w:rPr>
        <w:t xml:space="preserve"> Overview of </w:t>
      </w:r>
      <w:r w:rsidRPr="00030B29">
        <w:rPr>
          <w:sz w:val="20"/>
        </w:rPr>
        <w:t>castella</w:t>
      </w:r>
      <w:r w:rsidRPr="00030B29">
        <w:rPr>
          <w:i/>
          <w:sz w:val="20"/>
        </w:rPr>
        <w:t xml:space="preserve"> and </w:t>
      </w:r>
      <w:r w:rsidRPr="00030B29">
        <w:rPr>
          <w:sz w:val="20"/>
        </w:rPr>
        <w:t>castra</w:t>
      </w:r>
      <w:r w:rsidRPr="00030B29">
        <w:rPr>
          <w:i/>
          <w:sz w:val="20"/>
        </w:rPr>
        <w:t xml:space="preserve"> included in the demographic modelling for the ERP and MRP.</w:t>
      </w:r>
    </w:p>
    <w:p w:rsidR="00E132EB" w:rsidRPr="00030B29" w:rsidRDefault="00E132EB" w:rsidP="00FF2AD8">
      <w:pPr>
        <w:pStyle w:val="Geenafstand"/>
        <w:jc w:val="both"/>
        <w:rPr>
          <w:sz w:val="20"/>
        </w:rPr>
      </w:pPr>
    </w:p>
    <w:tbl>
      <w:tblPr>
        <w:tblStyle w:val="Rastertabel41"/>
        <w:tblW w:w="4141" w:type="dxa"/>
        <w:jc w:val="center"/>
        <w:tblLook w:val="04A0" w:firstRow="1" w:lastRow="0" w:firstColumn="1" w:lastColumn="0" w:noHBand="0" w:noVBand="1"/>
      </w:tblPr>
      <w:tblGrid>
        <w:gridCol w:w="2582"/>
        <w:gridCol w:w="1559"/>
      </w:tblGrid>
      <w:tr w:rsidR="00C1273C" w:rsidRPr="00030B29" w:rsidTr="00C12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BD70CD">
            <w:pPr>
              <w:pStyle w:val="Geenafstand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030B29">
              <w:rPr>
                <w:rFonts w:cstheme="minorHAnsi"/>
                <w:sz w:val="18"/>
                <w:szCs w:val="18"/>
                <w:lang w:eastAsia="nl-NL"/>
              </w:rPr>
              <w:t>Name</w:t>
            </w:r>
          </w:p>
        </w:tc>
        <w:tc>
          <w:tcPr>
            <w:tcW w:w="1559" w:type="dxa"/>
          </w:tcPr>
          <w:p w:rsidR="00C1273C" w:rsidRPr="00030B29" w:rsidRDefault="00C1273C" w:rsidP="00BD70C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nl-NL"/>
              </w:rPr>
            </w:pPr>
            <w:r w:rsidRPr="00030B29">
              <w:rPr>
                <w:rFonts w:cstheme="minorHAnsi"/>
                <w:sz w:val="18"/>
                <w:szCs w:val="18"/>
                <w:lang w:eastAsia="nl-NL"/>
              </w:rPr>
              <w:t>Type</w:t>
            </w:r>
          </w:p>
          <w:p w:rsidR="00C1273C" w:rsidRPr="00030B29" w:rsidRDefault="00C1273C" w:rsidP="00BD70CD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eastAsia="nl-NL"/>
              </w:rPr>
            </w:pPr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 xml:space="preserve">Arnhem </w:t>
            </w: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Meinerswijk</w:t>
            </w:r>
            <w:proofErr w:type="spellEnd"/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 xml:space="preserve">Castellum </w:t>
            </w:r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B36224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de-DE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de-DE" w:eastAsia="nl-NL"/>
              </w:rPr>
              <w:t>Nijmegen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Castra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Woerden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Utrecht De Meern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 xml:space="preserve">Utrecht </w:t>
            </w: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Domplein</w:t>
            </w:r>
            <w:proofErr w:type="spellEnd"/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Vechten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Rijswijk Roodvoet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 xml:space="preserve">Maurik </w:t>
            </w: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Eckse</w:t>
            </w:r>
            <w:proofErr w:type="spellEnd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 xml:space="preserve"> Waarden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Kesteren Lede en Oude Waard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 xml:space="preserve">Duiven </w:t>
            </w: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Loowaard</w:t>
            </w:r>
            <w:proofErr w:type="spellEnd"/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 xml:space="preserve">Herwen De </w:t>
            </w: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Bijland</w:t>
            </w:r>
            <w:proofErr w:type="spellEnd"/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Randwijk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Driel Baarskamp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 xml:space="preserve">Huissen </w:t>
            </w: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Hazebergh</w:t>
            </w:r>
            <w:proofErr w:type="spellEnd"/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  <w:tr w:rsidR="00C1273C" w:rsidRPr="00030B29" w:rsidTr="00C12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2" w:type="dxa"/>
            <w:noWrap/>
            <w:hideMark/>
          </w:tcPr>
          <w:p w:rsidR="00C1273C" w:rsidRPr="00030B29" w:rsidRDefault="00C1273C" w:rsidP="00DB4706">
            <w:pPr>
              <w:pStyle w:val="Geenafstand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Rossum Kloosterwaard</w:t>
            </w:r>
          </w:p>
        </w:tc>
        <w:tc>
          <w:tcPr>
            <w:tcW w:w="1559" w:type="dxa"/>
          </w:tcPr>
          <w:p w:rsidR="00C1273C" w:rsidRPr="00030B29" w:rsidRDefault="00C1273C" w:rsidP="00DB4706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val="nl-NL" w:eastAsia="nl-NL"/>
              </w:rPr>
              <w:t>Castellum</w:t>
            </w:r>
            <w:proofErr w:type="spellEnd"/>
          </w:p>
        </w:tc>
      </w:tr>
    </w:tbl>
    <w:p w:rsidR="00C1273C" w:rsidRPr="00030B29" w:rsidRDefault="00C1273C" w:rsidP="00DB4706">
      <w:pPr>
        <w:pStyle w:val="Geenafstand"/>
        <w:ind w:left="708"/>
        <w:jc w:val="center"/>
        <w:rPr>
          <w:i/>
          <w:sz w:val="20"/>
        </w:rPr>
      </w:pPr>
    </w:p>
    <w:p w:rsidR="00DB4706" w:rsidRPr="00030B29" w:rsidRDefault="00DB4706" w:rsidP="00FF2AD8">
      <w:pPr>
        <w:pStyle w:val="Geenafstand"/>
        <w:jc w:val="both"/>
        <w:rPr>
          <w:sz w:val="20"/>
        </w:rPr>
      </w:pPr>
    </w:p>
    <w:p w:rsidR="0048758F" w:rsidRPr="00030B29" w:rsidRDefault="0048758F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48758F" w:rsidRPr="00030B29" w:rsidRDefault="00857E8C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With the exception of the </w:t>
      </w:r>
      <w:proofErr w:type="spellStart"/>
      <w:r w:rsidRPr="00030B29">
        <w:rPr>
          <w:i/>
          <w:sz w:val="20"/>
        </w:rPr>
        <w:t>Canabae</w:t>
      </w:r>
      <w:proofErr w:type="spellEnd"/>
      <w:r w:rsidRPr="00030B29">
        <w:rPr>
          <w:i/>
          <w:sz w:val="20"/>
        </w:rPr>
        <w:t xml:space="preserve"> </w:t>
      </w:r>
      <w:proofErr w:type="spellStart"/>
      <w:r w:rsidRPr="00030B29">
        <w:rPr>
          <w:i/>
          <w:sz w:val="20"/>
        </w:rPr>
        <w:t>Legionis</w:t>
      </w:r>
      <w:proofErr w:type="spellEnd"/>
      <w:r w:rsidR="005F0432" w:rsidRPr="00030B29">
        <w:rPr>
          <w:sz w:val="20"/>
        </w:rPr>
        <w:t xml:space="preserve"> located at Nijmegen no large</w:t>
      </w:r>
      <w:r w:rsidRPr="00030B29">
        <w:rPr>
          <w:sz w:val="20"/>
        </w:rPr>
        <w:t xml:space="preserve"> settlements are known</w:t>
      </w:r>
      <w:r w:rsidR="00C1273C" w:rsidRPr="00030B29">
        <w:rPr>
          <w:sz w:val="20"/>
        </w:rPr>
        <w:t xml:space="preserve"> </w:t>
      </w:r>
      <w:r w:rsidR="00D813E7" w:rsidRPr="00030B29">
        <w:rPr>
          <w:sz w:val="20"/>
        </w:rPr>
        <w:t xml:space="preserve">dating to </w:t>
      </w:r>
      <w:r w:rsidR="005F0432" w:rsidRPr="00030B29">
        <w:rPr>
          <w:sz w:val="20"/>
        </w:rPr>
        <w:t>the ERP.</w:t>
      </w:r>
      <w:r w:rsidRPr="00030B29">
        <w:rPr>
          <w:sz w:val="20"/>
        </w:rPr>
        <w:t xml:space="preserve"> </w:t>
      </w:r>
    </w:p>
    <w:p w:rsidR="006F619C" w:rsidRPr="00030B29" w:rsidRDefault="006F619C" w:rsidP="00FF2AD8">
      <w:pPr>
        <w:pStyle w:val="Geenafstand"/>
        <w:jc w:val="both"/>
        <w:rPr>
          <w:sz w:val="20"/>
        </w:rPr>
      </w:pPr>
    </w:p>
    <w:p w:rsidR="004136F4" w:rsidRPr="00030B29" w:rsidRDefault="004136F4" w:rsidP="00641886">
      <w:pPr>
        <w:pStyle w:val="Geenafstand"/>
        <w:ind w:firstLine="708"/>
        <w:jc w:val="both"/>
        <w:rPr>
          <w:sz w:val="20"/>
          <w:u w:val="single"/>
        </w:rPr>
      </w:pPr>
      <w:r w:rsidRPr="00030B29">
        <w:rPr>
          <w:b/>
          <w:sz w:val="20"/>
          <w:u w:val="single"/>
        </w:rPr>
        <w:t>Middle-Roman period</w:t>
      </w:r>
      <w:r w:rsidR="00823685" w:rsidRPr="00030B29">
        <w:rPr>
          <w:b/>
          <w:sz w:val="20"/>
          <w:u w:val="single"/>
        </w:rPr>
        <w:t xml:space="preserve">: AD 70 – 270 </w:t>
      </w:r>
      <w:r w:rsidRPr="00030B29">
        <w:rPr>
          <w:b/>
          <w:sz w:val="20"/>
          <w:u w:val="single"/>
        </w:rPr>
        <w:t>(MRP)</w:t>
      </w:r>
    </w:p>
    <w:p w:rsidR="00E23615" w:rsidRPr="00030B29" w:rsidRDefault="00F32B53" w:rsidP="00F32B53">
      <w:pPr>
        <w:pStyle w:val="Geenafstand"/>
        <w:jc w:val="both"/>
        <w:rPr>
          <w:sz w:val="20"/>
        </w:rPr>
      </w:pPr>
      <w:r w:rsidRPr="00030B29">
        <w:rPr>
          <w:sz w:val="20"/>
        </w:rPr>
        <w:t>The MRP reflects the heydays of Roman occupation. For this period we</w:t>
      </w:r>
      <w:r w:rsidR="00C077FF" w:rsidRPr="00030B29">
        <w:rPr>
          <w:sz w:val="20"/>
        </w:rPr>
        <w:t xml:space="preserve"> have </w:t>
      </w:r>
      <w:r w:rsidRPr="00030B29">
        <w:rPr>
          <w:sz w:val="20"/>
        </w:rPr>
        <w:t xml:space="preserve">calculated an average of 3 houses per settlement, as was already suggested by </w:t>
      </w:r>
      <w:proofErr w:type="spellStart"/>
      <w:r w:rsidR="00E23615" w:rsidRPr="00030B29">
        <w:rPr>
          <w:sz w:val="20"/>
        </w:rPr>
        <w:t>Bloemers</w:t>
      </w:r>
      <w:proofErr w:type="spellEnd"/>
      <w:r w:rsidR="00E23615" w:rsidRPr="00030B29">
        <w:rPr>
          <w:sz w:val="20"/>
        </w:rPr>
        <w:t xml:space="preserve"> (1978). </w:t>
      </w:r>
      <w:r w:rsidR="008A3240" w:rsidRPr="00030B29">
        <w:rPr>
          <w:sz w:val="20"/>
        </w:rPr>
        <w:t xml:space="preserve">Although the number of houses per settlement </w:t>
      </w:r>
      <w:r w:rsidR="0028793C" w:rsidRPr="00030B29">
        <w:rPr>
          <w:sz w:val="20"/>
        </w:rPr>
        <w:t xml:space="preserve">in other studies </w:t>
      </w:r>
      <w:r w:rsidR="008A3240" w:rsidRPr="00030B29">
        <w:rPr>
          <w:sz w:val="20"/>
        </w:rPr>
        <w:t xml:space="preserve">have been suggested to </w:t>
      </w:r>
      <w:r w:rsidR="0028793C" w:rsidRPr="00030B29">
        <w:rPr>
          <w:sz w:val="20"/>
        </w:rPr>
        <w:t xml:space="preserve">have ranged between </w:t>
      </w:r>
      <w:r w:rsidR="008A3240" w:rsidRPr="00030B29">
        <w:rPr>
          <w:sz w:val="20"/>
        </w:rPr>
        <w:t xml:space="preserve">4 </w:t>
      </w:r>
      <w:r w:rsidR="0028793C" w:rsidRPr="00030B29">
        <w:rPr>
          <w:sz w:val="20"/>
        </w:rPr>
        <w:t>and</w:t>
      </w:r>
      <w:r w:rsidR="008A3240" w:rsidRPr="00030B29">
        <w:rPr>
          <w:sz w:val="20"/>
        </w:rPr>
        <w:t xml:space="preserve"> 5</w:t>
      </w:r>
      <w:r w:rsidR="0028793C" w:rsidRPr="00030B29">
        <w:rPr>
          <w:sz w:val="20"/>
        </w:rPr>
        <w:t xml:space="preserve"> during this period</w:t>
      </w:r>
      <w:r w:rsidR="008A3240" w:rsidRPr="00030B29">
        <w:rPr>
          <w:sz w:val="20"/>
        </w:rPr>
        <w:t>, recent r</w:t>
      </w:r>
      <w:r w:rsidR="00E23615" w:rsidRPr="00030B29">
        <w:rPr>
          <w:sz w:val="20"/>
        </w:rPr>
        <w:t xml:space="preserve">esearch </w:t>
      </w:r>
      <w:r w:rsidR="008A3240" w:rsidRPr="00030B29">
        <w:rPr>
          <w:sz w:val="20"/>
        </w:rPr>
        <w:t>by</w:t>
      </w:r>
      <w:r w:rsidR="00E23615" w:rsidRPr="00030B29">
        <w:rPr>
          <w:sz w:val="20"/>
        </w:rPr>
        <w:t xml:space="preserve"> Dijkstra (2011)</w:t>
      </w:r>
      <w:r w:rsidR="008A3240" w:rsidRPr="00030B29">
        <w:rPr>
          <w:sz w:val="20"/>
        </w:rPr>
        <w:t xml:space="preserve"> for the Rhine and Meuse estuaries</w:t>
      </w:r>
      <w:r w:rsidR="00E23615" w:rsidRPr="00030B29">
        <w:rPr>
          <w:sz w:val="20"/>
        </w:rPr>
        <w:t xml:space="preserve"> </w:t>
      </w:r>
      <w:r w:rsidR="0028793C" w:rsidRPr="00030B29">
        <w:rPr>
          <w:sz w:val="20"/>
        </w:rPr>
        <w:t xml:space="preserve">has shown </w:t>
      </w:r>
      <w:r w:rsidR="00E23615" w:rsidRPr="00030B29">
        <w:rPr>
          <w:sz w:val="20"/>
        </w:rPr>
        <w:t>t</w:t>
      </w:r>
      <w:r w:rsidR="008A3240" w:rsidRPr="00030B29">
        <w:rPr>
          <w:sz w:val="20"/>
        </w:rPr>
        <w:t>hat during this period numerous</w:t>
      </w:r>
      <w:r w:rsidR="00E23615" w:rsidRPr="00030B29">
        <w:rPr>
          <w:sz w:val="20"/>
        </w:rPr>
        <w:t xml:space="preserve"> smaller isolated farmsteads were</w:t>
      </w:r>
      <w:r w:rsidR="008A3240" w:rsidRPr="00030B29">
        <w:rPr>
          <w:sz w:val="20"/>
        </w:rPr>
        <w:t xml:space="preserve"> also</w:t>
      </w:r>
      <w:r w:rsidR="00E23615" w:rsidRPr="00030B29">
        <w:rPr>
          <w:sz w:val="20"/>
        </w:rPr>
        <w:t xml:space="preserve"> present in (the </w:t>
      </w:r>
      <w:r w:rsidR="008A3240" w:rsidRPr="00030B29">
        <w:rPr>
          <w:sz w:val="20"/>
        </w:rPr>
        <w:t>western part of) the river area. Dijkstra (2011)</w:t>
      </w:r>
      <w:r w:rsidR="00E23615" w:rsidRPr="00030B29">
        <w:rPr>
          <w:sz w:val="20"/>
        </w:rPr>
        <w:t xml:space="preserve"> </w:t>
      </w:r>
      <w:r w:rsidR="008A3240" w:rsidRPr="00030B29">
        <w:rPr>
          <w:sz w:val="20"/>
        </w:rPr>
        <w:t xml:space="preserve">therefore </w:t>
      </w:r>
      <w:r w:rsidR="00E23615" w:rsidRPr="00030B29">
        <w:rPr>
          <w:sz w:val="20"/>
        </w:rPr>
        <w:t xml:space="preserve">concluded that an average of 2.5 houses per settlement is more likely. However, </w:t>
      </w:r>
      <w:r w:rsidR="00B104A0" w:rsidRPr="00030B29">
        <w:rPr>
          <w:sz w:val="20"/>
        </w:rPr>
        <w:t xml:space="preserve">research of the settlements at </w:t>
      </w:r>
      <w:proofErr w:type="spellStart"/>
      <w:r w:rsidR="00E23615" w:rsidRPr="00030B29">
        <w:rPr>
          <w:i/>
          <w:sz w:val="20"/>
        </w:rPr>
        <w:t>Tiel-Passewaaij</w:t>
      </w:r>
      <w:proofErr w:type="spellEnd"/>
      <w:r w:rsidR="00E23615" w:rsidRPr="00030B29">
        <w:rPr>
          <w:sz w:val="20"/>
        </w:rPr>
        <w:t xml:space="preserve"> and </w:t>
      </w:r>
      <w:proofErr w:type="spellStart"/>
      <w:r w:rsidR="00E23615" w:rsidRPr="00030B29">
        <w:rPr>
          <w:i/>
          <w:sz w:val="20"/>
        </w:rPr>
        <w:t>Wijk</w:t>
      </w:r>
      <w:proofErr w:type="spellEnd"/>
      <w:r w:rsidR="00E23615" w:rsidRPr="00030B29">
        <w:rPr>
          <w:i/>
          <w:sz w:val="20"/>
        </w:rPr>
        <w:t xml:space="preserve"> </w:t>
      </w:r>
      <w:proofErr w:type="spellStart"/>
      <w:r w:rsidR="00E23615" w:rsidRPr="00030B29">
        <w:rPr>
          <w:i/>
          <w:sz w:val="20"/>
        </w:rPr>
        <w:t>bij</w:t>
      </w:r>
      <w:proofErr w:type="spellEnd"/>
      <w:r w:rsidR="00E23615" w:rsidRPr="00030B29">
        <w:rPr>
          <w:i/>
          <w:sz w:val="20"/>
        </w:rPr>
        <w:t xml:space="preserve"> </w:t>
      </w:r>
      <w:proofErr w:type="spellStart"/>
      <w:r w:rsidR="00E23615" w:rsidRPr="00030B29">
        <w:rPr>
          <w:i/>
          <w:sz w:val="20"/>
        </w:rPr>
        <w:t>Duurstede</w:t>
      </w:r>
      <w:proofErr w:type="spellEnd"/>
      <w:r w:rsidR="00E23615" w:rsidRPr="00030B29">
        <w:rPr>
          <w:i/>
          <w:sz w:val="20"/>
        </w:rPr>
        <w:t xml:space="preserve">-De </w:t>
      </w:r>
      <w:proofErr w:type="spellStart"/>
      <w:r w:rsidR="00E23615" w:rsidRPr="00030B29">
        <w:rPr>
          <w:i/>
          <w:sz w:val="20"/>
        </w:rPr>
        <w:t>Horden</w:t>
      </w:r>
      <w:proofErr w:type="spellEnd"/>
      <w:r w:rsidR="00E23615" w:rsidRPr="00030B29">
        <w:rPr>
          <w:sz w:val="20"/>
        </w:rPr>
        <w:t>, both located in the study area</w:t>
      </w:r>
      <w:r w:rsidR="00B104A0" w:rsidRPr="00030B29">
        <w:rPr>
          <w:sz w:val="20"/>
        </w:rPr>
        <w:t>,</w:t>
      </w:r>
      <w:r w:rsidR="00E23615" w:rsidRPr="00030B29">
        <w:rPr>
          <w:sz w:val="20"/>
        </w:rPr>
        <w:t xml:space="preserve"> </w:t>
      </w:r>
      <w:r w:rsidR="00B104A0" w:rsidRPr="00030B29">
        <w:rPr>
          <w:sz w:val="20"/>
        </w:rPr>
        <w:t xml:space="preserve">has shown </w:t>
      </w:r>
      <w:r w:rsidR="00E23615" w:rsidRPr="00030B29">
        <w:rPr>
          <w:sz w:val="20"/>
        </w:rPr>
        <w:t xml:space="preserve">that in these parts </w:t>
      </w:r>
      <w:r w:rsidR="00B104A0" w:rsidRPr="00030B29">
        <w:rPr>
          <w:sz w:val="20"/>
        </w:rPr>
        <w:t>during the 2</w:t>
      </w:r>
      <w:r w:rsidR="00B104A0" w:rsidRPr="00030B29">
        <w:rPr>
          <w:sz w:val="20"/>
          <w:vertAlign w:val="superscript"/>
        </w:rPr>
        <w:t>nd</w:t>
      </w:r>
      <w:r w:rsidR="00B104A0" w:rsidRPr="00030B29">
        <w:rPr>
          <w:sz w:val="20"/>
        </w:rPr>
        <w:t xml:space="preserve"> century </w:t>
      </w:r>
      <w:r w:rsidR="00E23615" w:rsidRPr="00030B29">
        <w:rPr>
          <w:sz w:val="20"/>
        </w:rPr>
        <w:t xml:space="preserve">4 to 5 houses per settlement </w:t>
      </w:r>
      <w:r w:rsidR="00121D25" w:rsidRPr="00030B29">
        <w:rPr>
          <w:sz w:val="20"/>
        </w:rPr>
        <w:t>was</w:t>
      </w:r>
      <w:r w:rsidR="00E23615" w:rsidRPr="00030B29">
        <w:rPr>
          <w:sz w:val="20"/>
        </w:rPr>
        <w:t xml:space="preserve"> </w:t>
      </w:r>
      <w:r w:rsidR="008A3240" w:rsidRPr="00030B29">
        <w:rPr>
          <w:sz w:val="20"/>
        </w:rPr>
        <w:t>not uncommon</w:t>
      </w:r>
      <w:r w:rsidR="00E23615" w:rsidRPr="00030B29">
        <w:rPr>
          <w:sz w:val="20"/>
        </w:rPr>
        <w:t xml:space="preserve">. In order to compensate for these </w:t>
      </w:r>
      <w:r w:rsidR="00402433" w:rsidRPr="00030B29">
        <w:rPr>
          <w:sz w:val="20"/>
        </w:rPr>
        <w:t>discrepancies</w:t>
      </w:r>
      <w:r w:rsidR="00E23615" w:rsidRPr="00030B29">
        <w:rPr>
          <w:sz w:val="20"/>
        </w:rPr>
        <w:t xml:space="preserve"> we</w:t>
      </w:r>
      <w:r w:rsidR="00C077FF" w:rsidRPr="00030B29">
        <w:rPr>
          <w:sz w:val="20"/>
        </w:rPr>
        <w:t xml:space="preserve"> conservatively</w:t>
      </w:r>
      <w:r w:rsidR="00E23615" w:rsidRPr="00030B29">
        <w:rPr>
          <w:sz w:val="20"/>
        </w:rPr>
        <w:t xml:space="preserve"> applied an average of 3 houses per settlement during the MRP</w:t>
      </w:r>
      <w:r w:rsidR="008A3240" w:rsidRPr="00030B29">
        <w:rPr>
          <w:sz w:val="20"/>
        </w:rPr>
        <w:t xml:space="preserve"> (</w:t>
      </w:r>
      <w:r w:rsidR="00BF5119" w:rsidRPr="00030B29">
        <w:rPr>
          <w:sz w:val="20"/>
        </w:rPr>
        <w:t xml:space="preserve">see main text, </w:t>
      </w:r>
      <w:r w:rsidR="008A3240" w:rsidRPr="00030B29">
        <w:rPr>
          <w:sz w:val="20"/>
        </w:rPr>
        <w:t>Table</w:t>
      </w:r>
      <w:r w:rsidR="00664639" w:rsidRPr="00030B29">
        <w:rPr>
          <w:sz w:val="20"/>
        </w:rPr>
        <w:t xml:space="preserve"> 3</w:t>
      </w:r>
      <w:r w:rsidR="008A3240" w:rsidRPr="00030B29">
        <w:rPr>
          <w:sz w:val="20"/>
        </w:rPr>
        <w:t>)</w:t>
      </w:r>
      <w:r w:rsidR="00E23615" w:rsidRPr="00030B29">
        <w:rPr>
          <w:sz w:val="20"/>
        </w:rPr>
        <w:t>.</w:t>
      </w:r>
    </w:p>
    <w:p w:rsidR="004136F4" w:rsidRPr="00030B29" w:rsidRDefault="004136F4" w:rsidP="00FF2AD8">
      <w:pPr>
        <w:pStyle w:val="Geenafstand"/>
        <w:jc w:val="both"/>
        <w:rPr>
          <w:sz w:val="20"/>
        </w:rPr>
      </w:pPr>
    </w:p>
    <w:p w:rsidR="0048758F" w:rsidRPr="00030B29" w:rsidRDefault="0048758F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Military presence</w:t>
      </w:r>
    </w:p>
    <w:p w:rsidR="0048758F" w:rsidRPr="00030B29" w:rsidRDefault="002D38FB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lastRenderedPageBreak/>
        <w:t>M</w:t>
      </w:r>
      <w:r w:rsidR="004367A0" w:rsidRPr="00030B29">
        <w:rPr>
          <w:sz w:val="20"/>
        </w:rPr>
        <w:t>ilitary presence in the</w:t>
      </w:r>
      <w:r w:rsidR="00617114" w:rsidRPr="00030B29">
        <w:rPr>
          <w:sz w:val="20"/>
        </w:rPr>
        <w:t xml:space="preserve"> study area </w:t>
      </w:r>
      <w:r w:rsidRPr="00030B29">
        <w:rPr>
          <w:sz w:val="20"/>
        </w:rPr>
        <w:t xml:space="preserve">during the MRP </w:t>
      </w:r>
      <w:r w:rsidR="00C14B37" w:rsidRPr="00030B29">
        <w:rPr>
          <w:sz w:val="20"/>
        </w:rPr>
        <w:t>was</w:t>
      </w:r>
      <w:r w:rsidR="00617114" w:rsidRPr="00030B29">
        <w:rPr>
          <w:sz w:val="20"/>
        </w:rPr>
        <w:t xml:space="preserve"> dynamic. For </w:t>
      </w:r>
      <w:r w:rsidR="00C14B37" w:rsidRPr="00030B29">
        <w:rPr>
          <w:sz w:val="20"/>
        </w:rPr>
        <w:t xml:space="preserve">the </w:t>
      </w:r>
      <w:r w:rsidR="00617114" w:rsidRPr="00030B29">
        <w:rPr>
          <w:sz w:val="20"/>
        </w:rPr>
        <w:t>population calculations we applied the maximum number of military occupation during this period. Military presence in the</w:t>
      </w:r>
      <w:r w:rsidR="004367A0" w:rsidRPr="00030B29">
        <w:rPr>
          <w:sz w:val="20"/>
        </w:rPr>
        <w:t xml:space="preserve"> </w:t>
      </w:r>
      <w:r w:rsidR="004367A0" w:rsidRPr="00030B29">
        <w:rPr>
          <w:i/>
          <w:sz w:val="20"/>
        </w:rPr>
        <w:t>castella</w:t>
      </w:r>
      <w:r w:rsidR="004367A0" w:rsidRPr="00030B29">
        <w:rPr>
          <w:sz w:val="20"/>
        </w:rPr>
        <w:t xml:space="preserve"> </w:t>
      </w:r>
      <w:r w:rsidR="00C14B37" w:rsidRPr="00030B29">
        <w:rPr>
          <w:sz w:val="20"/>
        </w:rPr>
        <w:t xml:space="preserve">during the MRP was comparable to </w:t>
      </w:r>
      <w:r w:rsidR="004367A0" w:rsidRPr="00030B29">
        <w:rPr>
          <w:sz w:val="20"/>
        </w:rPr>
        <w:t xml:space="preserve">the </w:t>
      </w:r>
      <w:r w:rsidR="00C72A33" w:rsidRPr="00030B29">
        <w:rPr>
          <w:sz w:val="20"/>
        </w:rPr>
        <w:t>final part of the preceding ERP</w:t>
      </w:r>
      <w:r w:rsidR="00C14B37" w:rsidRPr="00030B29">
        <w:rPr>
          <w:sz w:val="20"/>
        </w:rPr>
        <w:t xml:space="preserve">, with </w:t>
      </w:r>
      <w:r w:rsidR="004367A0" w:rsidRPr="00030B29">
        <w:rPr>
          <w:sz w:val="20"/>
        </w:rPr>
        <w:t xml:space="preserve">a total of 14 smaller Roman fortresses </w:t>
      </w:r>
      <w:r w:rsidRPr="00030B29">
        <w:rPr>
          <w:sz w:val="20"/>
        </w:rPr>
        <w:t xml:space="preserve">being </w:t>
      </w:r>
      <w:r w:rsidR="004367A0" w:rsidRPr="00030B29">
        <w:rPr>
          <w:sz w:val="20"/>
        </w:rPr>
        <w:t>located in the study area</w:t>
      </w:r>
      <w:r w:rsidR="00664639" w:rsidRPr="00030B29">
        <w:rPr>
          <w:sz w:val="20"/>
        </w:rPr>
        <w:t xml:space="preserve"> (</w:t>
      </w:r>
      <w:r w:rsidRPr="00030B29">
        <w:rPr>
          <w:sz w:val="20"/>
        </w:rPr>
        <w:t xml:space="preserve">see </w:t>
      </w:r>
      <w:r w:rsidR="00664639" w:rsidRPr="00030B29">
        <w:rPr>
          <w:sz w:val="20"/>
        </w:rPr>
        <w:t>main text</w:t>
      </w:r>
      <w:r w:rsidRPr="00030B29">
        <w:rPr>
          <w:sz w:val="20"/>
        </w:rPr>
        <w:t>,</w:t>
      </w:r>
      <w:r w:rsidR="00664639" w:rsidRPr="00030B29">
        <w:rPr>
          <w:sz w:val="20"/>
        </w:rPr>
        <w:t xml:space="preserve"> Figure 7)</w:t>
      </w:r>
      <w:r w:rsidR="004367A0" w:rsidRPr="00030B29">
        <w:rPr>
          <w:sz w:val="20"/>
        </w:rPr>
        <w:t xml:space="preserve">. Each </w:t>
      </w:r>
      <w:r w:rsidR="004367A0" w:rsidRPr="00030B29">
        <w:rPr>
          <w:i/>
          <w:sz w:val="20"/>
        </w:rPr>
        <w:t>castellum</w:t>
      </w:r>
      <w:r w:rsidR="004367A0" w:rsidRPr="00030B29">
        <w:rPr>
          <w:sz w:val="20"/>
        </w:rPr>
        <w:t xml:space="preserve"> was inhabited by </w:t>
      </w:r>
      <w:r w:rsidR="00C14B37" w:rsidRPr="00030B29">
        <w:rPr>
          <w:sz w:val="20"/>
        </w:rPr>
        <w:t xml:space="preserve">a maximum of </w:t>
      </w:r>
      <w:r w:rsidR="004367A0" w:rsidRPr="00030B29">
        <w:rPr>
          <w:sz w:val="20"/>
        </w:rPr>
        <w:t xml:space="preserve">350 soldiers and each accompanying </w:t>
      </w:r>
      <w:r w:rsidR="004367A0" w:rsidRPr="00030B29">
        <w:rPr>
          <w:i/>
          <w:sz w:val="20"/>
        </w:rPr>
        <w:t>vicus</w:t>
      </w:r>
      <w:r w:rsidR="004367A0" w:rsidRPr="00030B29">
        <w:rPr>
          <w:sz w:val="20"/>
        </w:rPr>
        <w:t xml:space="preserve"> by </w:t>
      </w:r>
      <w:r w:rsidR="00C14B37" w:rsidRPr="00030B29">
        <w:rPr>
          <w:sz w:val="20"/>
        </w:rPr>
        <w:t xml:space="preserve">an equal amount of </w:t>
      </w:r>
      <w:r w:rsidR="004367A0" w:rsidRPr="00030B29">
        <w:rPr>
          <w:sz w:val="20"/>
        </w:rPr>
        <w:t xml:space="preserve">civilians. Roman military presence at Nijmegen </w:t>
      </w:r>
      <w:r w:rsidR="00C14B37" w:rsidRPr="00030B29">
        <w:rPr>
          <w:sz w:val="20"/>
        </w:rPr>
        <w:t>during the MRP was</w:t>
      </w:r>
      <w:r w:rsidR="004367A0" w:rsidRPr="00030B29">
        <w:rPr>
          <w:sz w:val="20"/>
        </w:rPr>
        <w:t xml:space="preserve"> significantly lower than </w:t>
      </w:r>
      <w:r w:rsidR="00C14B37" w:rsidRPr="00030B29">
        <w:rPr>
          <w:sz w:val="20"/>
        </w:rPr>
        <w:t xml:space="preserve">during </w:t>
      </w:r>
      <w:r w:rsidR="004367A0" w:rsidRPr="00030B29">
        <w:rPr>
          <w:sz w:val="20"/>
        </w:rPr>
        <w:t xml:space="preserve">the preceding </w:t>
      </w:r>
      <w:r w:rsidR="00C72A33" w:rsidRPr="00030B29">
        <w:rPr>
          <w:sz w:val="20"/>
        </w:rPr>
        <w:t>ERP</w:t>
      </w:r>
      <w:r w:rsidR="00C14B37" w:rsidRPr="00030B29">
        <w:rPr>
          <w:sz w:val="20"/>
        </w:rPr>
        <w:t xml:space="preserve">, consisting of no more than </w:t>
      </w:r>
      <w:r w:rsidR="00C72A33" w:rsidRPr="00030B29">
        <w:rPr>
          <w:sz w:val="20"/>
        </w:rPr>
        <w:t>1</w:t>
      </w:r>
      <w:r w:rsidR="00664639" w:rsidRPr="00030B29">
        <w:rPr>
          <w:sz w:val="20"/>
        </w:rPr>
        <w:t>,</w:t>
      </w:r>
      <w:r w:rsidR="00C72A33" w:rsidRPr="00030B29">
        <w:rPr>
          <w:sz w:val="20"/>
        </w:rPr>
        <w:t>000 soldiers</w:t>
      </w:r>
      <w:r w:rsidR="00C14B37" w:rsidRPr="00030B29">
        <w:t xml:space="preserve"> </w:t>
      </w:r>
      <w:r w:rsidR="00C14B37" w:rsidRPr="00030B29">
        <w:rPr>
          <w:sz w:val="20"/>
        </w:rPr>
        <w:t xml:space="preserve">LRP (Oral communication </w:t>
      </w:r>
      <w:proofErr w:type="spellStart"/>
      <w:r w:rsidR="00C14B37" w:rsidRPr="00030B29">
        <w:rPr>
          <w:sz w:val="20"/>
        </w:rPr>
        <w:t>Dr.</w:t>
      </w:r>
      <w:proofErr w:type="spellEnd"/>
      <w:r w:rsidR="00C14B37" w:rsidRPr="00030B29">
        <w:rPr>
          <w:sz w:val="20"/>
        </w:rPr>
        <w:t xml:space="preserve"> S. </w:t>
      </w:r>
      <w:proofErr w:type="spellStart"/>
      <w:r w:rsidR="00C14B37" w:rsidRPr="00030B29">
        <w:rPr>
          <w:sz w:val="20"/>
        </w:rPr>
        <w:t>Heeren</w:t>
      </w:r>
      <w:proofErr w:type="spellEnd"/>
      <w:r w:rsidR="00C14B37" w:rsidRPr="00030B29">
        <w:rPr>
          <w:sz w:val="20"/>
        </w:rPr>
        <w:t xml:space="preserve">, 2016; </w:t>
      </w:r>
      <w:proofErr w:type="spellStart"/>
      <w:r w:rsidR="00C14B37" w:rsidRPr="00030B29">
        <w:rPr>
          <w:sz w:val="20"/>
        </w:rPr>
        <w:t>Brulet</w:t>
      </w:r>
      <w:proofErr w:type="spellEnd"/>
      <w:r w:rsidR="00C14B37" w:rsidRPr="00030B29">
        <w:rPr>
          <w:sz w:val="20"/>
        </w:rPr>
        <w:t>, 2017).</w:t>
      </w:r>
      <w:r w:rsidR="00C72A33" w:rsidRPr="00030B29">
        <w:rPr>
          <w:sz w:val="20"/>
        </w:rPr>
        <w:t xml:space="preserve"> After the 10</w:t>
      </w:r>
      <w:r w:rsidR="00C72A33" w:rsidRPr="00030B29">
        <w:rPr>
          <w:sz w:val="20"/>
          <w:vertAlign w:val="superscript"/>
        </w:rPr>
        <w:t>th</w:t>
      </w:r>
      <w:r w:rsidR="00C72A33" w:rsidRPr="00030B29">
        <w:rPr>
          <w:sz w:val="20"/>
        </w:rPr>
        <w:t xml:space="preserve"> legion left the region in AD 103</w:t>
      </w:r>
      <w:r w:rsidR="00C14B37" w:rsidRPr="00030B29">
        <w:rPr>
          <w:sz w:val="20"/>
        </w:rPr>
        <w:t>-</w:t>
      </w:r>
      <w:r w:rsidR="00C72A33" w:rsidRPr="00030B29">
        <w:rPr>
          <w:sz w:val="20"/>
        </w:rPr>
        <w:t>104</w:t>
      </w:r>
      <w:r w:rsidR="00C14B37" w:rsidRPr="00030B29">
        <w:rPr>
          <w:sz w:val="20"/>
        </w:rPr>
        <w:t>,</w:t>
      </w:r>
      <w:r w:rsidR="00C72A33" w:rsidRPr="00030B29">
        <w:rPr>
          <w:sz w:val="20"/>
        </w:rPr>
        <w:t xml:space="preserve"> little is known about the occupation of the </w:t>
      </w:r>
      <w:r w:rsidR="00C72A33" w:rsidRPr="00030B29">
        <w:rPr>
          <w:i/>
          <w:sz w:val="20"/>
        </w:rPr>
        <w:t>castra</w:t>
      </w:r>
      <w:r w:rsidR="00C72A33" w:rsidRPr="00030B29">
        <w:rPr>
          <w:sz w:val="20"/>
        </w:rPr>
        <w:t>.</w:t>
      </w:r>
      <w:r w:rsidR="006F619C" w:rsidRPr="00030B29">
        <w:rPr>
          <w:sz w:val="20"/>
        </w:rPr>
        <w:t xml:space="preserve"> It is however clear that in the wake of the 10</w:t>
      </w:r>
      <w:r w:rsidR="006F619C" w:rsidRPr="00030B29">
        <w:rPr>
          <w:sz w:val="20"/>
          <w:vertAlign w:val="superscript"/>
        </w:rPr>
        <w:t>th</w:t>
      </w:r>
      <w:r w:rsidR="006F619C" w:rsidRPr="00030B29">
        <w:rPr>
          <w:sz w:val="20"/>
        </w:rPr>
        <w:t xml:space="preserve"> legion</w:t>
      </w:r>
      <w:r w:rsidR="00C72A33" w:rsidRPr="00030B29">
        <w:rPr>
          <w:sz w:val="20"/>
        </w:rPr>
        <w:t xml:space="preserve"> </w:t>
      </w:r>
      <w:r w:rsidR="006F619C" w:rsidRPr="00030B29">
        <w:rPr>
          <w:sz w:val="20"/>
        </w:rPr>
        <w:t xml:space="preserve">the </w:t>
      </w:r>
      <w:proofErr w:type="spellStart"/>
      <w:r w:rsidR="006F619C" w:rsidRPr="00030B29">
        <w:rPr>
          <w:i/>
          <w:sz w:val="20"/>
        </w:rPr>
        <w:t>Canabae</w:t>
      </w:r>
      <w:proofErr w:type="spellEnd"/>
      <w:r w:rsidR="006F619C" w:rsidRPr="00030B29">
        <w:rPr>
          <w:i/>
          <w:sz w:val="20"/>
        </w:rPr>
        <w:t xml:space="preserve"> </w:t>
      </w:r>
      <w:proofErr w:type="spellStart"/>
      <w:r w:rsidR="006F619C" w:rsidRPr="00030B29">
        <w:rPr>
          <w:i/>
          <w:sz w:val="20"/>
        </w:rPr>
        <w:t>Legionis</w:t>
      </w:r>
      <w:proofErr w:type="spellEnd"/>
      <w:r w:rsidR="006F619C" w:rsidRPr="00030B29">
        <w:rPr>
          <w:i/>
          <w:sz w:val="20"/>
        </w:rPr>
        <w:t xml:space="preserve"> </w:t>
      </w:r>
      <w:r w:rsidR="006F619C" w:rsidRPr="00030B29">
        <w:rPr>
          <w:sz w:val="20"/>
        </w:rPr>
        <w:t xml:space="preserve">was completely abandoned. </w:t>
      </w:r>
      <w:r w:rsidR="00C72A33" w:rsidRPr="00030B29">
        <w:rPr>
          <w:sz w:val="20"/>
        </w:rPr>
        <w:t>Around AD 121</w:t>
      </w:r>
      <w:r w:rsidRPr="00030B29">
        <w:rPr>
          <w:sz w:val="20"/>
        </w:rPr>
        <w:t xml:space="preserve"> the</w:t>
      </w:r>
      <w:r w:rsidR="00C72A33" w:rsidRPr="00030B29">
        <w:rPr>
          <w:sz w:val="20"/>
        </w:rPr>
        <w:t xml:space="preserve"> </w:t>
      </w:r>
      <w:proofErr w:type="spellStart"/>
      <w:r w:rsidR="00C72A33" w:rsidRPr="00030B29">
        <w:rPr>
          <w:i/>
          <w:sz w:val="20"/>
        </w:rPr>
        <w:t>Legio</w:t>
      </w:r>
      <w:proofErr w:type="spellEnd"/>
      <w:r w:rsidR="00C72A33" w:rsidRPr="00030B29">
        <w:rPr>
          <w:i/>
          <w:sz w:val="20"/>
        </w:rPr>
        <w:t xml:space="preserve"> IX </w:t>
      </w:r>
      <w:proofErr w:type="spellStart"/>
      <w:r w:rsidR="00C72A33" w:rsidRPr="00030B29">
        <w:rPr>
          <w:i/>
          <w:sz w:val="20"/>
        </w:rPr>
        <w:t>Hispana</w:t>
      </w:r>
      <w:proofErr w:type="spellEnd"/>
      <w:r w:rsidR="00C72A33" w:rsidRPr="00030B29">
        <w:rPr>
          <w:i/>
          <w:sz w:val="20"/>
        </w:rPr>
        <w:t xml:space="preserve"> </w:t>
      </w:r>
      <w:r w:rsidR="00C72A33" w:rsidRPr="00030B29">
        <w:rPr>
          <w:sz w:val="20"/>
        </w:rPr>
        <w:t>(9</w:t>
      </w:r>
      <w:r w:rsidR="00C72A33" w:rsidRPr="00030B29">
        <w:rPr>
          <w:sz w:val="20"/>
          <w:vertAlign w:val="superscript"/>
        </w:rPr>
        <w:t>th</w:t>
      </w:r>
      <w:r w:rsidR="00C72A33" w:rsidRPr="00030B29">
        <w:rPr>
          <w:sz w:val="20"/>
        </w:rPr>
        <w:t xml:space="preserve"> legion)</w:t>
      </w:r>
      <w:r w:rsidR="00087B13" w:rsidRPr="00030B29">
        <w:rPr>
          <w:sz w:val="20"/>
        </w:rPr>
        <w:t xml:space="preserve">, or at least a part of it, </w:t>
      </w:r>
      <w:r w:rsidR="00C14B37" w:rsidRPr="00030B29">
        <w:rPr>
          <w:sz w:val="20"/>
        </w:rPr>
        <w:t xml:space="preserve">briefly </w:t>
      </w:r>
      <w:r w:rsidR="00C72A33" w:rsidRPr="00030B29">
        <w:rPr>
          <w:sz w:val="20"/>
        </w:rPr>
        <w:t xml:space="preserve">appears to have stayed at Nijmegen, but </w:t>
      </w:r>
      <w:r w:rsidR="00C14B37" w:rsidRPr="00030B29">
        <w:rPr>
          <w:sz w:val="20"/>
        </w:rPr>
        <w:t xml:space="preserve">for the period </w:t>
      </w:r>
      <w:r w:rsidR="00C72A33" w:rsidRPr="00030B29">
        <w:rPr>
          <w:sz w:val="20"/>
        </w:rPr>
        <w:t xml:space="preserve">after AD 125 little </w:t>
      </w:r>
      <w:r w:rsidR="00C14B37" w:rsidRPr="00030B29">
        <w:rPr>
          <w:sz w:val="20"/>
        </w:rPr>
        <w:t xml:space="preserve">additional information is available regarding </w:t>
      </w:r>
      <w:r w:rsidR="00C72A33" w:rsidRPr="00030B29">
        <w:rPr>
          <w:sz w:val="20"/>
        </w:rPr>
        <w:t xml:space="preserve">military occupation of the </w:t>
      </w:r>
      <w:r w:rsidR="00C72A33" w:rsidRPr="00030B29">
        <w:rPr>
          <w:i/>
          <w:sz w:val="20"/>
        </w:rPr>
        <w:t>castra</w:t>
      </w:r>
      <w:r w:rsidR="00C72A33" w:rsidRPr="00030B29">
        <w:rPr>
          <w:sz w:val="20"/>
        </w:rPr>
        <w:t xml:space="preserve"> (</w:t>
      </w:r>
      <w:proofErr w:type="spellStart"/>
      <w:r w:rsidR="00C72A33" w:rsidRPr="00030B29">
        <w:rPr>
          <w:sz w:val="20"/>
        </w:rPr>
        <w:t>Bechert</w:t>
      </w:r>
      <w:proofErr w:type="spellEnd"/>
      <w:r w:rsidR="00664639" w:rsidRPr="00030B29">
        <w:rPr>
          <w:sz w:val="20"/>
        </w:rPr>
        <w:t xml:space="preserve"> &amp; </w:t>
      </w:r>
      <w:r w:rsidR="00C72A33" w:rsidRPr="00030B29">
        <w:rPr>
          <w:sz w:val="20"/>
        </w:rPr>
        <w:t>Willems, 1995)</w:t>
      </w:r>
      <w:r w:rsidR="00664639" w:rsidRPr="00030B29">
        <w:rPr>
          <w:sz w:val="20"/>
        </w:rPr>
        <w:t>.</w:t>
      </w:r>
    </w:p>
    <w:p w:rsidR="00B53B53" w:rsidRPr="00030B29" w:rsidRDefault="00B53B53" w:rsidP="00B53B53">
      <w:pPr>
        <w:pStyle w:val="Geenafstand"/>
        <w:jc w:val="center"/>
        <w:rPr>
          <w:sz w:val="20"/>
        </w:rPr>
      </w:pPr>
    </w:p>
    <w:p w:rsidR="004136F4" w:rsidRPr="00030B29" w:rsidRDefault="005F2F6D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9B6AA0" w:rsidRPr="00030B29" w:rsidRDefault="00EB21E3" w:rsidP="00664639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During the MRP large settlements developed (or were founded) as rural centres or </w:t>
      </w:r>
      <w:r w:rsidRPr="00030B29">
        <w:rPr>
          <w:i/>
          <w:sz w:val="20"/>
        </w:rPr>
        <w:t>civitas</w:t>
      </w:r>
      <w:r w:rsidRPr="00030B29">
        <w:rPr>
          <w:sz w:val="20"/>
        </w:rPr>
        <w:t xml:space="preserve"> capital</w:t>
      </w:r>
      <w:r w:rsidR="00C14B37" w:rsidRPr="00030B29">
        <w:rPr>
          <w:sz w:val="20"/>
        </w:rPr>
        <w:t>s</w:t>
      </w:r>
      <w:r w:rsidRPr="00030B29">
        <w:rPr>
          <w:sz w:val="20"/>
        </w:rPr>
        <w:t xml:space="preserve"> in the study area. Based on archaeological research 5 large s</w:t>
      </w:r>
      <w:r w:rsidR="00664639" w:rsidRPr="00030B29">
        <w:rPr>
          <w:sz w:val="20"/>
        </w:rPr>
        <w:t>ettlements could be identified (</w:t>
      </w:r>
      <w:r w:rsidR="002D38FB" w:rsidRPr="00030B29">
        <w:rPr>
          <w:sz w:val="20"/>
        </w:rPr>
        <w:t xml:space="preserve">see </w:t>
      </w:r>
      <w:r w:rsidR="00664639" w:rsidRPr="00030B29">
        <w:rPr>
          <w:sz w:val="20"/>
        </w:rPr>
        <w:t>main text</w:t>
      </w:r>
      <w:r w:rsidR="002D38FB" w:rsidRPr="00030B29">
        <w:rPr>
          <w:sz w:val="20"/>
        </w:rPr>
        <w:t>,</w:t>
      </w:r>
      <w:r w:rsidR="00664639" w:rsidRPr="00030B29">
        <w:rPr>
          <w:sz w:val="20"/>
        </w:rPr>
        <w:t xml:space="preserve"> Table 5</w:t>
      </w:r>
      <w:r w:rsidR="002D38FB" w:rsidRPr="00030B29">
        <w:rPr>
          <w:sz w:val="20"/>
        </w:rPr>
        <w:t xml:space="preserve"> and</w:t>
      </w:r>
      <w:r w:rsidR="00664639" w:rsidRPr="00030B29">
        <w:rPr>
          <w:sz w:val="20"/>
        </w:rPr>
        <w:t xml:space="preserve"> Figure 6)</w:t>
      </w:r>
      <w:r w:rsidRPr="00030B29">
        <w:rPr>
          <w:sz w:val="20"/>
        </w:rPr>
        <w:t>. For each of these large settlement</w:t>
      </w:r>
      <w:r w:rsidR="00C14B37" w:rsidRPr="00030B29">
        <w:rPr>
          <w:sz w:val="20"/>
        </w:rPr>
        <w:t>s,</w:t>
      </w:r>
      <w:r w:rsidRPr="00030B29">
        <w:rPr>
          <w:sz w:val="20"/>
        </w:rPr>
        <w:t xml:space="preserve"> population numbers were individually calculated based on published demographic reconstructions </w:t>
      </w:r>
      <w:r w:rsidR="00BE1BBB" w:rsidRPr="00030B29">
        <w:rPr>
          <w:sz w:val="20"/>
        </w:rPr>
        <w:t>and</w:t>
      </w:r>
      <w:r w:rsidRPr="00030B29">
        <w:rPr>
          <w:sz w:val="20"/>
        </w:rPr>
        <w:t xml:space="preserve"> </w:t>
      </w:r>
      <w:r w:rsidR="00C14B37" w:rsidRPr="00030B29">
        <w:rPr>
          <w:sz w:val="20"/>
        </w:rPr>
        <w:t xml:space="preserve">on </w:t>
      </w:r>
      <w:r w:rsidRPr="00030B29">
        <w:rPr>
          <w:sz w:val="20"/>
        </w:rPr>
        <w:t>settlement size</w:t>
      </w:r>
      <w:r w:rsidR="00C14B37" w:rsidRPr="00030B29">
        <w:rPr>
          <w:sz w:val="20"/>
        </w:rPr>
        <w:t xml:space="preserve">. The latter approach, which was applied in cases that </w:t>
      </w:r>
      <w:r w:rsidRPr="00030B29">
        <w:rPr>
          <w:sz w:val="20"/>
        </w:rPr>
        <w:t xml:space="preserve">the surface area of </w:t>
      </w:r>
      <w:r w:rsidR="006A3284" w:rsidRPr="00030B29">
        <w:rPr>
          <w:sz w:val="20"/>
        </w:rPr>
        <w:t xml:space="preserve">a </w:t>
      </w:r>
      <w:r w:rsidRPr="00030B29">
        <w:rPr>
          <w:sz w:val="20"/>
        </w:rPr>
        <w:t>s</w:t>
      </w:r>
      <w:r w:rsidR="00565D68" w:rsidRPr="00030B29">
        <w:rPr>
          <w:sz w:val="20"/>
        </w:rPr>
        <w:t xml:space="preserve">ettlement is known but no </w:t>
      </w:r>
      <w:r w:rsidR="00C14B37" w:rsidRPr="00030B29">
        <w:rPr>
          <w:sz w:val="20"/>
        </w:rPr>
        <w:t xml:space="preserve">publications are available containing </w:t>
      </w:r>
      <w:r w:rsidR="00565D68" w:rsidRPr="00030B29">
        <w:rPr>
          <w:sz w:val="20"/>
        </w:rPr>
        <w:t xml:space="preserve">population </w:t>
      </w:r>
      <w:r w:rsidR="00C14B37" w:rsidRPr="00030B29">
        <w:rPr>
          <w:sz w:val="20"/>
        </w:rPr>
        <w:t>estimates (</w:t>
      </w:r>
      <w:r w:rsidR="00565D68" w:rsidRPr="00030B29">
        <w:rPr>
          <w:sz w:val="20"/>
        </w:rPr>
        <w:t xml:space="preserve">e.g. Rossum and </w:t>
      </w:r>
      <w:proofErr w:type="spellStart"/>
      <w:r w:rsidR="00565D68" w:rsidRPr="00030B29">
        <w:rPr>
          <w:sz w:val="20"/>
        </w:rPr>
        <w:t>Wijchen</w:t>
      </w:r>
      <w:proofErr w:type="spellEnd"/>
      <w:r w:rsidR="00C14B37" w:rsidRPr="00030B29">
        <w:rPr>
          <w:sz w:val="20"/>
        </w:rPr>
        <w:t>)</w:t>
      </w:r>
      <w:r w:rsidR="00565D68" w:rsidRPr="00030B29">
        <w:rPr>
          <w:sz w:val="20"/>
        </w:rPr>
        <w:t xml:space="preserve">, </w:t>
      </w:r>
      <w:r w:rsidR="00C14B37" w:rsidRPr="00030B29">
        <w:rPr>
          <w:sz w:val="20"/>
        </w:rPr>
        <w:t xml:space="preserve">consisted of applying </w:t>
      </w:r>
      <w:r w:rsidR="00565D68" w:rsidRPr="00030B29">
        <w:rPr>
          <w:sz w:val="20"/>
        </w:rPr>
        <w:t xml:space="preserve">population density per hectare </w:t>
      </w:r>
      <w:r w:rsidR="006A3284" w:rsidRPr="00030B29">
        <w:rPr>
          <w:sz w:val="20"/>
        </w:rPr>
        <w:t xml:space="preserve">calculated using data from </w:t>
      </w:r>
      <w:r w:rsidR="00565D68" w:rsidRPr="00030B29">
        <w:rPr>
          <w:sz w:val="20"/>
        </w:rPr>
        <w:t>large settlements</w:t>
      </w:r>
      <w:r w:rsidR="006A3284" w:rsidRPr="00030B29">
        <w:rPr>
          <w:sz w:val="20"/>
        </w:rPr>
        <w:t xml:space="preserve"> of which population estimates do exist</w:t>
      </w:r>
      <w:r w:rsidR="00565D68" w:rsidRPr="00030B29">
        <w:rPr>
          <w:sz w:val="20"/>
        </w:rPr>
        <w:t>.</w:t>
      </w:r>
    </w:p>
    <w:p w:rsidR="009B6AA0" w:rsidRPr="00030B29" w:rsidRDefault="009B6AA0" w:rsidP="00FF2AD8">
      <w:pPr>
        <w:pStyle w:val="Geenafstand"/>
        <w:jc w:val="both"/>
        <w:rPr>
          <w:sz w:val="20"/>
        </w:rPr>
      </w:pPr>
    </w:p>
    <w:p w:rsidR="004136F4" w:rsidRPr="00030B29" w:rsidRDefault="004136F4" w:rsidP="00D577FC">
      <w:pPr>
        <w:pStyle w:val="Geenafstand"/>
        <w:ind w:firstLine="708"/>
        <w:jc w:val="both"/>
        <w:rPr>
          <w:sz w:val="20"/>
          <w:u w:val="single"/>
        </w:rPr>
      </w:pPr>
      <w:r w:rsidRPr="00030B29">
        <w:rPr>
          <w:b/>
          <w:sz w:val="20"/>
          <w:u w:val="single"/>
        </w:rPr>
        <w:t>Late-Roman period</w:t>
      </w:r>
      <w:r w:rsidR="00823685" w:rsidRPr="00030B29">
        <w:rPr>
          <w:b/>
          <w:sz w:val="20"/>
          <w:u w:val="single"/>
        </w:rPr>
        <w:t xml:space="preserve">: AD 270 – 450 </w:t>
      </w:r>
      <w:r w:rsidRPr="00030B29">
        <w:rPr>
          <w:b/>
          <w:sz w:val="20"/>
          <w:u w:val="single"/>
        </w:rPr>
        <w:t>(LRP)</w:t>
      </w:r>
      <w:r w:rsidR="00D577FC" w:rsidRPr="00030B29">
        <w:rPr>
          <w:sz w:val="20"/>
        </w:rPr>
        <w:t xml:space="preserve"> </w:t>
      </w:r>
    </w:p>
    <w:p w:rsidR="00D577FC" w:rsidRPr="00030B29" w:rsidRDefault="00D577FC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 study area during the LRP </w:t>
      </w:r>
      <w:r w:rsidR="00A431C5" w:rsidRPr="00030B29">
        <w:rPr>
          <w:sz w:val="20"/>
        </w:rPr>
        <w:t>underwent</w:t>
      </w:r>
      <w:r w:rsidRPr="00030B29">
        <w:rPr>
          <w:sz w:val="20"/>
        </w:rPr>
        <w:t xml:space="preserve"> a major demographic decline. During this last</w:t>
      </w:r>
      <w:r w:rsidR="0076447E" w:rsidRPr="00030B29">
        <w:rPr>
          <w:sz w:val="20"/>
        </w:rPr>
        <w:t xml:space="preserve"> phase of the Roman occupation </w:t>
      </w:r>
      <w:r w:rsidR="00A431C5" w:rsidRPr="00030B29">
        <w:rPr>
          <w:sz w:val="20"/>
        </w:rPr>
        <w:t xml:space="preserve">in this area </w:t>
      </w:r>
      <w:r w:rsidR="0076447E" w:rsidRPr="00030B29">
        <w:rPr>
          <w:sz w:val="20"/>
        </w:rPr>
        <w:t xml:space="preserve">not only </w:t>
      </w:r>
      <w:r w:rsidR="002D38FB" w:rsidRPr="00030B29">
        <w:rPr>
          <w:sz w:val="20"/>
        </w:rPr>
        <w:t xml:space="preserve">the </w:t>
      </w:r>
      <w:r w:rsidR="0076447E" w:rsidRPr="00030B29">
        <w:rPr>
          <w:sz w:val="20"/>
        </w:rPr>
        <w:t xml:space="preserve">number of settlements appears to have been much lower, </w:t>
      </w:r>
      <w:r w:rsidR="00A431C5" w:rsidRPr="00030B29">
        <w:rPr>
          <w:sz w:val="20"/>
        </w:rPr>
        <w:t>but in addition</w:t>
      </w:r>
      <w:r w:rsidR="0076447E" w:rsidRPr="00030B29">
        <w:rPr>
          <w:sz w:val="20"/>
        </w:rPr>
        <w:t xml:space="preserve"> settlement size was significantly reduced to </w:t>
      </w:r>
      <w:r w:rsidR="00A431C5" w:rsidRPr="00030B29">
        <w:rPr>
          <w:sz w:val="20"/>
        </w:rPr>
        <w:t xml:space="preserve">an average of </w:t>
      </w:r>
      <w:r w:rsidR="0076447E" w:rsidRPr="00030B29">
        <w:rPr>
          <w:sz w:val="20"/>
        </w:rPr>
        <w:t>1.5 houses per settlement (</w:t>
      </w:r>
      <w:r w:rsidR="00BF5119" w:rsidRPr="00030B29">
        <w:rPr>
          <w:sz w:val="20"/>
        </w:rPr>
        <w:t xml:space="preserve">see main text, </w:t>
      </w:r>
      <w:r w:rsidR="0076447E" w:rsidRPr="00030B29">
        <w:rPr>
          <w:sz w:val="20"/>
        </w:rPr>
        <w:t>Table</w:t>
      </w:r>
      <w:r w:rsidR="00664639" w:rsidRPr="00030B29">
        <w:rPr>
          <w:sz w:val="20"/>
        </w:rPr>
        <w:t xml:space="preserve"> 3</w:t>
      </w:r>
      <w:r w:rsidR="0076447E" w:rsidRPr="00030B29">
        <w:rPr>
          <w:sz w:val="20"/>
        </w:rPr>
        <w:t xml:space="preserve">). </w:t>
      </w:r>
    </w:p>
    <w:p w:rsidR="00D577FC" w:rsidRPr="00030B29" w:rsidRDefault="00D577FC" w:rsidP="00FF2AD8">
      <w:pPr>
        <w:pStyle w:val="Geenafstand"/>
        <w:jc w:val="both"/>
        <w:rPr>
          <w:sz w:val="20"/>
        </w:rPr>
      </w:pPr>
    </w:p>
    <w:p w:rsidR="008717CA" w:rsidRPr="00030B29" w:rsidRDefault="008717CA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Military presence</w:t>
      </w:r>
    </w:p>
    <w:p w:rsidR="008717CA" w:rsidRPr="00030B29" w:rsidRDefault="00D010A3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Little is known of LRP military presence in the Rhine-Meuse delta.</w:t>
      </w:r>
      <w:r w:rsidR="003D49D2" w:rsidRPr="00030B29">
        <w:rPr>
          <w:sz w:val="20"/>
        </w:rPr>
        <w:t xml:space="preserve"> B</w:t>
      </w:r>
      <w:r w:rsidRPr="00030B29">
        <w:rPr>
          <w:sz w:val="20"/>
        </w:rPr>
        <w:t>ecause of socio-economic and political instability in the Roman Empire numerous changes in defence policies</w:t>
      </w:r>
      <w:r w:rsidR="005F6293" w:rsidRPr="00030B29">
        <w:rPr>
          <w:sz w:val="20"/>
        </w:rPr>
        <w:t xml:space="preserve"> </w:t>
      </w:r>
      <w:r w:rsidRPr="00030B29">
        <w:rPr>
          <w:sz w:val="20"/>
        </w:rPr>
        <w:t>occur</w:t>
      </w:r>
      <w:r w:rsidR="005F6293" w:rsidRPr="00030B29">
        <w:rPr>
          <w:sz w:val="20"/>
        </w:rPr>
        <w:t>red</w:t>
      </w:r>
      <w:r w:rsidRPr="00030B29">
        <w:rPr>
          <w:sz w:val="20"/>
        </w:rPr>
        <w:t xml:space="preserve"> </w:t>
      </w:r>
      <w:r w:rsidR="005F6293" w:rsidRPr="00030B29">
        <w:rPr>
          <w:sz w:val="20"/>
        </w:rPr>
        <w:t xml:space="preserve">during this period. Additionally, after the fall of the Roman </w:t>
      </w:r>
      <w:r w:rsidR="005F6293" w:rsidRPr="00030B29">
        <w:rPr>
          <w:i/>
          <w:sz w:val="20"/>
        </w:rPr>
        <w:t>limes</w:t>
      </w:r>
      <w:r w:rsidR="005F6293" w:rsidRPr="00030B29">
        <w:rPr>
          <w:sz w:val="20"/>
        </w:rPr>
        <w:t xml:space="preserve"> around AD 270</w:t>
      </w:r>
      <w:r w:rsidRPr="00030B29">
        <w:rPr>
          <w:sz w:val="20"/>
        </w:rPr>
        <w:t xml:space="preserve"> Roman occupation of the study area </w:t>
      </w:r>
      <w:r w:rsidR="005F6293" w:rsidRPr="00030B29">
        <w:rPr>
          <w:sz w:val="20"/>
        </w:rPr>
        <w:t>was</w:t>
      </w:r>
      <w:r w:rsidRPr="00030B29">
        <w:rPr>
          <w:sz w:val="20"/>
        </w:rPr>
        <w:t xml:space="preserve"> not continuous. </w:t>
      </w:r>
      <w:r w:rsidR="00A431C5" w:rsidRPr="00030B29">
        <w:rPr>
          <w:sz w:val="20"/>
        </w:rPr>
        <w:t xml:space="preserve">In order not to underestimate pressure on the landscape, </w:t>
      </w:r>
      <w:r w:rsidRPr="00030B29">
        <w:rPr>
          <w:sz w:val="20"/>
        </w:rPr>
        <w:t xml:space="preserve">we </w:t>
      </w:r>
      <w:r w:rsidR="00C74942" w:rsidRPr="00030B29">
        <w:rPr>
          <w:sz w:val="20"/>
        </w:rPr>
        <w:t xml:space="preserve">incorporated the maximum number of soldiers into </w:t>
      </w:r>
      <w:r w:rsidR="00A431C5" w:rsidRPr="00030B29">
        <w:rPr>
          <w:sz w:val="20"/>
        </w:rPr>
        <w:t xml:space="preserve">the </w:t>
      </w:r>
      <w:r w:rsidR="002C3C40" w:rsidRPr="00030B29">
        <w:rPr>
          <w:sz w:val="20"/>
        </w:rPr>
        <w:t>demographic reconstructions</w:t>
      </w:r>
      <w:r w:rsidR="00A431C5" w:rsidRPr="00030B29">
        <w:rPr>
          <w:sz w:val="20"/>
        </w:rPr>
        <w:t xml:space="preserve"> of the LRP</w:t>
      </w:r>
      <w:r w:rsidR="002C3C40" w:rsidRPr="00030B29">
        <w:rPr>
          <w:sz w:val="20"/>
        </w:rPr>
        <w:t xml:space="preserve">. After the collapse of the </w:t>
      </w:r>
      <w:r w:rsidR="002C3C40" w:rsidRPr="00030B29">
        <w:rPr>
          <w:i/>
          <w:sz w:val="20"/>
        </w:rPr>
        <w:t xml:space="preserve">limes </w:t>
      </w:r>
      <w:r w:rsidR="002C3C40" w:rsidRPr="00030B29">
        <w:rPr>
          <w:sz w:val="20"/>
        </w:rPr>
        <w:t xml:space="preserve">most </w:t>
      </w:r>
      <w:r w:rsidR="002C3C40" w:rsidRPr="00030B29">
        <w:rPr>
          <w:i/>
          <w:sz w:val="20"/>
        </w:rPr>
        <w:t>castella</w:t>
      </w:r>
      <w:r w:rsidR="002C3C40" w:rsidRPr="00030B29">
        <w:rPr>
          <w:sz w:val="20"/>
        </w:rPr>
        <w:t xml:space="preserve"> were abandoned and other military sites developed</w:t>
      </w:r>
      <w:r w:rsidR="00D6123B" w:rsidRPr="00030B29">
        <w:rPr>
          <w:sz w:val="20"/>
        </w:rPr>
        <w:t xml:space="preserve">. </w:t>
      </w:r>
      <w:r w:rsidR="00A759DC" w:rsidRPr="00030B29">
        <w:rPr>
          <w:sz w:val="20"/>
        </w:rPr>
        <w:t xml:space="preserve">Only a few of </w:t>
      </w:r>
      <w:r w:rsidR="00D6123B" w:rsidRPr="00030B29">
        <w:rPr>
          <w:sz w:val="20"/>
        </w:rPr>
        <w:t xml:space="preserve">these late-Roman military sites </w:t>
      </w:r>
      <w:r w:rsidR="00A759DC" w:rsidRPr="00030B29">
        <w:rPr>
          <w:sz w:val="20"/>
        </w:rPr>
        <w:t>are known</w:t>
      </w:r>
      <w:r w:rsidR="00D6123B" w:rsidRPr="00030B29">
        <w:rPr>
          <w:sz w:val="20"/>
        </w:rPr>
        <w:t xml:space="preserve">. Therefore </w:t>
      </w:r>
      <w:r w:rsidR="004C70C1" w:rsidRPr="00030B29">
        <w:rPr>
          <w:sz w:val="20"/>
        </w:rPr>
        <w:t xml:space="preserve">an estimate is </w:t>
      </w:r>
      <w:r w:rsidR="00A431C5" w:rsidRPr="00030B29">
        <w:rPr>
          <w:sz w:val="20"/>
        </w:rPr>
        <w:t xml:space="preserve">only </w:t>
      </w:r>
      <w:r w:rsidR="004C70C1" w:rsidRPr="00030B29">
        <w:rPr>
          <w:sz w:val="20"/>
        </w:rPr>
        <w:t xml:space="preserve">possible </w:t>
      </w:r>
      <w:r w:rsidR="00A431C5" w:rsidRPr="00030B29">
        <w:rPr>
          <w:sz w:val="20"/>
        </w:rPr>
        <w:t xml:space="preserve">using </w:t>
      </w:r>
      <w:r w:rsidR="00D6123B" w:rsidRPr="00030B29">
        <w:rPr>
          <w:sz w:val="20"/>
        </w:rPr>
        <w:t>available data</w:t>
      </w:r>
      <w:r w:rsidR="004C70C1" w:rsidRPr="00030B29">
        <w:rPr>
          <w:sz w:val="20"/>
        </w:rPr>
        <w:t xml:space="preserve"> </w:t>
      </w:r>
      <w:r w:rsidR="00D6123B" w:rsidRPr="00030B29">
        <w:rPr>
          <w:sz w:val="20"/>
        </w:rPr>
        <w:t xml:space="preserve">on amongst other late-Roman </w:t>
      </w:r>
      <w:proofErr w:type="spellStart"/>
      <w:r w:rsidR="00D6123B" w:rsidRPr="00030B29">
        <w:rPr>
          <w:i/>
          <w:sz w:val="20"/>
        </w:rPr>
        <w:t>burgi</w:t>
      </w:r>
      <w:proofErr w:type="spellEnd"/>
      <w:r w:rsidR="004C70C1" w:rsidRPr="00030B29">
        <w:rPr>
          <w:i/>
          <w:sz w:val="20"/>
        </w:rPr>
        <w:t xml:space="preserve"> </w:t>
      </w:r>
      <w:r w:rsidR="004C70C1" w:rsidRPr="00030B29">
        <w:rPr>
          <w:sz w:val="20"/>
        </w:rPr>
        <w:t xml:space="preserve">like </w:t>
      </w:r>
      <w:proofErr w:type="spellStart"/>
      <w:r w:rsidR="004C70C1" w:rsidRPr="00030B29">
        <w:rPr>
          <w:sz w:val="20"/>
        </w:rPr>
        <w:t>Heumensoord</w:t>
      </w:r>
      <w:proofErr w:type="spellEnd"/>
      <w:r w:rsidR="004C70C1" w:rsidRPr="00030B29">
        <w:rPr>
          <w:sz w:val="20"/>
        </w:rPr>
        <w:t xml:space="preserve">, Goch, </w:t>
      </w:r>
      <w:proofErr w:type="spellStart"/>
      <w:r w:rsidR="004C70C1" w:rsidRPr="00030B29">
        <w:rPr>
          <w:sz w:val="20"/>
        </w:rPr>
        <w:t>Wijchen</w:t>
      </w:r>
      <w:proofErr w:type="spellEnd"/>
      <w:r w:rsidR="004C70C1" w:rsidRPr="00030B29">
        <w:rPr>
          <w:sz w:val="20"/>
        </w:rPr>
        <w:t xml:space="preserve"> (average 20</w:t>
      </w:r>
      <w:r w:rsidR="00A431C5" w:rsidRPr="00030B29">
        <w:rPr>
          <w:sz w:val="20"/>
        </w:rPr>
        <w:t>-</w:t>
      </w:r>
      <w:r w:rsidR="004C70C1" w:rsidRPr="00030B29">
        <w:rPr>
          <w:sz w:val="20"/>
        </w:rPr>
        <w:t>50 soldiers), Nijmegen (</w:t>
      </w:r>
      <w:r w:rsidR="00A431C5" w:rsidRPr="00030B29">
        <w:rPr>
          <w:sz w:val="20"/>
        </w:rPr>
        <w:t xml:space="preserve">ca. </w:t>
      </w:r>
      <w:r w:rsidR="004C70C1" w:rsidRPr="00030B29">
        <w:rPr>
          <w:sz w:val="20"/>
        </w:rPr>
        <w:t xml:space="preserve">1,000 soldiers), </w:t>
      </w:r>
      <w:proofErr w:type="spellStart"/>
      <w:r w:rsidR="004C70C1" w:rsidRPr="00030B29">
        <w:rPr>
          <w:sz w:val="20"/>
        </w:rPr>
        <w:t>Cuijk</w:t>
      </w:r>
      <w:proofErr w:type="spellEnd"/>
      <w:r w:rsidR="004C70C1" w:rsidRPr="00030B29">
        <w:rPr>
          <w:sz w:val="20"/>
        </w:rPr>
        <w:t xml:space="preserve">, </w:t>
      </w:r>
      <w:proofErr w:type="spellStart"/>
      <w:r w:rsidR="004C70C1" w:rsidRPr="00030B29">
        <w:rPr>
          <w:sz w:val="20"/>
        </w:rPr>
        <w:t>Wijk</w:t>
      </w:r>
      <w:proofErr w:type="spellEnd"/>
      <w:r w:rsidR="004C70C1" w:rsidRPr="00030B29">
        <w:rPr>
          <w:sz w:val="20"/>
        </w:rPr>
        <w:t xml:space="preserve"> </w:t>
      </w:r>
      <w:proofErr w:type="spellStart"/>
      <w:r w:rsidR="004C70C1" w:rsidRPr="00030B29">
        <w:rPr>
          <w:sz w:val="20"/>
        </w:rPr>
        <w:t>bij</w:t>
      </w:r>
      <w:proofErr w:type="spellEnd"/>
      <w:r w:rsidR="004C70C1" w:rsidRPr="00030B29">
        <w:rPr>
          <w:sz w:val="20"/>
        </w:rPr>
        <w:t xml:space="preserve"> </w:t>
      </w:r>
      <w:proofErr w:type="spellStart"/>
      <w:r w:rsidR="004C70C1" w:rsidRPr="00030B29">
        <w:rPr>
          <w:sz w:val="20"/>
        </w:rPr>
        <w:t>Duurstede</w:t>
      </w:r>
      <w:proofErr w:type="spellEnd"/>
      <w:r w:rsidR="004C70C1" w:rsidRPr="00030B29">
        <w:rPr>
          <w:sz w:val="20"/>
        </w:rPr>
        <w:t>,</w:t>
      </w:r>
      <w:r w:rsidR="00A431C5" w:rsidRPr="00030B29">
        <w:rPr>
          <w:sz w:val="20"/>
        </w:rPr>
        <w:t xml:space="preserve"> and</w:t>
      </w:r>
      <w:r w:rsidR="004C70C1" w:rsidRPr="00030B29">
        <w:rPr>
          <w:sz w:val="20"/>
        </w:rPr>
        <w:t xml:space="preserve"> Vechten (</w:t>
      </w:r>
      <w:r w:rsidR="00A431C5" w:rsidRPr="00030B29">
        <w:rPr>
          <w:sz w:val="20"/>
        </w:rPr>
        <w:t xml:space="preserve">with the latter three containing ca. </w:t>
      </w:r>
      <w:r w:rsidR="004C70C1" w:rsidRPr="00030B29">
        <w:rPr>
          <w:sz w:val="20"/>
        </w:rPr>
        <w:t>250 soldiers).</w:t>
      </w:r>
      <w:r w:rsidR="004C70C1" w:rsidRPr="00030B29">
        <w:rPr>
          <w:rStyle w:val="Voetnootmarkering"/>
          <w:sz w:val="20"/>
        </w:rPr>
        <w:footnoteReference w:id="1"/>
      </w:r>
      <w:r w:rsidR="004C70C1" w:rsidRPr="00030B29">
        <w:rPr>
          <w:i/>
          <w:sz w:val="20"/>
        </w:rPr>
        <w:t xml:space="preserve"> </w:t>
      </w:r>
      <w:r w:rsidR="00A431C5" w:rsidRPr="00030B29">
        <w:rPr>
          <w:sz w:val="20"/>
        </w:rPr>
        <w:t>Using this approach w</w:t>
      </w:r>
      <w:r w:rsidR="004C70C1" w:rsidRPr="00030B29">
        <w:rPr>
          <w:sz w:val="20"/>
        </w:rPr>
        <w:t>e</w:t>
      </w:r>
      <w:r w:rsidR="00D6123B" w:rsidRPr="00030B29">
        <w:rPr>
          <w:sz w:val="20"/>
        </w:rPr>
        <w:t xml:space="preserve"> estimated the total Roman military presence</w:t>
      </w:r>
      <w:r w:rsidR="004C70C1" w:rsidRPr="00030B29">
        <w:rPr>
          <w:sz w:val="20"/>
        </w:rPr>
        <w:t xml:space="preserve"> during the LRP </w:t>
      </w:r>
      <w:r w:rsidR="00A431C5" w:rsidRPr="00030B29">
        <w:rPr>
          <w:sz w:val="20"/>
        </w:rPr>
        <w:t xml:space="preserve">at </w:t>
      </w:r>
      <w:r w:rsidR="004C70C1" w:rsidRPr="00030B29">
        <w:rPr>
          <w:sz w:val="20"/>
        </w:rPr>
        <w:t>2,500 soldiers.</w:t>
      </w:r>
      <w:r w:rsidR="002C3C40" w:rsidRPr="00030B29">
        <w:rPr>
          <w:sz w:val="20"/>
        </w:rPr>
        <w:t xml:space="preserve"> </w:t>
      </w:r>
    </w:p>
    <w:p w:rsidR="0076447E" w:rsidRPr="00030B29" w:rsidRDefault="0076447E" w:rsidP="00FF2AD8">
      <w:pPr>
        <w:pStyle w:val="Geenafstand"/>
        <w:jc w:val="both"/>
        <w:rPr>
          <w:sz w:val="20"/>
        </w:rPr>
      </w:pPr>
    </w:p>
    <w:p w:rsidR="005F2F6D" w:rsidRPr="00030B29" w:rsidRDefault="005F2F6D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5F2F6D" w:rsidRPr="00030B29" w:rsidRDefault="00A431C5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In the study area n</w:t>
      </w:r>
      <w:r w:rsidR="009608DF" w:rsidRPr="00030B29">
        <w:rPr>
          <w:sz w:val="20"/>
        </w:rPr>
        <w:t>o large settlement</w:t>
      </w:r>
      <w:r w:rsidRPr="00030B29">
        <w:rPr>
          <w:sz w:val="20"/>
        </w:rPr>
        <w:t>s</w:t>
      </w:r>
      <w:r w:rsidR="009608DF" w:rsidRPr="00030B29">
        <w:rPr>
          <w:sz w:val="20"/>
        </w:rPr>
        <w:t xml:space="preserve"> are known </w:t>
      </w:r>
      <w:r w:rsidRPr="00030B29">
        <w:rPr>
          <w:sz w:val="20"/>
        </w:rPr>
        <w:t xml:space="preserve">dating to </w:t>
      </w:r>
      <w:r w:rsidR="009608DF" w:rsidRPr="00030B29">
        <w:rPr>
          <w:sz w:val="20"/>
        </w:rPr>
        <w:t>the</w:t>
      </w:r>
      <w:r w:rsidR="003A560C" w:rsidRPr="00030B29">
        <w:rPr>
          <w:sz w:val="20"/>
        </w:rPr>
        <w:t xml:space="preserve"> late-</w:t>
      </w:r>
      <w:r w:rsidR="009608DF" w:rsidRPr="00030B29">
        <w:rPr>
          <w:sz w:val="20"/>
        </w:rPr>
        <w:t>Roman period.</w:t>
      </w:r>
      <w:r w:rsidR="003A560C" w:rsidRPr="00030B29">
        <w:rPr>
          <w:sz w:val="20"/>
        </w:rPr>
        <w:t xml:space="preserve"> The large settlement</w:t>
      </w:r>
      <w:r w:rsidRPr="00030B29">
        <w:rPr>
          <w:sz w:val="20"/>
        </w:rPr>
        <w:t>s</w:t>
      </w:r>
      <w:r w:rsidR="003A560C" w:rsidRPr="00030B29">
        <w:rPr>
          <w:sz w:val="20"/>
        </w:rPr>
        <w:t xml:space="preserve"> </w:t>
      </w:r>
      <w:r w:rsidRPr="00030B29">
        <w:rPr>
          <w:sz w:val="20"/>
        </w:rPr>
        <w:t>dating to the preceding</w:t>
      </w:r>
      <w:r w:rsidR="003A560C" w:rsidRPr="00030B29">
        <w:rPr>
          <w:sz w:val="20"/>
        </w:rPr>
        <w:t xml:space="preserve"> MRP all </w:t>
      </w:r>
      <w:r w:rsidRPr="00030B29">
        <w:rPr>
          <w:sz w:val="20"/>
        </w:rPr>
        <w:t xml:space="preserve">have yielded archaeological evidence of severe </w:t>
      </w:r>
      <w:r w:rsidR="003A560C" w:rsidRPr="00030B29">
        <w:rPr>
          <w:sz w:val="20"/>
        </w:rPr>
        <w:t xml:space="preserve">depopulation or </w:t>
      </w:r>
      <w:r w:rsidRPr="00030B29">
        <w:rPr>
          <w:sz w:val="20"/>
        </w:rPr>
        <w:t xml:space="preserve">complete </w:t>
      </w:r>
      <w:r w:rsidR="003A560C" w:rsidRPr="00030B29">
        <w:rPr>
          <w:sz w:val="20"/>
        </w:rPr>
        <w:t>abandon</w:t>
      </w:r>
      <w:r w:rsidRPr="00030B29">
        <w:rPr>
          <w:sz w:val="20"/>
        </w:rPr>
        <w:t>ment</w:t>
      </w:r>
      <w:r w:rsidR="003A560C" w:rsidRPr="00030B29">
        <w:rPr>
          <w:sz w:val="20"/>
        </w:rPr>
        <w:t>.</w:t>
      </w:r>
    </w:p>
    <w:p w:rsidR="009608DF" w:rsidRPr="00030B29" w:rsidRDefault="009608DF" w:rsidP="00FF2AD8">
      <w:pPr>
        <w:pStyle w:val="Geenafstand"/>
        <w:jc w:val="both"/>
        <w:rPr>
          <w:sz w:val="20"/>
        </w:rPr>
      </w:pPr>
    </w:p>
    <w:p w:rsidR="001200C4" w:rsidRPr="00030B29" w:rsidRDefault="001200C4" w:rsidP="00FF2AD8">
      <w:pPr>
        <w:pStyle w:val="Geenafstand"/>
        <w:jc w:val="both"/>
        <w:rPr>
          <w:sz w:val="20"/>
        </w:rPr>
      </w:pPr>
    </w:p>
    <w:p w:rsidR="004136F4" w:rsidRPr="00030B29" w:rsidRDefault="004136F4" w:rsidP="00641886">
      <w:pPr>
        <w:pStyle w:val="Geenafstand"/>
        <w:ind w:firstLine="708"/>
        <w:jc w:val="both"/>
        <w:rPr>
          <w:sz w:val="20"/>
        </w:rPr>
      </w:pPr>
      <w:r w:rsidRPr="00030B29">
        <w:rPr>
          <w:b/>
          <w:sz w:val="20"/>
        </w:rPr>
        <w:t>Early-medieval period A</w:t>
      </w:r>
      <w:r w:rsidR="00823685" w:rsidRPr="00030B29">
        <w:rPr>
          <w:b/>
          <w:sz w:val="20"/>
        </w:rPr>
        <w:t>: AD 450 - 525</w:t>
      </w:r>
      <w:r w:rsidRPr="00030B29">
        <w:rPr>
          <w:b/>
          <w:sz w:val="20"/>
        </w:rPr>
        <w:t xml:space="preserve"> (EMPA)</w:t>
      </w:r>
    </w:p>
    <w:p w:rsidR="004136F4" w:rsidRPr="00030B29" w:rsidRDefault="001200C4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During the EMPA the rural population decline</w:t>
      </w:r>
      <w:r w:rsidR="004F7F3F" w:rsidRPr="00030B29">
        <w:rPr>
          <w:sz w:val="20"/>
        </w:rPr>
        <w:t>d</w:t>
      </w:r>
      <w:r w:rsidRPr="00030B29">
        <w:rPr>
          <w:sz w:val="20"/>
        </w:rPr>
        <w:t xml:space="preserve"> even further. After the Roman occupation definitively ended</w:t>
      </w:r>
      <w:r w:rsidR="004F7F3F" w:rsidRPr="00030B29">
        <w:rPr>
          <w:sz w:val="20"/>
        </w:rPr>
        <w:t>,</w:t>
      </w:r>
      <w:r w:rsidRPr="00030B29">
        <w:rPr>
          <w:sz w:val="20"/>
        </w:rPr>
        <w:t xml:space="preserve"> the number of settlements in the study area </w:t>
      </w:r>
      <w:r w:rsidR="006C3F10" w:rsidRPr="00030B29">
        <w:rPr>
          <w:sz w:val="20"/>
        </w:rPr>
        <w:t>decreased</w:t>
      </w:r>
      <w:r w:rsidRPr="00030B29">
        <w:rPr>
          <w:sz w:val="20"/>
        </w:rPr>
        <w:t xml:space="preserve">. Research by Dijkstra (2011) for the Rhine and Meuse estuaries </w:t>
      </w:r>
      <w:r w:rsidR="006C3F10" w:rsidRPr="00030B29">
        <w:rPr>
          <w:sz w:val="20"/>
        </w:rPr>
        <w:t>has shown</w:t>
      </w:r>
      <w:r w:rsidRPr="00030B29">
        <w:rPr>
          <w:sz w:val="20"/>
        </w:rPr>
        <w:t xml:space="preserve"> that settlement size during the EMPA increased slightly to 3-5 houses per settlement. For our reconstructions we have</w:t>
      </w:r>
      <w:r w:rsidR="006C3F10" w:rsidRPr="00030B29">
        <w:rPr>
          <w:sz w:val="20"/>
        </w:rPr>
        <w:t xml:space="preserve"> conservatively set the number of houses </w:t>
      </w:r>
      <w:r w:rsidR="000912F2" w:rsidRPr="00030B29">
        <w:rPr>
          <w:sz w:val="20"/>
        </w:rPr>
        <w:t xml:space="preserve">at </w:t>
      </w:r>
      <w:r w:rsidR="006C3F10" w:rsidRPr="00030B29">
        <w:rPr>
          <w:sz w:val="20"/>
        </w:rPr>
        <w:t xml:space="preserve">an average of 3. </w:t>
      </w:r>
    </w:p>
    <w:p w:rsidR="001200C4" w:rsidRPr="00030B29" w:rsidRDefault="001200C4" w:rsidP="00FF2AD8">
      <w:pPr>
        <w:pStyle w:val="Geenafstand"/>
        <w:jc w:val="both"/>
        <w:rPr>
          <w:sz w:val="20"/>
        </w:rPr>
      </w:pPr>
    </w:p>
    <w:p w:rsidR="006C3F10" w:rsidRPr="00030B29" w:rsidRDefault="006C3F10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Military presence</w:t>
      </w:r>
    </w:p>
    <w:p w:rsidR="006C3F10" w:rsidRPr="00030B29" w:rsidRDefault="000912F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There is no evidence of </w:t>
      </w:r>
      <w:r w:rsidR="00664639" w:rsidRPr="00030B29">
        <w:rPr>
          <w:sz w:val="20"/>
        </w:rPr>
        <w:t xml:space="preserve">centralised </w:t>
      </w:r>
      <w:r w:rsidR="006C3F10" w:rsidRPr="00030B29">
        <w:rPr>
          <w:sz w:val="20"/>
        </w:rPr>
        <w:t xml:space="preserve">military presence </w:t>
      </w:r>
      <w:r w:rsidRPr="00030B29">
        <w:rPr>
          <w:sz w:val="20"/>
        </w:rPr>
        <w:t>during the EMPA</w:t>
      </w:r>
      <w:r w:rsidR="006C3F10" w:rsidRPr="00030B29">
        <w:rPr>
          <w:sz w:val="20"/>
        </w:rPr>
        <w:t xml:space="preserve">. </w:t>
      </w:r>
    </w:p>
    <w:p w:rsidR="006C3F10" w:rsidRPr="00030B29" w:rsidRDefault="006C3F10" w:rsidP="00FF2AD8">
      <w:pPr>
        <w:pStyle w:val="Geenafstand"/>
        <w:jc w:val="both"/>
        <w:rPr>
          <w:sz w:val="20"/>
        </w:rPr>
      </w:pPr>
    </w:p>
    <w:p w:rsidR="005F2F6D" w:rsidRPr="00030B29" w:rsidRDefault="005F2F6D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4136F4" w:rsidRPr="00030B29" w:rsidRDefault="006C3F10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lastRenderedPageBreak/>
        <w:t xml:space="preserve">No large settlements are known </w:t>
      </w:r>
      <w:r w:rsidR="000912F2" w:rsidRPr="00030B29">
        <w:rPr>
          <w:sz w:val="20"/>
        </w:rPr>
        <w:t xml:space="preserve">dating to </w:t>
      </w:r>
      <w:r w:rsidRPr="00030B29">
        <w:rPr>
          <w:sz w:val="20"/>
        </w:rPr>
        <w:t xml:space="preserve">the EMPA. </w:t>
      </w:r>
    </w:p>
    <w:p w:rsidR="006C3F10" w:rsidRPr="00030B29" w:rsidRDefault="006C3F10" w:rsidP="00FF2AD8">
      <w:pPr>
        <w:pStyle w:val="Geenafstand"/>
        <w:jc w:val="both"/>
        <w:rPr>
          <w:sz w:val="20"/>
        </w:rPr>
      </w:pPr>
    </w:p>
    <w:p w:rsidR="004136F4" w:rsidRPr="00030B29" w:rsidRDefault="004136F4" w:rsidP="00641886">
      <w:pPr>
        <w:pStyle w:val="Geenafstand"/>
        <w:ind w:firstLine="708"/>
        <w:jc w:val="both"/>
        <w:rPr>
          <w:sz w:val="20"/>
        </w:rPr>
      </w:pPr>
      <w:r w:rsidRPr="00030B29">
        <w:rPr>
          <w:b/>
          <w:sz w:val="20"/>
        </w:rPr>
        <w:t>Early-medieval period B</w:t>
      </w:r>
      <w:r w:rsidR="00823685" w:rsidRPr="00030B29">
        <w:rPr>
          <w:b/>
          <w:sz w:val="20"/>
        </w:rPr>
        <w:t>: AD 525 - 725</w:t>
      </w:r>
      <w:r w:rsidRPr="00030B29">
        <w:rPr>
          <w:b/>
          <w:sz w:val="20"/>
        </w:rPr>
        <w:t xml:space="preserve"> (EMPB)</w:t>
      </w:r>
    </w:p>
    <w:p w:rsidR="004136F4" w:rsidRPr="00030B29" w:rsidRDefault="006C3F10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During the EMPB the first signs of revival and demographic rise </w:t>
      </w:r>
      <w:r w:rsidR="000912F2" w:rsidRPr="00030B29">
        <w:rPr>
          <w:sz w:val="20"/>
        </w:rPr>
        <w:t xml:space="preserve">occurred </w:t>
      </w:r>
      <w:r w:rsidR="00D02274" w:rsidRPr="00030B29">
        <w:rPr>
          <w:sz w:val="20"/>
        </w:rPr>
        <w:t xml:space="preserve">in </w:t>
      </w:r>
      <w:r w:rsidR="000912F2" w:rsidRPr="00030B29">
        <w:rPr>
          <w:sz w:val="20"/>
        </w:rPr>
        <w:t xml:space="preserve">the </w:t>
      </w:r>
      <w:r w:rsidR="00D02274" w:rsidRPr="00030B29">
        <w:rPr>
          <w:sz w:val="20"/>
        </w:rPr>
        <w:t xml:space="preserve">study area, </w:t>
      </w:r>
      <w:r w:rsidR="00BA734E" w:rsidRPr="00030B29">
        <w:rPr>
          <w:sz w:val="20"/>
        </w:rPr>
        <w:t>which</w:t>
      </w:r>
      <w:r w:rsidR="00D02274" w:rsidRPr="00030B29">
        <w:rPr>
          <w:sz w:val="20"/>
        </w:rPr>
        <w:t xml:space="preserve"> is</w:t>
      </w:r>
      <w:r w:rsidR="00B22C58" w:rsidRPr="00030B29">
        <w:rPr>
          <w:sz w:val="20"/>
        </w:rPr>
        <w:t xml:space="preserve"> mainly</w:t>
      </w:r>
      <w:r w:rsidR="00D02274" w:rsidRPr="00030B29">
        <w:rPr>
          <w:sz w:val="20"/>
        </w:rPr>
        <w:t xml:space="preserve"> reflected by </w:t>
      </w:r>
      <w:r w:rsidR="000912F2" w:rsidRPr="00030B29">
        <w:rPr>
          <w:sz w:val="20"/>
        </w:rPr>
        <w:t xml:space="preserve">an </w:t>
      </w:r>
      <w:r w:rsidR="00D02274" w:rsidRPr="00030B29">
        <w:rPr>
          <w:sz w:val="20"/>
        </w:rPr>
        <w:t>increas</w:t>
      </w:r>
      <w:r w:rsidR="000912F2" w:rsidRPr="00030B29">
        <w:rPr>
          <w:sz w:val="20"/>
        </w:rPr>
        <w:t>ing</w:t>
      </w:r>
      <w:r w:rsidR="00D02274" w:rsidRPr="00030B29">
        <w:rPr>
          <w:sz w:val="20"/>
        </w:rPr>
        <w:t xml:space="preserve"> number of settlements</w:t>
      </w:r>
      <w:r w:rsidR="000912F2" w:rsidRPr="00030B29">
        <w:rPr>
          <w:sz w:val="20"/>
        </w:rPr>
        <w:t xml:space="preserve"> dating to this per</w:t>
      </w:r>
      <w:r w:rsidR="002D38FB" w:rsidRPr="00030B29">
        <w:rPr>
          <w:sz w:val="20"/>
        </w:rPr>
        <w:t>iod</w:t>
      </w:r>
      <w:r w:rsidR="00D02274" w:rsidRPr="00030B29">
        <w:rPr>
          <w:sz w:val="20"/>
        </w:rPr>
        <w:t xml:space="preserve">. According to Dijkstra (2011) settlement size during this period </w:t>
      </w:r>
      <w:r w:rsidR="000912F2" w:rsidRPr="00030B29">
        <w:rPr>
          <w:sz w:val="20"/>
        </w:rPr>
        <w:t xml:space="preserve">was </w:t>
      </w:r>
      <w:r w:rsidR="00D02274" w:rsidRPr="00030B29">
        <w:rPr>
          <w:sz w:val="20"/>
        </w:rPr>
        <w:t xml:space="preserve">similar to </w:t>
      </w:r>
      <w:r w:rsidR="000912F2" w:rsidRPr="00030B29">
        <w:rPr>
          <w:sz w:val="20"/>
        </w:rPr>
        <w:t xml:space="preserve">the preceding period, consisting of </w:t>
      </w:r>
      <w:r w:rsidR="00D02274" w:rsidRPr="00030B29">
        <w:rPr>
          <w:sz w:val="20"/>
        </w:rPr>
        <w:t>3-5 houses. Therefore</w:t>
      </w:r>
      <w:r w:rsidR="00BA734E" w:rsidRPr="00030B29">
        <w:rPr>
          <w:sz w:val="20"/>
        </w:rPr>
        <w:t>,</w:t>
      </w:r>
      <w:r w:rsidR="00D02274" w:rsidRPr="00030B29">
        <w:rPr>
          <w:sz w:val="20"/>
        </w:rPr>
        <w:t xml:space="preserve"> in </w:t>
      </w:r>
      <w:r w:rsidR="000912F2" w:rsidRPr="00030B29">
        <w:rPr>
          <w:sz w:val="20"/>
        </w:rPr>
        <w:t xml:space="preserve">the </w:t>
      </w:r>
      <w:r w:rsidR="00D02274" w:rsidRPr="00030B29">
        <w:rPr>
          <w:sz w:val="20"/>
        </w:rPr>
        <w:t xml:space="preserve">demographic calculations we have set the settlement and household sizes to the same levels as </w:t>
      </w:r>
      <w:r w:rsidR="002D38FB" w:rsidRPr="00030B29">
        <w:rPr>
          <w:sz w:val="20"/>
        </w:rPr>
        <w:t xml:space="preserve">were used for </w:t>
      </w:r>
      <w:r w:rsidR="00D02274" w:rsidRPr="00030B29">
        <w:rPr>
          <w:sz w:val="20"/>
        </w:rPr>
        <w:t>the EMPA period.</w:t>
      </w:r>
    </w:p>
    <w:p w:rsidR="006C3F10" w:rsidRPr="00030B29" w:rsidRDefault="006C3F10" w:rsidP="00FF2AD8">
      <w:pPr>
        <w:pStyle w:val="Geenafstand"/>
        <w:jc w:val="both"/>
        <w:rPr>
          <w:sz w:val="20"/>
        </w:rPr>
      </w:pPr>
    </w:p>
    <w:p w:rsidR="00590338" w:rsidRPr="00030B29" w:rsidRDefault="00590338" w:rsidP="0059033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Military presence</w:t>
      </w:r>
    </w:p>
    <w:p w:rsidR="00590338" w:rsidRPr="00030B29" w:rsidRDefault="000912F2" w:rsidP="0059033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There is no evidence of </w:t>
      </w:r>
      <w:r w:rsidR="002D38FB" w:rsidRPr="00030B29">
        <w:rPr>
          <w:sz w:val="20"/>
        </w:rPr>
        <w:t xml:space="preserve">centralised </w:t>
      </w:r>
      <w:r w:rsidRPr="00030B29">
        <w:rPr>
          <w:sz w:val="20"/>
        </w:rPr>
        <w:t xml:space="preserve">military presence </w:t>
      </w:r>
      <w:r w:rsidR="00CB7359" w:rsidRPr="00030B29">
        <w:rPr>
          <w:sz w:val="20"/>
        </w:rPr>
        <w:t>during the EMPB</w:t>
      </w:r>
      <w:r w:rsidRPr="00030B29">
        <w:rPr>
          <w:sz w:val="20"/>
        </w:rPr>
        <w:t xml:space="preserve">. </w:t>
      </w:r>
    </w:p>
    <w:p w:rsidR="00590338" w:rsidRPr="00030B29" w:rsidRDefault="00590338" w:rsidP="00FF2AD8">
      <w:pPr>
        <w:pStyle w:val="Geenafstand"/>
        <w:jc w:val="both"/>
        <w:rPr>
          <w:sz w:val="20"/>
        </w:rPr>
      </w:pPr>
    </w:p>
    <w:p w:rsidR="005F2F6D" w:rsidRPr="00030B29" w:rsidRDefault="005F2F6D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5655D3" w:rsidRPr="00030B29" w:rsidRDefault="000912F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In the Netherlands l</w:t>
      </w:r>
      <w:r w:rsidR="005655D3" w:rsidRPr="00030B29">
        <w:rPr>
          <w:sz w:val="20"/>
        </w:rPr>
        <w:t xml:space="preserve">arge settlements </w:t>
      </w:r>
      <w:r w:rsidRPr="00030B29">
        <w:rPr>
          <w:sz w:val="20"/>
        </w:rPr>
        <w:t xml:space="preserve">dating to </w:t>
      </w:r>
      <w:r w:rsidR="005655D3" w:rsidRPr="00030B29">
        <w:rPr>
          <w:sz w:val="20"/>
        </w:rPr>
        <w:t>the EM</w:t>
      </w:r>
      <w:r w:rsidR="00BA734E" w:rsidRPr="00030B29">
        <w:rPr>
          <w:sz w:val="20"/>
        </w:rPr>
        <w:t xml:space="preserve">PB </w:t>
      </w:r>
      <w:r w:rsidRPr="00030B29">
        <w:rPr>
          <w:sz w:val="20"/>
        </w:rPr>
        <w:t>are rare.</w:t>
      </w:r>
      <w:r w:rsidR="00BA734E" w:rsidRPr="00030B29">
        <w:rPr>
          <w:sz w:val="20"/>
        </w:rPr>
        <w:t xml:space="preserve"> In </w:t>
      </w:r>
      <w:r w:rsidRPr="00030B29">
        <w:rPr>
          <w:sz w:val="20"/>
        </w:rPr>
        <w:t>the</w:t>
      </w:r>
      <w:r w:rsidR="00BA734E" w:rsidRPr="00030B29">
        <w:rPr>
          <w:sz w:val="20"/>
        </w:rPr>
        <w:t xml:space="preserve"> study area only two sites</w:t>
      </w:r>
      <w:r w:rsidR="002342E5" w:rsidRPr="00030B29">
        <w:rPr>
          <w:sz w:val="20"/>
        </w:rPr>
        <w:t xml:space="preserve">, at Nijmegen and Lent, </w:t>
      </w:r>
      <w:r w:rsidR="00BA734E" w:rsidRPr="00030B29">
        <w:rPr>
          <w:sz w:val="20"/>
        </w:rPr>
        <w:t>appear</w:t>
      </w:r>
      <w:r w:rsidRPr="00030B29">
        <w:rPr>
          <w:sz w:val="20"/>
        </w:rPr>
        <w:t xml:space="preserve"> </w:t>
      </w:r>
      <w:r w:rsidR="00BA734E" w:rsidRPr="00030B29">
        <w:rPr>
          <w:sz w:val="20"/>
        </w:rPr>
        <w:t>to have been significantly larger than the majority of rural settlements</w:t>
      </w:r>
      <w:r w:rsidR="002342E5" w:rsidRPr="00030B29">
        <w:rPr>
          <w:sz w:val="20"/>
        </w:rPr>
        <w:t xml:space="preserve"> (</w:t>
      </w:r>
      <w:r w:rsidR="002D38FB" w:rsidRPr="00030B29">
        <w:rPr>
          <w:sz w:val="20"/>
        </w:rPr>
        <w:t xml:space="preserve">see </w:t>
      </w:r>
      <w:r w:rsidR="002342E5" w:rsidRPr="00030B29">
        <w:rPr>
          <w:sz w:val="20"/>
        </w:rPr>
        <w:t>main text</w:t>
      </w:r>
      <w:r w:rsidR="002D38FB" w:rsidRPr="00030B29">
        <w:rPr>
          <w:sz w:val="20"/>
        </w:rPr>
        <w:t>,</w:t>
      </w:r>
      <w:r w:rsidR="002342E5" w:rsidRPr="00030B29">
        <w:rPr>
          <w:sz w:val="20"/>
        </w:rPr>
        <w:t xml:space="preserve"> Table 5)</w:t>
      </w:r>
      <w:r w:rsidR="00BA734E" w:rsidRPr="00030B29">
        <w:rPr>
          <w:sz w:val="20"/>
        </w:rPr>
        <w:t xml:space="preserve">. Both </w:t>
      </w:r>
      <w:r w:rsidRPr="00030B29">
        <w:rPr>
          <w:sz w:val="20"/>
        </w:rPr>
        <w:t xml:space="preserve">are </w:t>
      </w:r>
      <w:r w:rsidR="00BA734E" w:rsidRPr="00030B29">
        <w:rPr>
          <w:sz w:val="20"/>
        </w:rPr>
        <w:t xml:space="preserve">located in the eastern part of the Rhine-Meuse delta near the current border with Germany. Based on research by </w:t>
      </w:r>
      <w:proofErr w:type="spellStart"/>
      <w:r w:rsidR="00BA734E" w:rsidRPr="00030B29">
        <w:rPr>
          <w:sz w:val="20"/>
        </w:rPr>
        <w:t>Harmsen</w:t>
      </w:r>
      <w:proofErr w:type="spellEnd"/>
      <w:r w:rsidR="00BA734E" w:rsidRPr="00030B29">
        <w:rPr>
          <w:sz w:val="20"/>
        </w:rPr>
        <w:t xml:space="preserve"> et al. (2012), Den </w:t>
      </w:r>
      <w:proofErr w:type="spellStart"/>
      <w:r w:rsidR="00BA734E" w:rsidRPr="00030B29">
        <w:rPr>
          <w:sz w:val="20"/>
        </w:rPr>
        <w:t>Braven</w:t>
      </w:r>
      <w:proofErr w:type="spellEnd"/>
      <w:r w:rsidR="00BA734E" w:rsidRPr="00030B29">
        <w:rPr>
          <w:sz w:val="20"/>
        </w:rPr>
        <w:t xml:space="preserve"> (2014)</w:t>
      </w:r>
      <w:r w:rsidRPr="00030B29">
        <w:rPr>
          <w:sz w:val="20"/>
        </w:rPr>
        <w:t>,</w:t>
      </w:r>
      <w:r w:rsidR="00BA734E" w:rsidRPr="00030B29">
        <w:rPr>
          <w:sz w:val="20"/>
        </w:rPr>
        <w:t xml:space="preserve"> and Hendriks et al. (2014)</w:t>
      </w:r>
      <w:r w:rsidR="002D38FB" w:rsidRPr="00030B29">
        <w:rPr>
          <w:sz w:val="20"/>
        </w:rPr>
        <w:t>,</w:t>
      </w:r>
      <w:r w:rsidR="00BA734E" w:rsidRPr="00030B29">
        <w:rPr>
          <w:sz w:val="20"/>
        </w:rPr>
        <w:t xml:space="preserve"> we could determine that both settlements probably were inhabited by </w:t>
      </w:r>
      <w:r w:rsidR="00B22C58" w:rsidRPr="00030B29">
        <w:rPr>
          <w:sz w:val="20"/>
        </w:rPr>
        <w:t xml:space="preserve">ca. </w:t>
      </w:r>
      <w:r w:rsidR="00BA734E" w:rsidRPr="00030B29">
        <w:rPr>
          <w:sz w:val="20"/>
        </w:rPr>
        <w:t xml:space="preserve">500 </w:t>
      </w:r>
      <w:r w:rsidR="00590338" w:rsidRPr="00030B29">
        <w:rPr>
          <w:sz w:val="20"/>
        </w:rPr>
        <w:t>individuals</w:t>
      </w:r>
      <w:r w:rsidR="00BA734E" w:rsidRPr="00030B29">
        <w:rPr>
          <w:sz w:val="20"/>
        </w:rPr>
        <w:t xml:space="preserve">.  </w:t>
      </w:r>
    </w:p>
    <w:p w:rsidR="00D577FC" w:rsidRPr="00030B29" w:rsidRDefault="00D577FC" w:rsidP="00FF2AD8">
      <w:pPr>
        <w:pStyle w:val="Geenafstand"/>
        <w:jc w:val="both"/>
        <w:rPr>
          <w:sz w:val="20"/>
        </w:rPr>
      </w:pPr>
    </w:p>
    <w:p w:rsidR="004136F4" w:rsidRPr="00030B29" w:rsidRDefault="004136F4" w:rsidP="00641886">
      <w:pPr>
        <w:pStyle w:val="Geenafstand"/>
        <w:ind w:firstLine="708"/>
        <w:jc w:val="both"/>
        <w:rPr>
          <w:sz w:val="20"/>
        </w:rPr>
      </w:pPr>
      <w:r w:rsidRPr="00030B29">
        <w:rPr>
          <w:b/>
          <w:sz w:val="20"/>
        </w:rPr>
        <w:t>Early-medieval period C</w:t>
      </w:r>
      <w:r w:rsidR="00823685" w:rsidRPr="00030B29">
        <w:rPr>
          <w:b/>
          <w:sz w:val="20"/>
        </w:rPr>
        <w:t xml:space="preserve">: AD 725 – 950 </w:t>
      </w:r>
      <w:r w:rsidRPr="00030B29">
        <w:rPr>
          <w:b/>
          <w:sz w:val="20"/>
        </w:rPr>
        <w:t>(EMPC)</w:t>
      </w:r>
    </w:p>
    <w:p w:rsidR="00734E7E" w:rsidRPr="00030B29" w:rsidRDefault="007F1F57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 EMPC </w:t>
      </w:r>
      <w:r w:rsidR="000912F2" w:rsidRPr="00030B29">
        <w:rPr>
          <w:sz w:val="20"/>
        </w:rPr>
        <w:t xml:space="preserve">was characterized by a </w:t>
      </w:r>
      <w:r w:rsidRPr="00030B29">
        <w:rPr>
          <w:sz w:val="20"/>
        </w:rPr>
        <w:t xml:space="preserve">continuation and intensification of the demographic rise </w:t>
      </w:r>
      <w:r w:rsidR="000912F2" w:rsidRPr="00030B29">
        <w:rPr>
          <w:sz w:val="20"/>
        </w:rPr>
        <w:t xml:space="preserve">that </w:t>
      </w:r>
      <w:r w:rsidR="002D38FB" w:rsidRPr="00030B29">
        <w:rPr>
          <w:sz w:val="20"/>
        </w:rPr>
        <w:t xml:space="preserve">had </w:t>
      </w:r>
      <w:r w:rsidRPr="00030B29">
        <w:rPr>
          <w:sz w:val="20"/>
        </w:rPr>
        <w:t>starte</w:t>
      </w:r>
      <w:r w:rsidR="00734E7E" w:rsidRPr="00030B29">
        <w:rPr>
          <w:sz w:val="20"/>
        </w:rPr>
        <w:t xml:space="preserve">d </w:t>
      </w:r>
      <w:r w:rsidR="002D38FB" w:rsidRPr="00030B29">
        <w:rPr>
          <w:sz w:val="20"/>
        </w:rPr>
        <w:t xml:space="preserve">during </w:t>
      </w:r>
      <w:r w:rsidR="000912F2" w:rsidRPr="00030B29">
        <w:rPr>
          <w:sz w:val="20"/>
        </w:rPr>
        <w:t xml:space="preserve">the </w:t>
      </w:r>
      <w:r w:rsidR="00734E7E" w:rsidRPr="00030B29">
        <w:rPr>
          <w:sz w:val="20"/>
        </w:rPr>
        <w:t>EMPB</w:t>
      </w:r>
      <w:r w:rsidRPr="00030B29">
        <w:rPr>
          <w:sz w:val="20"/>
        </w:rPr>
        <w:t>.</w:t>
      </w:r>
      <w:r w:rsidR="00734E7E" w:rsidRPr="00030B29">
        <w:rPr>
          <w:sz w:val="20"/>
        </w:rPr>
        <w:t xml:space="preserve"> The number of settlements in the study area </w:t>
      </w:r>
      <w:r w:rsidR="000912F2" w:rsidRPr="00030B29">
        <w:rPr>
          <w:sz w:val="20"/>
        </w:rPr>
        <w:t xml:space="preserve">significantly  </w:t>
      </w:r>
      <w:r w:rsidR="00734E7E" w:rsidRPr="00030B29">
        <w:rPr>
          <w:sz w:val="20"/>
        </w:rPr>
        <w:t>increase</w:t>
      </w:r>
      <w:r w:rsidR="000912F2" w:rsidRPr="00030B29">
        <w:rPr>
          <w:sz w:val="20"/>
        </w:rPr>
        <w:t>d</w:t>
      </w:r>
      <w:r w:rsidR="00734E7E" w:rsidRPr="00030B29">
        <w:rPr>
          <w:sz w:val="20"/>
        </w:rPr>
        <w:t xml:space="preserve"> under Carolingian rule. Settlement size in the estuary of the Rhine and Meuse </w:t>
      </w:r>
      <w:r w:rsidR="000912F2" w:rsidRPr="00030B29">
        <w:rPr>
          <w:sz w:val="20"/>
        </w:rPr>
        <w:t xml:space="preserve">in </w:t>
      </w:r>
      <w:r w:rsidR="00734E7E" w:rsidRPr="00030B29">
        <w:rPr>
          <w:sz w:val="20"/>
        </w:rPr>
        <w:t xml:space="preserve">this period appears to have been equal to </w:t>
      </w:r>
      <w:r w:rsidR="000912F2" w:rsidRPr="00030B29">
        <w:rPr>
          <w:sz w:val="20"/>
        </w:rPr>
        <w:t xml:space="preserve">settlement sizes during </w:t>
      </w:r>
      <w:r w:rsidR="00734E7E" w:rsidRPr="00030B29">
        <w:rPr>
          <w:sz w:val="20"/>
        </w:rPr>
        <w:t xml:space="preserve">the preceding early-medieval periods (Dijkstra, 2011). Therefore we set the settlement and household sizes </w:t>
      </w:r>
      <w:r w:rsidR="00A92FB7" w:rsidRPr="00030B29">
        <w:rPr>
          <w:sz w:val="20"/>
        </w:rPr>
        <w:t xml:space="preserve">in </w:t>
      </w:r>
      <w:r w:rsidR="000912F2" w:rsidRPr="00030B29">
        <w:rPr>
          <w:sz w:val="20"/>
        </w:rPr>
        <w:t xml:space="preserve">the </w:t>
      </w:r>
      <w:r w:rsidR="00A92FB7" w:rsidRPr="00030B29">
        <w:rPr>
          <w:sz w:val="20"/>
        </w:rPr>
        <w:t xml:space="preserve">study area </w:t>
      </w:r>
      <w:r w:rsidR="00734E7E" w:rsidRPr="00030B29">
        <w:rPr>
          <w:sz w:val="20"/>
        </w:rPr>
        <w:t xml:space="preserve">to the same levels as the preceding early-medieval periods, </w:t>
      </w:r>
      <w:r w:rsidR="000912F2" w:rsidRPr="00030B29">
        <w:rPr>
          <w:sz w:val="20"/>
        </w:rPr>
        <w:t xml:space="preserve">at </w:t>
      </w:r>
      <w:r w:rsidR="00734E7E" w:rsidRPr="00030B29">
        <w:rPr>
          <w:sz w:val="20"/>
        </w:rPr>
        <w:t>3 houses per settlement.</w:t>
      </w:r>
    </w:p>
    <w:p w:rsidR="007F1F57" w:rsidRPr="00030B29" w:rsidRDefault="007F1F57" w:rsidP="00FF2AD8">
      <w:pPr>
        <w:pStyle w:val="Geenafstand"/>
        <w:jc w:val="both"/>
        <w:rPr>
          <w:sz w:val="20"/>
        </w:rPr>
      </w:pPr>
    </w:p>
    <w:p w:rsidR="00BF2021" w:rsidRPr="00030B29" w:rsidRDefault="00BF2021" w:rsidP="00BF2021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Military presence</w:t>
      </w:r>
    </w:p>
    <w:p w:rsidR="002342E5" w:rsidRPr="00030B29" w:rsidRDefault="000912F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There is no evidence of </w:t>
      </w:r>
      <w:r w:rsidR="002D38FB" w:rsidRPr="00030B29">
        <w:rPr>
          <w:sz w:val="20"/>
        </w:rPr>
        <w:t xml:space="preserve">centralised </w:t>
      </w:r>
      <w:r w:rsidRPr="00030B29">
        <w:rPr>
          <w:sz w:val="20"/>
        </w:rPr>
        <w:t xml:space="preserve">military presence </w:t>
      </w:r>
      <w:r w:rsidR="00CB7359" w:rsidRPr="00030B29">
        <w:rPr>
          <w:sz w:val="20"/>
        </w:rPr>
        <w:t>during the EMPC</w:t>
      </w:r>
      <w:r w:rsidRPr="00030B29">
        <w:rPr>
          <w:sz w:val="20"/>
        </w:rPr>
        <w:t>.</w:t>
      </w:r>
    </w:p>
    <w:p w:rsidR="00BF2021" w:rsidRPr="00030B29" w:rsidRDefault="000912F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 </w:t>
      </w:r>
    </w:p>
    <w:p w:rsidR="005F2F6D" w:rsidRPr="00030B29" w:rsidRDefault="005F2F6D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E7002A" w:rsidRPr="00030B29" w:rsidRDefault="00771F67" w:rsidP="00FF2AD8">
      <w:pPr>
        <w:pStyle w:val="Geenafstand"/>
        <w:jc w:val="both"/>
        <w:rPr>
          <w:rFonts w:eastAsia="Times New Roman" w:cstheme="minorHAnsi"/>
          <w:color w:val="000000"/>
          <w:sz w:val="20"/>
          <w:szCs w:val="20"/>
          <w:lang w:eastAsia="nl-NL"/>
        </w:rPr>
      </w:pPr>
      <w:r w:rsidRPr="00030B29">
        <w:rPr>
          <w:sz w:val="20"/>
        </w:rPr>
        <w:t xml:space="preserve">During the EMPC large settlements </w:t>
      </w:r>
      <w:r w:rsidR="000912F2" w:rsidRPr="00030B29">
        <w:rPr>
          <w:sz w:val="20"/>
        </w:rPr>
        <w:t xml:space="preserve">at </w:t>
      </w:r>
      <w:proofErr w:type="spellStart"/>
      <w:r w:rsidR="000912F2" w:rsidRPr="00030B29">
        <w:rPr>
          <w:sz w:val="20"/>
        </w:rPr>
        <w:t>Dorestad</w:t>
      </w:r>
      <w:proofErr w:type="spellEnd"/>
      <w:r w:rsidR="000912F2" w:rsidRPr="00030B29">
        <w:rPr>
          <w:sz w:val="20"/>
        </w:rPr>
        <w:t xml:space="preserve">, Nijmegen and Utrecht </w:t>
      </w:r>
      <w:r w:rsidRPr="00030B29">
        <w:rPr>
          <w:sz w:val="20"/>
        </w:rPr>
        <w:t>develop</w:t>
      </w:r>
      <w:r w:rsidR="00E7002A" w:rsidRPr="00030B29">
        <w:rPr>
          <w:sz w:val="20"/>
        </w:rPr>
        <w:t xml:space="preserve">ed </w:t>
      </w:r>
      <w:r w:rsidR="000912F2" w:rsidRPr="00030B29">
        <w:rPr>
          <w:sz w:val="20"/>
        </w:rPr>
        <w:t xml:space="preserve">into </w:t>
      </w:r>
      <w:r w:rsidR="00E7002A" w:rsidRPr="00030B29">
        <w:rPr>
          <w:sz w:val="20"/>
        </w:rPr>
        <w:t>pre-urban towns</w:t>
      </w:r>
      <w:r w:rsidRPr="00030B29">
        <w:rPr>
          <w:sz w:val="20"/>
        </w:rPr>
        <w:t xml:space="preserve"> </w:t>
      </w:r>
      <w:r w:rsidR="00C719B8" w:rsidRPr="00030B29">
        <w:rPr>
          <w:sz w:val="20"/>
        </w:rPr>
        <w:t>(</w:t>
      </w:r>
      <w:r w:rsidR="002D38FB" w:rsidRPr="00030B29">
        <w:rPr>
          <w:sz w:val="20"/>
        </w:rPr>
        <w:t xml:space="preserve">see </w:t>
      </w:r>
      <w:r w:rsidR="002342E5" w:rsidRPr="00030B29">
        <w:rPr>
          <w:sz w:val="20"/>
        </w:rPr>
        <w:t>main text</w:t>
      </w:r>
      <w:r w:rsidR="002D38FB" w:rsidRPr="00030B29">
        <w:rPr>
          <w:sz w:val="20"/>
        </w:rPr>
        <w:t>,</w:t>
      </w:r>
      <w:r w:rsidR="002342E5" w:rsidRPr="00030B29">
        <w:rPr>
          <w:sz w:val="20"/>
        </w:rPr>
        <w:t xml:space="preserve"> </w:t>
      </w:r>
      <w:r w:rsidR="00C719B8" w:rsidRPr="00030B29">
        <w:rPr>
          <w:sz w:val="20"/>
        </w:rPr>
        <w:t xml:space="preserve">Table </w:t>
      </w:r>
      <w:r w:rsidR="002342E5" w:rsidRPr="00030B29">
        <w:rPr>
          <w:sz w:val="20"/>
        </w:rPr>
        <w:t>5</w:t>
      </w:r>
      <w:r w:rsidR="00C719B8" w:rsidRPr="00030B29">
        <w:rPr>
          <w:sz w:val="20"/>
        </w:rPr>
        <w:t>)</w:t>
      </w:r>
      <w:r w:rsidRPr="00030B29">
        <w:rPr>
          <w:sz w:val="20"/>
        </w:rPr>
        <w:t xml:space="preserve">. </w:t>
      </w:r>
      <w:r w:rsidR="007C073F" w:rsidRPr="00030B29">
        <w:rPr>
          <w:sz w:val="20"/>
        </w:rPr>
        <w:t xml:space="preserve">The population centre at </w:t>
      </w:r>
      <w:r w:rsidRPr="00030B29">
        <w:rPr>
          <w:sz w:val="20"/>
        </w:rPr>
        <w:t xml:space="preserve">Nijmegen </w:t>
      </w:r>
      <w:r w:rsidR="007C073F" w:rsidRPr="00030B29">
        <w:rPr>
          <w:sz w:val="20"/>
        </w:rPr>
        <w:t xml:space="preserve">was </w:t>
      </w:r>
      <w:r w:rsidRPr="00030B29">
        <w:rPr>
          <w:sz w:val="20"/>
        </w:rPr>
        <w:t>located slightly to the southeast of the preceding EMPB settlement</w:t>
      </w:r>
      <w:r w:rsidR="00E7002A" w:rsidRPr="00030B29">
        <w:rPr>
          <w:sz w:val="20"/>
        </w:rPr>
        <w:t xml:space="preserve"> </w:t>
      </w:r>
      <w:r w:rsidR="007C073F" w:rsidRPr="00030B29">
        <w:rPr>
          <w:sz w:val="20"/>
        </w:rPr>
        <w:t xml:space="preserve">phase </w:t>
      </w:r>
      <w:r w:rsidR="00E7002A" w:rsidRPr="00030B29">
        <w:rPr>
          <w:sz w:val="20"/>
        </w:rPr>
        <w:t xml:space="preserve">and </w:t>
      </w:r>
      <w:r w:rsidR="007C073F" w:rsidRPr="00030B29">
        <w:rPr>
          <w:sz w:val="20"/>
        </w:rPr>
        <w:t xml:space="preserve">has yielded archaeological evidence of </w:t>
      </w:r>
      <w:r w:rsidR="00E7002A" w:rsidRPr="00030B29">
        <w:rPr>
          <w:sz w:val="20"/>
        </w:rPr>
        <w:t>continuous habitation</w:t>
      </w:r>
      <w:r w:rsidR="00C719B8" w:rsidRPr="00030B29">
        <w:rPr>
          <w:sz w:val="20"/>
        </w:rPr>
        <w:t xml:space="preserve"> </w:t>
      </w:r>
      <w:r w:rsidR="00C719B8" w:rsidRPr="00030B29">
        <w:rPr>
          <w:sz w:val="20"/>
          <w:szCs w:val="20"/>
        </w:rPr>
        <w:t>(</w:t>
      </w:r>
      <w:proofErr w:type="spellStart"/>
      <w:r w:rsidR="00C719B8" w:rsidRPr="00030B29">
        <w:rPr>
          <w:rFonts w:eastAsia="Times New Roman" w:cstheme="minorHAnsi"/>
          <w:color w:val="000000"/>
          <w:sz w:val="20"/>
          <w:szCs w:val="20"/>
          <w:lang w:eastAsia="nl-NL"/>
        </w:rPr>
        <w:t>Kuys</w:t>
      </w:r>
      <w:proofErr w:type="spellEnd"/>
      <w:r w:rsidR="002342E5" w:rsidRPr="00030B29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&amp; </w:t>
      </w:r>
      <w:r w:rsidR="00C719B8" w:rsidRPr="00030B29">
        <w:rPr>
          <w:rFonts w:eastAsia="Times New Roman" w:cstheme="minorHAnsi"/>
          <w:color w:val="000000"/>
          <w:sz w:val="20"/>
          <w:szCs w:val="20"/>
          <w:lang w:eastAsia="nl-NL"/>
        </w:rPr>
        <w:t xml:space="preserve">Bots, 2009; Den </w:t>
      </w:r>
      <w:proofErr w:type="spellStart"/>
      <w:r w:rsidR="00C719B8" w:rsidRPr="00030B29">
        <w:rPr>
          <w:rFonts w:eastAsia="Times New Roman" w:cstheme="minorHAnsi"/>
          <w:color w:val="000000"/>
          <w:sz w:val="20"/>
          <w:szCs w:val="20"/>
          <w:lang w:eastAsia="nl-NL"/>
        </w:rPr>
        <w:t>Braven</w:t>
      </w:r>
      <w:proofErr w:type="spellEnd"/>
      <w:r w:rsidR="00C719B8" w:rsidRPr="00030B29">
        <w:rPr>
          <w:rFonts w:eastAsia="Times New Roman" w:cstheme="minorHAnsi"/>
          <w:color w:val="000000"/>
          <w:sz w:val="20"/>
          <w:szCs w:val="20"/>
          <w:lang w:eastAsia="nl-NL"/>
        </w:rPr>
        <w:t>, 2014; Hendriks et al., 2014)</w:t>
      </w:r>
      <w:r w:rsidRPr="00030B29">
        <w:rPr>
          <w:sz w:val="20"/>
        </w:rPr>
        <w:t>.</w:t>
      </w:r>
      <w:r w:rsidR="00C719B8" w:rsidRPr="00030B29">
        <w:rPr>
          <w:sz w:val="20"/>
        </w:rPr>
        <w:t xml:space="preserve"> During the EMPC the settlement appears to </w:t>
      </w:r>
      <w:r w:rsidR="007C073F" w:rsidRPr="00030B29">
        <w:rPr>
          <w:sz w:val="20"/>
        </w:rPr>
        <w:t xml:space="preserve">have </w:t>
      </w:r>
      <w:r w:rsidR="00C719B8" w:rsidRPr="00030B29">
        <w:rPr>
          <w:sz w:val="20"/>
        </w:rPr>
        <w:t>double</w:t>
      </w:r>
      <w:r w:rsidR="007C073F" w:rsidRPr="00030B29">
        <w:rPr>
          <w:sz w:val="20"/>
        </w:rPr>
        <w:t>d</w:t>
      </w:r>
      <w:r w:rsidR="00C719B8" w:rsidRPr="00030B29">
        <w:rPr>
          <w:sz w:val="20"/>
        </w:rPr>
        <w:t xml:space="preserve"> in size</w:t>
      </w:r>
      <w:r w:rsidR="00972A25" w:rsidRPr="00030B29">
        <w:rPr>
          <w:sz w:val="20"/>
        </w:rPr>
        <w:t xml:space="preserve"> to 10 h</w:t>
      </w:r>
      <w:r w:rsidR="007C073F" w:rsidRPr="00030B29">
        <w:rPr>
          <w:sz w:val="20"/>
        </w:rPr>
        <w:t>a.</w:t>
      </w:r>
      <w:r w:rsidR="00C719B8" w:rsidRPr="00030B29">
        <w:rPr>
          <w:sz w:val="20"/>
        </w:rPr>
        <w:t xml:space="preserve"> At the same time in</w:t>
      </w:r>
      <w:r w:rsidR="00E7002A" w:rsidRPr="00030B29">
        <w:rPr>
          <w:sz w:val="20"/>
        </w:rPr>
        <w:t xml:space="preserve"> Utrecht a larger settlement</w:t>
      </w:r>
      <w:r w:rsidR="00C719B8" w:rsidRPr="00030B29">
        <w:rPr>
          <w:sz w:val="20"/>
        </w:rPr>
        <w:t xml:space="preserve"> developed</w:t>
      </w:r>
      <w:r w:rsidR="00E7002A" w:rsidRPr="00030B29">
        <w:rPr>
          <w:sz w:val="20"/>
        </w:rPr>
        <w:t xml:space="preserve"> consisting of </w:t>
      </w:r>
      <w:r w:rsidR="00972A25" w:rsidRPr="00030B29">
        <w:rPr>
          <w:sz w:val="20"/>
        </w:rPr>
        <w:t>several</w:t>
      </w:r>
      <w:r w:rsidR="00E7002A" w:rsidRPr="00030B29">
        <w:rPr>
          <w:sz w:val="20"/>
        </w:rPr>
        <w:t xml:space="preserve"> smaller</w:t>
      </w:r>
      <w:r w:rsidR="00C719B8" w:rsidRPr="00030B29">
        <w:rPr>
          <w:sz w:val="20"/>
        </w:rPr>
        <w:t xml:space="preserve"> inhabited</w:t>
      </w:r>
      <w:r w:rsidR="00E7002A" w:rsidRPr="00030B29">
        <w:rPr>
          <w:sz w:val="20"/>
        </w:rPr>
        <w:t xml:space="preserve"> zones </w:t>
      </w:r>
      <w:r w:rsidR="00972A25" w:rsidRPr="00030B29">
        <w:rPr>
          <w:sz w:val="20"/>
        </w:rPr>
        <w:t>clustered around</w:t>
      </w:r>
      <w:r w:rsidR="00E7002A" w:rsidRPr="00030B29">
        <w:rPr>
          <w:sz w:val="20"/>
        </w:rPr>
        <w:t xml:space="preserve"> the old Roman </w:t>
      </w:r>
      <w:r w:rsidR="00E7002A" w:rsidRPr="00030B29">
        <w:rPr>
          <w:i/>
          <w:sz w:val="20"/>
        </w:rPr>
        <w:t>castellum</w:t>
      </w:r>
      <w:r w:rsidR="00C719B8" w:rsidRPr="00030B29">
        <w:rPr>
          <w:i/>
          <w:sz w:val="20"/>
        </w:rPr>
        <w:t xml:space="preserve"> </w:t>
      </w:r>
      <w:r w:rsidR="00C719B8" w:rsidRPr="00030B29">
        <w:rPr>
          <w:sz w:val="20"/>
        </w:rPr>
        <w:t>(</w:t>
      </w:r>
      <w:r w:rsidR="00972A25" w:rsidRPr="00030B29">
        <w:rPr>
          <w:sz w:val="20"/>
        </w:rPr>
        <w:t xml:space="preserve">e.g. </w:t>
      </w:r>
      <w:r w:rsidR="00C719B8" w:rsidRPr="00030B29">
        <w:rPr>
          <w:sz w:val="20"/>
        </w:rPr>
        <w:t xml:space="preserve">Renes, 2000; Van </w:t>
      </w:r>
      <w:proofErr w:type="spellStart"/>
      <w:r w:rsidR="00C719B8" w:rsidRPr="00030B29">
        <w:rPr>
          <w:sz w:val="20"/>
        </w:rPr>
        <w:t>Rooijen</w:t>
      </w:r>
      <w:proofErr w:type="spellEnd"/>
      <w:r w:rsidR="00C719B8" w:rsidRPr="00030B29">
        <w:rPr>
          <w:sz w:val="20"/>
        </w:rPr>
        <w:t>, 2010)</w:t>
      </w:r>
      <w:r w:rsidR="00E7002A" w:rsidRPr="00030B29">
        <w:rPr>
          <w:sz w:val="20"/>
        </w:rPr>
        <w:t>.</w:t>
      </w:r>
      <w:r w:rsidR="00972A25" w:rsidRPr="00030B29">
        <w:rPr>
          <w:sz w:val="20"/>
        </w:rPr>
        <w:t xml:space="preserve"> T</w:t>
      </w:r>
      <w:r w:rsidR="00C719B8" w:rsidRPr="00030B29">
        <w:rPr>
          <w:sz w:val="20"/>
        </w:rPr>
        <w:t>he largest settlement dating to this period</w:t>
      </w:r>
      <w:r w:rsidR="007C073F" w:rsidRPr="00030B29">
        <w:rPr>
          <w:sz w:val="20"/>
        </w:rPr>
        <w:t xml:space="preserve">, </w:t>
      </w:r>
      <w:proofErr w:type="spellStart"/>
      <w:r w:rsidR="007C073F" w:rsidRPr="00030B29">
        <w:rPr>
          <w:sz w:val="20"/>
        </w:rPr>
        <w:t>Dorestad</w:t>
      </w:r>
      <w:proofErr w:type="spellEnd"/>
      <w:r w:rsidR="007C073F" w:rsidRPr="00030B29">
        <w:rPr>
          <w:sz w:val="20"/>
        </w:rPr>
        <w:t>,</w:t>
      </w:r>
      <w:r w:rsidR="00C719B8" w:rsidRPr="00030B29">
        <w:rPr>
          <w:sz w:val="20"/>
        </w:rPr>
        <w:t xml:space="preserve"> developed south-east of Utrecht</w:t>
      </w:r>
      <w:r w:rsidR="00972A25" w:rsidRPr="00030B29">
        <w:rPr>
          <w:sz w:val="20"/>
        </w:rPr>
        <w:t xml:space="preserve"> and west of Nijmegen</w:t>
      </w:r>
      <w:r w:rsidR="00C719B8" w:rsidRPr="00030B29">
        <w:rPr>
          <w:sz w:val="20"/>
        </w:rPr>
        <w:t xml:space="preserve">. </w:t>
      </w:r>
      <w:r w:rsidR="00E7002A" w:rsidRPr="00030B29">
        <w:rPr>
          <w:sz w:val="20"/>
        </w:rPr>
        <w:t>Th</w:t>
      </w:r>
      <w:r w:rsidR="00C719B8" w:rsidRPr="00030B29">
        <w:rPr>
          <w:sz w:val="20"/>
        </w:rPr>
        <w:t>is</w:t>
      </w:r>
      <w:r w:rsidR="00E7002A" w:rsidRPr="00030B29">
        <w:rPr>
          <w:sz w:val="20"/>
        </w:rPr>
        <w:t xml:space="preserve"> remarkable settlement</w:t>
      </w:r>
      <w:r w:rsidR="00C719B8" w:rsidRPr="00030B29">
        <w:rPr>
          <w:sz w:val="20"/>
        </w:rPr>
        <w:t xml:space="preserve"> clearly</w:t>
      </w:r>
      <w:r w:rsidR="00E7002A" w:rsidRPr="00030B29">
        <w:rPr>
          <w:sz w:val="20"/>
        </w:rPr>
        <w:t xml:space="preserve"> surpasse</w:t>
      </w:r>
      <w:r w:rsidR="007C073F" w:rsidRPr="00030B29">
        <w:rPr>
          <w:sz w:val="20"/>
        </w:rPr>
        <w:t>d</w:t>
      </w:r>
      <w:r w:rsidR="00E7002A" w:rsidRPr="00030B29">
        <w:rPr>
          <w:sz w:val="20"/>
        </w:rPr>
        <w:t xml:space="preserve"> </w:t>
      </w:r>
      <w:r w:rsidR="007C073F" w:rsidRPr="00030B29">
        <w:rPr>
          <w:sz w:val="20"/>
        </w:rPr>
        <w:t xml:space="preserve">all </w:t>
      </w:r>
      <w:r w:rsidR="00E7002A" w:rsidRPr="00030B29">
        <w:rPr>
          <w:sz w:val="20"/>
        </w:rPr>
        <w:t xml:space="preserve">other </w:t>
      </w:r>
      <w:r w:rsidR="00C719B8" w:rsidRPr="00030B29">
        <w:rPr>
          <w:sz w:val="20"/>
        </w:rPr>
        <w:t xml:space="preserve">EPMC </w:t>
      </w:r>
      <w:r w:rsidR="00E7002A" w:rsidRPr="00030B29">
        <w:rPr>
          <w:sz w:val="20"/>
        </w:rPr>
        <w:t xml:space="preserve">settlements both in </w:t>
      </w:r>
      <w:r w:rsidR="007C073F" w:rsidRPr="00030B29">
        <w:rPr>
          <w:sz w:val="20"/>
        </w:rPr>
        <w:t xml:space="preserve">terms of </w:t>
      </w:r>
      <w:r w:rsidR="00E7002A" w:rsidRPr="00030B29">
        <w:rPr>
          <w:sz w:val="20"/>
        </w:rPr>
        <w:t xml:space="preserve">surface area </w:t>
      </w:r>
      <w:r w:rsidR="007C073F" w:rsidRPr="00030B29">
        <w:rPr>
          <w:sz w:val="20"/>
        </w:rPr>
        <w:t xml:space="preserve">and its </w:t>
      </w:r>
      <w:r w:rsidR="00E7002A" w:rsidRPr="00030B29">
        <w:rPr>
          <w:sz w:val="20"/>
        </w:rPr>
        <w:t>number of inhabitants</w:t>
      </w:r>
      <w:r w:rsidR="00C719B8" w:rsidRPr="00030B29">
        <w:rPr>
          <w:sz w:val="20"/>
        </w:rPr>
        <w:t xml:space="preserve"> (</w:t>
      </w:r>
      <w:r w:rsidR="002D38FB" w:rsidRPr="00030B29">
        <w:rPr>
          <w:sz w:val="20"/>
        </w:rPr>
        <w:t xml:space="preserve">see </w:t>
      </w:r>
      <w:r w:rsidR="002342E5" w:rsidRPr="00030B29">
        <w:rPr>
          <w:sz w:val="20"/>
        </w:rPr>
        <w:t>main text</w:t>
      </w:r>
      <w:r w:rsidR="002D38FB" w:rsidRPr="00030B29">
        <w:rPr>
          <w:sz w:val="20"/>
        </w:rPr>
        <w:t>,</w:t>
      </w:r>
      <w:r w:rsidR="002342E5" w:rsidRPr="00030B29">
        <w:rPr>
          <w:sz w:val="20"/>
        </w:rPr>
        <w:t xml:space="preserve"> </w:t>
      </w:r>
      <w:r w:rsidR="00C719B8" w:rsidRPr="00030B29">
        <w:rPr>
          <w:sz w:val="20"/>
        </w:rPr>
        <w:t xml:space="preserve">Table </w:t>
      </w:r>
      <w:r w:rsidR="002342E5" w:rsidRPr="00030B29">
        <w:rPr>
          <w:sz w:val="20"/>
        </w:rPr>
        <w:t>5</w:t>
      </w:r>
      <w:r w:rsidR="00C719B8" w:rsidRPr="00030B29">
        <w:rPr>
          <w:sz w:val="20"/>
        </w:rPr>
        <w:t>)</w:t>
      </w:r>
      <w:r w:rsidR="00E7002A" w:rsidRPr="00030B29">
        <w:rPr>
          <w:sz w:val="20"/>
        </w:rPr>
        <w:t>.</w:t>
      </w:r>
      <w:r w:rsidR="000A0B2A" w:rsidRPr="00030B29">
        <w:rPr>
          <w:sz w:val="20"/>
        </w:rPr>
        <w:t xml:space="preserve"> According to recent calculations based on </w:t>
      </w:r>
      <w:r w:rsidR="00972A25" w:rsidRPr="00030B29">
        <w:rPr>
          <w:sz w:val="20"/>
        </w:rPr>
        <w:t>building density</w:t>
      </w:r>
      <w:r w:rsidR="000A0B2A" w:rsidRPr="00030B29">
        <w:rPr>
          <w:sz w:val="20"/>
        </w:rPr>
        <w:t xml:space="preserve"> by </w:t>
      </w:r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Van Es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r w:rsidR="002342E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&amp;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proofErr w:type="spellStart"/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Ve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>r</w:t>
      </w:r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wers</w:t>
      </w:r>
      <w:proofErr w:type="spellEnd"/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(2015</w:t>
      </w:r>
      <w:r w:rsidR="002342E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, p. 197-</w:t>
      </w:r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200) </w:t>
      </w:r>
      <w:proofErr w:type="spellStart"/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Dorestad</w:t>
      </w:r>
      <w:proofErr w:type="spellEnd"/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in its heydays </w:t>
      </w:r>
      <w:r w:rsidR="000A0B2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probably house</w:t>
      </w:r>
      <w:r w:rsidR="00972A2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d 10,000 p</w:t>
      </w:r>
      <w:r w:rsidR="00B22C58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eople. Van </w:t>
      </w:r>
      <w:proofErr w:type="spellStart"/>
      <w:r w:rsidR="00B22C58" w:rsidRPr="00030B29">
        <w:rPr>
          <w:rFonts w:eastAsia="Times New Roman" w:cstheme="minorHAnsi"/>
          <w:color w:val="000000"/>
          <w:sz w:val="20"/>
          <w:szCs w:val="18"/>
          <w:lang w:eastAsia="nl-NL"/>
        </w:rPr>
        <w:t>Rooij</w:t>
      </w:r>
      <w:r w:rsidR="00972A2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en</w:t>
      </w:r>
      <w:proofErr w:type="spellEnd"/>
      <w:r w:rsidR="00972A2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(oral communication) states that </w:t>
      </w:r>
      <w:r w:rsidR="00B22C58" w:rsidRPr="00030B29">
        <w:rPr>
          <w:rFonts w:eastAsia="Times New Roman" w:cstheme="minorHAnsi"/>
          <w:color w:val="000000"/>
          <w:sz w:val="20"/>
          <w:szCs w:val="18"/>
          <w:lang w:eastAsia="nl-NL"/>
        </w:rPr>
        <w:t>the building density in Utrecht</w:t>
      </w:r>
      <w:r w:rsidR="00972A2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will have been considerably lower </w:t>
      </w:r>
      <w:r w:rsidR="0072048E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at the start of the EMPC </w:t>
      </w:r>
      <w:r w:rsidR="00972A2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than in at the end of 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this </w:t>
      </w:r>
      <w:r w:rsidR="0072048E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period and 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>during</w:t>
      </w:r>
      <w:r w:rsidR="0072048E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the following EMPD. A</w:t>
      </w:r>
      <w:r w:rsidR="002342E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n</w:t>
      </w:r>
      <w:r w:rsidR="0072048E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estimate of 500 inhabitants for the 9</w:t>
      </w:r>
      <w:r w:rsidR="0072048E" w:rsidRPr="00030B29">
        <w:rPr>
          <w:rFonts w:eastAsia="Times New Roman" w:cstheme="minorHAnsi"/>
          <w:color w:val="000000"/>
          <w:sz w:val="20"/>
          <w:szCs w:val="18"/>
          <w:vertAlign w:val="superscript"/>
          <w:lang w:eastAsia="nl-NL"/>
        </w:rPr>
        <w:t>th</w:t>
      </w:r>
      <w:r w:rsidR="0072048E" w:rsidRPr="00030B29">
        <w:rPr>
          <w:rFonts w:eastAsia="Times New Roman" w:cstheme="minorHAnsi"/>
          <w:color w:val="000000"/>
          <w:sz w:val="20"/>
          <w:szCs w:val="18"/>
          <w:lang w:eastAsia="nl-NL"/>
        </w:rPr>
        <w:t>-10</w:t>
      </w:r>
      <w:r w:rsidR="0072048E" w:rsidRPr="00030B29">
        <w:rPr>
          <w:rFonts w:eastAsia="Times New Roman" w:cstheme="minorHAnsi"/>
          <w:color w:val="000000"/>
          <w:sz w:val="20"/>
          <w:szCs w:val="18"/>
          <w:vertAlign w:val="superscript"/>
          <w:lang w:eastAsia="nl-NL"/>
        </w:rPr>
        <w:t>th</w:t>
      </w:r>
      <w:r w:rsidR="0072048E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centuries is most likely.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r w:rsidR="00E717FA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Since the site of </w:t>
      </w:r>
      <w:proofErr w:type="spellStart"/>
      <w:r w:rsidR="00E717F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Dorestad</w:t>
      </w:r>
      <w:proofErr w:type="spellEnd"/>
      <w:r w:rsidR="00E717FA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is well excavated</w:t>
      </w:r>
      <w:r w:rsidR="002D38FB" w:rsidRPr="00030B29">
        <w:rPr>
          <w:rFonts w:eastAsia="Times New Roman" w:cstheme="minorHAnsi"/>
          <w:color w:val="000000"/>
          <w:sz w:val="20"/>
          <w:szCs w:val="18"/>
          <w:lang w:eastAsia="nl-NL"/>
        </w:rPr>
        <w:t>,</w:t>
      </w:r>
      <w:r w:rsidR="00E717FA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we have used the ratio of inhabitants per hectare of this settlement to extrapolate the population of 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Nijmegen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during the EMPC</w:t>
      </w:r>
      <w:r w:rsidR="00E717FA" w:rsidRPr="00030B29">
        <w:rPr>
          <w:rFonts w:eastAsia="Times New Roman" w:cstheme="minorHAnsi"/>
          <w:color w:val="000000"/>
          <w:sz w:val="20"/>
          <w:szCs w:val="18"/>
          <w:lang w:eastAsia="nl-NL"/>
        </w:rPr>
        <w:t>.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This is justified because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>t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he </w:t>
      </w:r>
      <w:r w:rsidR="007C073F" w:rsidRPr="00030B29">
        <w:rPr>
          <w:i/>
          <w:sz w:val="20"/>
        </w:rPr>
        <w:t>Pfalz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constructed during 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this period 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>(</w:t>
      </w:r>
      <w:r w:rsidR="002342E5" w:rsidRPr="00030B29">
        <w:rPr>
          <w:rFonts w:eastAsia="Times New Roman" w:cstheme="minorHAnsi"/>
          <w:color w:val="000000"/>
          <w:sz w:val="20"/>
          <w:szCs w:val="18"/>
          <w:lang w:eastAsia="nl-NL"/>
        </w:rPr>
        <w:t>cf</w:t>
      </w:r>
      <w:r w:rsidR="002342E5" w:rsidRPr="00030B29">
        <w:rPr>
          <w:rFonts w:eastAsia="Times New Roman" w:cstheme="minorHAnsi"/>
          <w:color w:val="000000"/>
          <w:sz w:val="20"/>
          <w:szCs w:val="20"/>
          <w:lang w:eastAsia="nl-NL"/>
        </w:rPr>
        <w:t>.</w:t>
      </w:r>
      <w:r w:rsidR="006917FC" w:rsidRPr="00030B29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Den </w:t>
      </w:r>
      <w:proofErr w:type="spellStart"/>
      <w:r w:rsidR="006917FC" w:rsidRPr="00030B29">
        <w:rPr>
          <w:rFonts w:eastAsia="Times New Roman" w:cstheme="minorHAnsi"/>
          <w:color w:val="000000"/>
          <w:sz w:val="20"/>
          <w:szCs w:val="20"/>
          <w:lang w:eastAsia="nl-NL"/>
        </w:rPr>
        <w:t>Braven</w:t>
      </w:r>
      <w:proofErr w:type="spellEnd"/>
      <w:r w:rsidR="006917FC" w:rsidRPr="00030B29">
        <w:rPr>
          <w:rFonts w:eastAsia="Times New Roman" w:cstheme="minorHAnsi"/>
          <w:color w:val="000000"/>
          <w:sz w:val="20"/>
          <w:szCs w:val="20"/>
          <w:lang w:eastAsia="nl-NL"/>
        </w:rPr>
        <w:t xml:space="preserve">, 2014) 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>must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have drawn people towards this area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>,</w:t>
      </w:r>
      <w:r w:rsidR="00B66E15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>which must have resulted in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a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relatively high</w:t>
      </w:r>
      <w:r w:rsidR="007C073F" w:rsidRPr="00030B29">
        <w:rPr>
          <w:rFonts w:eastAsia="Times New Roman" w:cstheme="minorHAnsi"/>
          <w:color w:val="000000"/>
          <w:sz w:val="20"/>
          <w:szCs w:val="18"/>
          <w:lang w:eastAsia="nl-NL"/>
        </w:rPr>
        <w:t xml:space="preserve"> </w:t>
      </w:r>
      <w:r w:rsidR="006917FC" w:rsidRPr="00030B29">
        <w:rPr>
          <w:rFonts w:eastAsia="Times New Roman" w:cstheme="minorHAnsi"/>
          <w:color w:val="000000"/>
          <w:sz w:val="20"/>
          <w:szCs w:val="18"/>
          <w:lang w:eastAsia="nl-NL"/>
        </w:rPr>
        <w:t>building density</w:t>
      </w:r>
      <w:r w:rsidR="00B66E15" w:rsidRPr="00030B29">
        <w:rPr>
          <w:rFonts w:eastAsia="Times New Roman" w:cstheme="minorHAnsi"/>
          <w:color w:val="000000"/>
          <w:sz w:val="20"/>
          <w:szCs w:val="20"/>
          <w:lang w:eastAsia="nl-NL"/>
        </w:rPr>
        <w:t>.</w:t>
      </w:r>
    </w:p>
    <w:p w:rsidR="00D577FC" w:rsidRPr="00030B29" w:rsidRDefault="00D577FC" w:rsidP="00FF2AD8">
      <w:pPr>
        <w:pStyle w:val="Geenafstand"/>
        <w:jc w:val="both"/>
        <w:rPr>
          <w:sz w:val="20"/>
        </w:rPr>
      </w:pPr>
    </w:p>
    <w:p w:rsidR="004136F4" w:rsidRPr="00030B29" w:rsidRDefault="004136F4" w:rsidP="00641886">
      <w:pPr>
        <w:pStyle w:val="Geenafstand"/>
        <w:ind w:firstLine="708"/>
        <w:jc w:val="both"/>
        <w:rPr>
          <w:sz w:val="20"/>
        </w:rPr>
      </w:pPr>
      <w:r w:rsidRPr="00030B29">
        <w:rPr>
          <w:b/>
          <w:sz w:val="20"/>
        </w:rPr>
        <w:t>Early-medieval period D</w:t>
      </w:r>
      <w:r w:rsidR="00823685" w:rsidRPr="00030B29">
        <w:rPr>
          <w:b/>
          <w:sz w:val="20"/>
        </w:rPr>
        <w:t xml:space="preserve">: AD 950 – 1050 </w:t>
      </w:r>
      <w:r w:rsidRPr="00030B29">
        <w:rPr>
          <w:b/>
          <w:sz w:val="20"/>
        </w:rPr>
        <w:t>(EMPD)</w:t>
      </w:r>
    </w:p>
    <w:p w:rsidR="004136F4" w:rsidRPr="00030B29" w:rsidRDefault="00AF0CB6" w:rsidP="00533921">
      <w:pPr>
        <w:pStyle w:val="Geenafstand"/>
        <w:jc w:val="both"/>
        <w:rPr>
          <w:sz w:val="20"/>
        </w:rPr>
      </w:pPr>
      <w:r w:rsidRPr="00030B29">
        <w:rPr>
          <w:sz w:val="20"/>
        </w:rPr>
        <w:t>T</w:t>
      </w:r>
      <w:r w:rsidR="00B66E15" w:rsidRPr="00030B29">
        <w:rPr>
          <w:sz w:val="20"/>
        </w:rPr>
        <w:t xml:space="preserve">he EMPD </w:t>
      </w:r>
      <w:r w:rsidRPr="00030B29">
        <w:rPr>
          <w:sz w:val="20"/>
        </w:rPr>
        <w:t xml:space="preserve">was characterized by </w:t>
      </w:r>
      <w:r w:rsidR="00B66E15" w:rsidRPr="00030B29">
        <w:rPr>
          <w:sz w:val="20"/>
        </w:rPr>
        <w:t>a slight drop in the number of settlements, which can be attributed to several</w:t>
      </w:r>
      <w:r w:rsidR="00533921" w:rsidRPr="00030B29">
        <w:rPr>
          <w:sz w:val="20"/>
        </w:rPr>
        <w:t xml:space="preserve"> non-exclusive</w:t>
      </w:r>
      <w:r w:rsidR="00B66E15" w:rsidRPr="00030B29">
        <w:rPr>
          <w:sz w:val="20"/>
        </w:rPr>
        <w:t xml:space="preserve"> causes: </w:t>
      </w:r>
      <w:r w:rsidR="00533921" w:rsidRPr="00030B29">
        <w:rPr>
          <w:sz w:val="20"/>
        </w:rPr>
        <w:t xml:space="preserve">(1) The EPMD </w:t>
      </w:r>
      <w:r w:rsidRPr="00030B29">
        <w:rPr>
          <w:sz w:val="20"/>
        </w:rPr>
        <w:t xml:space="preserve">only covered </w:t>
      </w:r>
      <w:r w:rsidR="00533921" w:rsidRPr="00030B29">
        <w:rPr>
          <w:sz w:val="20"/>
        </w:rPr>
        <w:t>a relatively short time span</w:t>
      </w:r>
      <w:r w:rsidRPr="00030B29">
        <w:rPr>
          <w:sz w:val="20"/>
        </w:rPr>
        <w:t>;</w:t>
      </w:r>
      <w:r w:rsidR="00533921" w:rsidRPr="00030B29">
        <w:rPr>
          <w:sz w:val="20"/>
        </w:rPr>
        <w:t xml:space="preserve"> (2) as was already suggested by </w:t>
      </w:r>
      <w:proofErr w:type="spellStart"/>
      <w:r w:rsidR="00D81DD7" w:rsidRPr="00030B29">
        <w:rPr>
          <w:sz w:val="20"/>
        </w:rPr>
        <w:t>Hamerow</w:t>
      </w:r>
      <w:proofErr w:type="spellEnd"/>
      <w:r w:rsidR="00D81DD7" w:rsidRPr="00030B29">
        <w:rPr>
          <w:sz w:val="20"/>
        </w:rPr>
        <w:t xml:space="preserve"> (2002) and Van </w:t>
      </w:r>
      <w:proofErr w:type="spellStart"/>
      <w:r w:rsidR="00D81DD7" w:rsidRPr="00030B29">
        <w:rPr>
          <w:sz w:val="20"/>
        </w:rPr>
        <w:t>Doesburg</w:t>
      </w:r>
      <w:proofErr w:type="spellEnd"/>
      <w:r w:rsidR="00D81DD7" w:rsidRPr="00030B29">
        <w:rPr>
          <w:sz w:val="20"/>
        </w:rPr>
        <w:t xml:space="preserve"> (in prep</w:t>
      </w:r>
      <w:r w:rsidRPr="00030B29">
        <w:rPr>
          <w:sz w:val="20"/>
        </w:rPr>
        <w:t>.</w:t>
      </w:r>
      <w:r w:rsidR="00D81DD7" w:rsidRPr="00030B29">
        <w:rPr>
          <w:sz w:val="20"/>
        </w:rPr>
        <w:t>)</w:t>
      </w:r>
      <w:r w:rsidRPr="00030B29">
        <w:rPr>
          <w:sz w:val="20"/>
        </w:rPr>
        <w:t xml:space="preserve">, during </w:t>
      </w:r>
      <w:r w:rsidR="00533921" w:rsidRPr="00030B29">
        <w:rPr>
          <w:sz w:val="20"/>
        </w:rPr>
        <w:t xml:space="preserve">the EMPD </w:t>
      </w:r>
      <w:r w:rsidRPr="00030B29">
        <w:rPr>
          <w:sz w:val="20"/>
        </w:rPr>
        <w:t xml:space="preserve">most likely </w:t>
      </w:r>
      <w:r w:rsidR="00D81DD7" w:rsidRPr="00030B29">
        <w:rPr>
          <w:sz w:val="20"/>
        </w:rPr>
        <w:t xml:space="preserve">the number of </w:t>
      </w:r>
      <w:r w:rsidR="00B66E15" w:rsidRPr="00030B29">
        <w:rPr>
          <w:sz w:val="20"/>
        </w:rPr>
        <w:t>houses per settleme</w:t>
      </w:r>
      <w:r w:rsidR="00D81DD7" w:rsidRPr="00030B29">
        <w:rPr>
          <w:sz w:val="20"/>
        </w:rPr>
        <w:t>nt</w:t>
      </w:r>
      <w:r w:rsidR="00CB7359" w:rsidRPr="00030B29">
        <w:rPr>
          <w:sz w:val="20"/>
        </w:rPr>
        <w:t xml:space="preserve"> increased;</w:t>
      </w:r>
      <w:r w:rsidR="00D81DD7" w:rsidRPr="00030B29">
        <w:rPr>
          <w:sz w:val="20"/>
        </w:rPr>
        <w:t xml:space="preserve"> (</w:t>
      </w:r>
      <w:r w:rsidR="00533921" w:rsidRPr="00030B29">
        <w:rPr>
          <w:sz w:val="20"/>
        </w:rPr>
        <w:t>3</w:t>
      </w:r>
      <w:r w:rsidR="00D81DD7" w:rsidRPr="00030B29">
        <w:rPr>
          <w:sz w:val="20"/>
        </w:rPr>
        <w:t xml:space="preserve">) </w:t>
      </w:r>
      <w:r w:rsidR="00CB7359" w:rsidRPr="00030B29">
        <w:rPr>
          <w:sz w:val="20"/>
        </w:rPr>
        <w:t>civil unrest caused by Viking raids (</w:t>
      </w:r>
      <w:proofErr w:type="spellStart"/>
      <w:r w:rsidR="00D81DD7" w:rsidRPr="00030B29">
        <w:rPr>
          <w:sz w:val="20"/>
        </w:rPr>
        <w:t>Henderikx</w:t>
      </w:r>
      <w:proofErr w:type="spellEnd"/>
      <w:r w:rsidR="00D81DD7" w:rsidRPr="00030B29">
        <w:rPr>
          <w:sz w:val="20"/>
        </w:rPr>
        <w:t xml:space="preserve"> 1986)</w:t>
      </w:r>
      <w:r w:rsidR="00CB7359" w:rsidRPr="00030B29">
        <w:rPr>
          <w:sz w:val="20"/>
        </w:rPr>
        <w:t xml:space="preserve">; </w:t>
      </w:r>
      <w:r w:rsidR="00533921" w:rsidRPr="00030B29">
        <w:rPr>
          <w:sz w:val="20"/>
        </w:rPr>
        <w:t>and</w:t>
      </w:r>
      <w:r w:rsidR="00D81DD7" w:rsidRPr="00030B29">
        <w:rPr>
          <w:sz w:val="20"/>
        </w:rPr>
        <w:t xml:space="preserve"> (</w:t>
      </w:r>
      <w:r w:rsidR="00533921" w:rsidRPr="00030B29">
        <w:rPr>
          <w:sz w:val="20"/>
        </w:rPr>
        <w:t>4</w:t>
      </w:r>
      <w:r w:rsidR="00D81DD7" w:rsidRPr="00030B29">
        <w:rPr>
          <w:sz w:val="20"/>
        </w:rPr>
        <w:t xml:space="preserve">) </w:t>
      </w:r>
      <w:r w:rsidR="00CB7359" w:rsidRPr="00030B29">
        <w:rPr>
          <w:sz w:val="20"/>
        </w:rPr>
        <w:t>difficulties to archaeologically date settlements to the EMPD, leading to an underrepresentation in the archaeological dataset (</w:t>
      </w:r>
      <w:r w:rsidR="00D81DD7" w:rsidRPr="00030B29">
        <w:rPr>
          <w:sz w:val="20"/>
        </w:rPr>
        <w:t>Bartels et al. 1997)</w:t>
      </w:r>
      <w:r w:rsidR="00CB7359" w:rsidRPr="00030B29">
        <w:rPr>
          <w:sz w:val="20"/>
        </w:rPr>
        <w:t>.</w:t>
      </w:r>
      <w:r w:rsidR="00533921" w:rsidRPr="00030B29">
        <w:rPr>
          <w:sz w:val="20"/>
        </w:rPr>
        <w:t xml:space="preserve"> In </w:t>
      </w:r>
      <w:r w:rsidR="00CB7359" w:rsidRPr="00030B29">
        <w:rPr>
          <w:sz w:val="20"/>
        </w:rPr>
        <w:t>the</w:t>
      </w:r>
      <w:r w:rsidR="00533921" w:rsidRPr="00030B29">
        <w:rPr>
          <w:sz w:val="20"/>
        </w:rPr>
        <w:t xml:space="preserve"> demographic calculations we have compensated for the increased habitation clustering </w:t>
      </w:r>
      <w:r w:rsidR="00CB7359" w:rsidRPr="00030B29">
        <w:rPr>
          <w:sz w:val="20"/>
        </w:rPr>
        <w:t xml:space="preserve">during this period </w:t>
      </w:r>
      <w:r w:rsidR="00533921" w:rsidRPr="00030B29">
        <w:rPr>
          <w:sz w:val="20"/>
        </w:rPr>
        <w:t xml:space="preserve">by increasing the number of houses per settlement to 5. </w:t>
      </w:r>
    </w:p>
    <w:p w:rsidR="00B66E15" w:rsidRPr="00030B29" w:rsidRDefault="00B66E15" w:rsidP="00FF2AD8">
      <w:pPr>
        <w:pStyle w:val="Geenafstand"/>
        <w:jc w:val="both"/>
        <w:rPr>
          <w:sz w:val="20"/>
        </w:rPr>
      </w:pPr>
    </w:p>
    <w:p w:rsidR="00B66E15" w:rsidRPr="00030B29" w:rsidRDefault="00B66E15" w:rsidP="00B66E15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lastRenderedPageBreak/>
        <w:t>Military presence</w:t>
      </w:r>
    </w:p>
    <w:p w:rsidR="00B66E15" w:rsidRPr="00030B29" w:rsidRDefault="00CB7359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There is no evidence of </w:t>
      </w:r>
      <w:r w:rsidR="002D38FB" w:rsidRPr="00030B29">
        <w:rPr>
          <w:sz w:val="20"/>
        </w:rPr>
        <w:t xml:space="preserve">centralised </w:t>
      </w:r>
      <w:r w:rsidRPr="00030B29">
        <w:rPr>
          <w:sz w:val="20"/>
        </w:rPr>
        <w:t>military presence during the EMPD.</w:t>
      </w:r>
      <w:r w:rsidRPr="00030B29" w:rsidDel="00CB7359">
        <w:rPr>
          <w:sz w:val="20"/>
        </w:rPr>
        <w:t xml:space="preserve"> </w:t>
      </w:r>
    </w:p>
    <w:p w:rsidR="00C909E7" w:rsidRPr="00030B29" w:rsidRDefault="00C909E7" w:rsidP="00FF2AD8">
      <w:pPr>
        <w:pStyle w:val="Geenafstand"/>
        <w:jc w:val="both"/>
        <w:rPr>
          <w:i/>
          <w:sz w:val="20"/>
        </w:rPr>
      </w:pPr>
    </w:p>
    <w:p w:rsidR="005F2F6D" w:rsidRPr="00030B29" w:rsidRDefault="005F2F6D" w:rsidP="00FF2AD8">
      <w:pPr>
        <w:pStyle w:val="Geenafstand"/>
        <w:jc w:val="both"/>
        <w:rPr>
          <w:sz w:val="20"/>
        </w:rPr>
      </w:pPr>
      <w:r w:rsidRPr="00030B29">
        <w:rPr>
          <w:i/>
          <w:sz w:val="20"/>
        </w:rPr>
        <w:t>Large settlements</w:t>
      </w:r>
    </w:p>
    <w:p w:rsidR="00D577FC" w:rsidRPr="00030B29" w:rsidRDefault="00C6477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 xml:space="preserve">In </w:t>
      </w:r>
      <w:r w:rsidR="00CB7359" w:rsidRPr="00030B29">
        <w:rPr>
          <w:sz w:val="20"/>
        </w:rPr>
        <w:t xml:space="preserve">the </w:t>
      </w:r>
      <w:r w:rsidRPr="00030B29">
        <w:rPr>
          <w:sz w:val="20"/>
        </w:rPr>
        <w:t>study area t</w:t>
      </w:r>
      <w:r w:rsidR="000B4B67" w:rsidRPr="00030B29">
        <w:rPr>
          <w:sz w:val="20"/>
        </w:rPr>
        <w:t xml:space="preserve">hree large settlements </w:t>
      </w:r>
      <w:r w:rsidR="00CB7359" w:rsidRPr="00030B29">
        <w:rPr>
          <w:sz w:val="20"/>
        </w:rPr>
        <w:t xml:space="preserve">date to </w:t>
      </w:r>
      <w:r w:rsidR="000B4B67" w:rsidRPr="00030B29">
        <w:rPr>
          <w:sz w:val="20"/>
        </w:rPr>
        <w:t>the EMPD</w:t>
      </w:r>
      <w:r w:rsidR="002D38FB" w:rsidRPr="00030B29">
        <w:rPr>
          <w:sz w:val="20"/>
        </w:rPr>
        <w:t>.</w:t>
      </w:r>
      <w:r w:rsidR="000B4B67" w:rsidRPr="00030B29">
        <w:rPr>
          <w:sz w:val="20"/>
        </w:rPr>
        <w:t xml:space="preserve"> </w:t>
      </w:r>
      <w:r w:rsidR="00CB7359" w:rsidRPr="00030B29">
        <w:rPr>
          <w:sz w:val="20"/>
        </w:rPr>
        <w:t xml:space="preserve">These were located at </w:t>
      </w:r>
      <w:r w:rsidR="000B4B67" w:rsidRPr="00030B29">
        <w:rPr>
          <w:sz w:val="20"/>
        </w:rPr>
        <w:t xml:space="preserve">Nijmegen, </w:t>
      </w:r>
      <w:proofErr w:type="spellStart"/>
      <w:r w:rsidR="000B4B67" w:rsidRPr="00030B29">
        <w:rPr>
          <w:sz w:val="20"/>
        </w:rPr>
        <w:t>Tiel</w:t>
      </w:r>
      <w:proofErr w:type="spellEnd"/>
      <w:r w:rsidR="00BE1BBB" w:rsidRPr="00030B29">
        <w:rPr>
          <w:sz w:val="20"/>
        </w:rPr>
        <w:t>,</w:t>
      </w:r>
      <w:r w:rsidR="000B4B67" w:rsidRPr="00030B29">
        <w:rPr>
          <w:sz w:val="20"/>
        </w:rPr>
        <w:t xml:space="preserve"> and Utrecht (</w:t>
      </w:r>
      <w:r w:rsidR="002D38FB" w:rsidRPr="00030B29">
        <w:rPr>
          <w:sz w:val="20"/>
        </w:rPr>
        <w:t xml:space="preserve">see </w:t>
      </w:r>
      <w:r w:rsidR="00C909E7" w:rsidRPr="00030B29">
        <w:rPr>
          <w:sz w:val="20"/>
        </w:rPr>
        <w:t>main text</w:t>
      </w:r>
      <w:r w:rsidR="002D38FB" w:rsidRPr="00030B29">
        <w:rPr>
          <w:sz w:val="20"/>
        </w:rPr>
        <w:t>,</w:t>
      </w:r>
      <w:r w:rsidR="00C909E7" w:rsidRPr="00030B29">
        <w:rPr>
          <w:sz w:val="20"/>
        </w:rPr>
        <w:t xml:space="preserve"> </w:t>
      </w:r>
      <w:r w:rsidR="000B4B67" w:rsidRPr="00030B29">
        <w:rPr>
          <w:sz w:val="20"/>
        </w:rPr>
        <w:t xml:space="preserve">Table </w:t>
      </w:r>
      <w:r w:rsidR="00C909E7" w:rsidRPr="00030B29">
        <w:rPr>
          <w:sz w:val="20"/>
        </w:rPr>
        <w:t>5</w:t>
      </w:r>
      <w:r w:rsidR="000B4B67" w:rsidRPr="00030B29">
        <w:rPr>
          <w:sz w:val="20"/>
        </w:rPr>
        <w:t xml:space="preserve">). </w:t>
      </w:r>
      <w:r w:rsidR="00CB7359" w:rsidRPr="00030B29">
        <w:rPr>
          <w:sz w:val="20"/>
        </w:rPr>
        <w:t xml:space="preserve">The settlements at </w:t>
      </w:r>
      <w:r w:rsidR="000B4B67" w:rsidRPr="00030B29">
        <w:rPr>
          <w:sz w:val="20"/>
        </w:rPr>
        <w:t xml:space="preserve">Nijmegen and Utrecht </w:t>
      </w:r>
      <w:r w:rsidR="00CB7359" w:rsidRPr="00030B29">
        <w:rPr>
          <w:sz w:val="20"/>
        </w:rPr>
        <w:t xml:space="preserve">represent continuations of the settlements located here during the </w:t>
      </w:r>
      <w:r w:rsidR="000B4B67" w:rsidRPr="00030B29">
        <w:rPr>
          <w:sz w:val="20"/>
        </w:rPr>
        <w:t xml:space="preserve">EMPC. The </w:t>
      </w:r>
      <w:r w:rsidR="007E6190" w:rsidRPr="00030B29">
        <w:rPr>
          <w:sz w:val="20"/>
        </w:rPr>
        <w:t xml:space="preserve">population </w:t>
      </w:r>
      <w:r w:rsidR="00CB7359" w:rsidRPr="00030B29">
        <w:rPr>
          <w:sz w:val="20"/>
        </w:rPr>
        <w:t xml:space="preserve">number </w:t>
      </w:r>
      <w:r w:rsidR="007E6190" w:rsidRPr="00030B29">
        <w:rPr>
          <w:sz w:val="20"/>
        </w:rPr>
        <w:t xml:space="preserve">at the </w:t>
      </w:r>
      <w:r w:rsidR="000B4B67" w:rsidRPr="00030B29">
        <w:rPr>
          <w:sz w:val="20"/>
        </w:rPr>
        <w:t>settlement</w:t>
      </w:r>
      <w:r w:rsidR="007E6190" w:rsidRPr="00030B29">
        <w:rPr>
          <w:sz w:val="20"/>
        </w:rPr>
        <w:t xml:space="preserve"> in Nijmegen</w:t>
      </w:r>
      <w:r w:rsidR="000B4B67" w:rsidRPr="00030B29">
        <w:rPr>
          <w:sz w:val="20"/>
        </w:rPr>
        <w:t xml:space="preserve"> (</w:t>
      </w:r>
      <w:r w:rsidR="00CB7359" w:rsidRPr="00030B29">
        <w:rPr>
          <w:sz w:val="20"/>
        </w:rPr>
        <w:t>which included</w:t>
      </w:r>
      <w:r w:rsidR="000B4B67" w:rsidRPr="00030B29">
        <w:rPr>
          <w:sz w:val="20"/>
        </w:rPr>
        <w:t xml:space="preserve"> </w:t>
      </w:r>
      <w:r w:rsidR="00CB7359" w:rsidRPr="00030B29">
        <w:rPr>
          <w:sz w:val="20"/>
        </w:rPr>
        <w:t xml:space="preserve">a </w:t>
      </w:r>
      <w:r w:rsidR="007E6190" w:rsidRPr="00030B29">
        <w:rPr>
          <w:i/>
          <w:sz w:val="20"/>
        </w:rPr>
        <w:t>Pfalz</w:t>
      </w:r>
      <w:r w:rsidR="007E6190" w:rsidRPr="00030B29">
        <w:rPr>
          <w:sz w:val="20"/>
        </w:rPr>
        <w:t xml:space="preserve">) appears to have remained </w:t>
      </w:r>
      <w:r w:rsidR="00CB7359" w:rsidRPr="00030B29">
        <w:rPr>
          <w:sz w:val="20"/>
        </w:rPr>
        <w:t xml:space="preserve">comparable to population numbers during </w:t>
      </w:r>
      <w:r w:rsidR="007E6190" w:rsidRPr="00030B29">
        <w:rPr>
          <w:sz w:val="20"/>
        </w:rPr>
        <w:t xml:space="preserve">the preceding EMPC </w:t>
      </w:r>
      <w:r w:rsidR="007E6190" w:rsidRPr="00030B29">
        <w:rPr>
          <w:sz w:val="20"/>
          <w:szCs w:val="20"/>
        </w:rPr>
        <w:t>(</w:t>
      </w:r>
      <w:proofErr w:type="spellStart"/>
      <w:r w:rsidR="007E6190" w:rsidRPr="00030B29">
        <w:rPr>
          <w:rFonts w:eastAsia="Times New Roman" w:cstheme="minorHAnsi"/>
          <w:color w:val="000000"/>
          <w:sz w:val="20"/>
          <w:szCs w:val="20"/>
          <w:lang w:eastAsia="nl-NL"/>
        </w:rPr>
        <w:t>Kuys</w:t>
      </w:r>
      <w:proofErr w:type="spellEnd"/>
      <w:r w:rsidR="00C909E7" w:rsidRPr="00030B29">
        <w:rPr>
          <w:rFonts w:eastAsia="Times New Roman" w:cstheme="minorHAnsi"/>
          <w:color w:val="000000"/>
          <w:sz w:val="20"/>
          <w:szCs w:val="20"/>
          <w:lang w:eastAsia="nl-NL"/>
        </w:rPr>
        <w:t xml:space="preserve"> &amp; </w:t>
      </w:r>
      <w:r w:rsidR="007E6190" w:rsidRPr="00030B29">
        <w:rPr>
          <w:rFonts w:eastAsia="Times New Roman" w:cstheme="minorHAnsi"/>
          <w:color w:val="000000"/>
          <w:sz w:val="20"/>
          <w:szCs w:val="20"/>
          <w:lang w:eastAsia="nl-NL"/>
        </w:rPr>
        <w:t xml:space="preserve">Bots, 2009; Den </w:t>
      </w:r>
      <w:proofErr w:type="spellStart"/>
      <w:r w:rsidR="007E6190" w:rsidRPr="00030B29">
        <w:rPr>
          <w:rFonts w:eastAsia="Times New Roman" w:cstheme="minorHAnsi"/>
          <w:color w:val="000000"/>
          <w:sz w:val="20"/>
          <w:szCs w:val="20"/>
          <w:lang w:eastAsia="nl-NL"/>
        </w:rPr>
        <w:t>Braven</w:t>
      </w:r>
      <w:proofErr w:type="spellEnd"/>
      <w:r w:rsidR="007E6190" w:rsidRPr="00030B29">
        <w:rPr>
          <w:rFonts w:eastAsia="Times New Roman" w:cstheme="minorHAnsi"/>
          <w:color w:val="000000"/>
          <w:sz w:val="20"/>
          <w:szCs w:val="20"/>
          <w:lang w:eastAsia="nl-NL"/>
        </w:rPr>
        <w:t>, 2014)</w:t>
      </w:r>
      <w:r w:rsidR="007E6190" w:rsidRPr="00030B29">
        <w:rPr>
          <w:sz w:val="20"/>
          <w:szCs w:val="20"/>
        </w:rPr>
        <w:t>.</w:t>
      </w:r>
      <w:r w:rsidR="007E6190" w:rsidRPr="00030B29">
        <w:rPr>
          <w:sz w:val="20"/>
        </w:rPr>
        <w:t xml:space="preserve"> In Utrecht population numbers increased rapidly, and </w:t>
      </w:r>
      <w:r w:rsidR="00CB7359" w:rsidRPr="00030B29">
        <w:rPr>
          <w:sz w:val="20"/>
        </w:rPr>
        <w:t xml:space="preserve">had </w:t>
      </w:r>
      <w:r w:rsidR="007E6190" w:rsidRPr="00030B29">
        <w:rPr>
          <w:sz w:val="20"/>
        </w:rPr>
        <w:t>almost double</w:t>
      </w:r>
      <w:r w:rsidR="00CB7359" w:rsidRPr="00030B29">
        <w:rPr>
          <w:sz w:val="20"/>
        </w:rPr>
        <w:t>d</w:t>
      </w:r>
      <w:r w:rsidR="007E6190" w:rsidRPr="00030B29">
        <w:rPr>
          <w:sz w:val="20"/>
        </w:rPr>
        <w:t xml:space="preserve"> towards the beginning of the EMPD. This rapid increase is best explained by the </w:t>
      </w:r>
      <w:r w:rsidR="00C909E7" w:rsidRPr="00030B29">
        <w:rPr>
          <w:sz w:val="20"/>
        </w:rPr>
        <w:t>arrival</w:t>
      </w:r>
      <w:r w:rsidR="007E6190" w:rsidRPr="00030B29">
        <w:rPr>
          <w:sz w:val="20"/>
        </w:rPr>
        <w:t xml:space="preserve"> of the bishop to the former </w:t>
      </w:r>
      <w:r w:rsidR="007E6190" w:rsidRPr="00030B29">
        <w:rPr>
          <w:i/>
          <w:sz w:val="20"/>
        </w:rPr>
        <w:t>castellum</w:t>
      </w:r>
      <w:r w:rsidR="007E6190" w:rsidRPr="00030B29">
        <w:rPr>
          <w:sz w:val="20"/>
        </w:rPr>
        <w:t xml:space="preserve">, which led to the development of a major ecclesiastical centre in Utrecht (Van </w:t>
      </w:r>
      <w:proofErr w:type="spellStart"/>
      <w:r w:rsidR="007E6190" w:rsidRPr="00030B29">
        <w:rPr>
          <w:sz w:val="20"/>
        </w:rPr>
        <w:t>Rooijen</w:t>
      </w:r>
      <w:proofErr w:type="spellEnd"/>
      <w:r w:rsidR="007E6190" w:rsidRPr="00030B29">
        <w:rPr>
          <w:sz w:val="20"/>
        </w:rPr>
        <w:t>, 2010</w:t>
      </w:r>
      <w:r w:rsidRPr="00030B29">
        <w:rPr>
          <w:sz w:val="20"/>
        </w:rPr>
        <w:t>)</w:t>
      </w:r>
      <w:r w:rsidR="007E6190" w:rsidRPr="00030B29">
        <w:rPr>
          <w:sz w:val="20"/>
        </w:rPr>
        <w:t xml:space="preserve">. </w:t>
      </w:r>
      <w:r w:rsidRPr="00030B29">
        <w:rPr>
          <w:sz w:val="20"/>
        </w:rPr>
        <w:t>Striking</w:t>
      </w:r>
      <w:r w:rsidR="002D38FB" w:rsidRPr="00030B29">
        <w:rPr>
          <w:sz w:val="20"/>
        </w:rPr>
        <w:t xml:space="preserve"> </w:t>
      </w:r>
      <w:r w:rsidR="007E6190" w:rsidRPr="00030B29">
        <w:rPr>
          <w:sz w:val="20"/>
        </w:rPr>
        <w:t xml:space="preserve">is the decline and eventual abandonment of </w:t>
      </w:r>
      <w:r w:rsidRPr="00030B29">
        <w:rPr>
          <w:sz w:val="20"/>
        </w:rPr>
        <w:t xml:space="preserve">the largest EMPC settlement </w:t>
      </w:r>
      <w:r w:rsidR="00CB7359" w:rsidRPr="00030B29">
        <w:rPr>
          <w:sz w:val="20"/>
        </w:rPr>
        <w:t>in the study area</w:t>
      </w:r>
      <w:r w:rsidR="009437EA" w:rsidRPr="00030B29">
        <w:rPr>
          <w:sz w:val="20"/>
        </w:rPr>
        <w:t xml:space="preserve">, </w:t>
      </w:r>
      <w:proofErr w:type="spellStart"/>
      <w:r w:rsidR="007E6190" w:rsidRPr="00030B29">
        <w:rPr>
          <w:sz w:val="20"/>
        </w:rPr>
        <w:t>Dorestad</w:t>
      </w:r>
      <w:proofErr w:type="spellEnd"/>
      <w:r w:rsidR="009437EA" w:rsidRPr="00030B29">
        <w:rPr>
          <w:sz w:val="20"/>
        </w:rPr>
        <w:t>,</w:t>
      </w:r>
      <w:r w:rsidR="007E6190" w:rsidRPr="00030B29">
        <w:rPr>
          <w:sz w:val="20"/>
        </w:rPr>
        <w:t xml:space="preserve"> and the</w:t>
      </w:r>
      <w:r w:rsidRPr="00030B29">
        <w:rPr>
          <w:sz w:val="20"/>
        </w:rPr>
        <w:t xml:space="preserve"> subsequent</w:t>
      </w:r>
      <w:r w:rsidR="007E6190" w:rsidRPr="00030B29">
        <w:rPr>
          <w:sz w:val="20"/>
        </w:rPr>
        <w:t xml:space="preserve"> rise of the settleme</w:t>
      </w:r>
      <w:r w:rsidR="00E717FA" w:rsidRPr="00030B29">
        <w:rPr>
          <w:sz w:val="20"/>
        </w:rPr>
        <w:t>nt at</w:t>
      </w:r>
      <w:r w:rsidRPr="00030B29">
        <w:rPr>
          <w:sz w:val="20"/>
        </w:rPr>
        <w:t xml:space="preserve"> </w:t>
      </w:r>
      <w:proofErr w:type="spellStart"/>
      <w:r w:rsidRPr="00030B29">
        <w:rPr>
          <w:sz w:val="20"/>
        </w:rPr>
        <w:t>Tiel</w:t>
      </w:r>
      <w:proofErr w:type="spellEnd"/>
      <w:r w:rsidR="00E717FA" w:rsidRPr="00030B29">
        <w:rPr>
          <w:sz w:val="20"/>
        </w:rPr>
        <w:t xml:space="preserve"> to the </w:t>
      </w:r>
      <w:r w:rsidR="009437EA" w:rsidRPr="00030B29">
        <w:rPr>
          <w:sz w:val="20"/>
        </w:rPr>
        <w:t>s</w:t>
      </w:r>
      <w:r w:rsidR="00E717FA" w:rsidRPr="00030B29">
        <w:rPr>
          <w:sz w:val="20"/>
        </w:rPr>
        <w:t xml:space="preserve">outh. </w:t>
      </w:r>
      <w:r w:rsidR="009437EA" w:rsidRPr="00030B29">
        <w:rPr>
          <w:sz w:val="20"/>
        </w:rPr>
        <w:t xml:space="preserve">Most likely </w:t>
      </w:r>
      <w:r w:rsidR="00E717FA" w:rsidRPr="00030B29">
        <w:rPr>
          <w:sz w:val="20"/>
        </w:rPr>
        <w:t xml:space="preserve">due to </w:t>
      </w:r>
      <w:r w:rsidR="009437EA" w:rsidRPr="00030B29">
        <w:rPr>
          <w:sz w:val="20"/>
        </w:rPr>
        <w:t xml:space="preserve">majorly </w:t>
      </w:r>
      <w:r w:rsidR="00E717FA" w:rsidRPr="00030B29">
        <w:rPr>
          <w:sz w:val="20"/>
        </w:rPr>
        <w:t xml:space="preserve">changing landscape conditions and river-transport routes, </w:t>
      </w:r>
      <w:proofErr w:type="spellStart"/>
      <w:r w:rsidR="00E717FA" w:rsidRPr="00030B29">
        <w:rPr>
          <w:sz w:val="20"/>
        </w:rPr>
        <w:t>Tiel</w:t>
      </w:r>
      <w:proofErr w:type="spellEnd"/>
      <w:r w:rsidR="00E717FA" w:rsidRPr="00030B29">
        <w:rPr>
          <w:sz w:val="20"/>
        </w:rPr>
        <w:t xml:space="preserve"> developed as</w:t>
      </w:r>
      <w:r w:rsidR="00143C19" w:rsidRPr="00030B29">
        <w:rPr>
          <w:sz w:val="20"/>
        </w:rPr>
        <w:t xml:space="preserve"> a</w:t>
      </w:r>
      <w:r w:rsidR="00E717FA" w:rsidRPr="00030B29">
        <w:rPr>
          <w:sz w:val="20"/>
        </w:rPr>
        <w:t xml:space="preserve"> trade settlement of approximately 12 h</w:t>
      </w:r>
      <w:r w:rsidR="00192061" w:rsidRPr="00030B29">
        <w:rPr>
          <w:sz w:val="20"/>
        </w:rPr>
        <w:t>a</w:t>
      </w:r>
      <w:r w:rsidR="00E717FA" w:rsidRPr="00030B29">
        <w:rPr>
          <w:sz w:val="20"/>
        </w:rPr>
        <w:t xml:space="preserve"> (</w:t>
      </w:r>
      <w:proofErr w:type="spellStart"/>
      <w:r w:rsidR="00E717FA" w:rsidRPr="00030B29">
        <w:rPr>
          <w:sz w:val="20"/>
        </w:rPr>
        <w:t>Oudhof</w:t>
      </w:r>
      <w:proofErr w:type="spellEnd"/>
      <w:r w:rsidR="00E717FA" w:rsidRPr="00030B29">
        <w:rPr>
          <w:sz w:val="20"/>
        </w:rPr>
        <w:t xml:space="preserve"> et al., 2013)</w:t>
      </w:r>
      <w:r w:rsidR="00143C19" w:rsidRPr="00030B29">
        <w:rPr>
          <w:sz w:val="20"/>
        </w:rPr>
        <w:t xml:space="preserve">. In </w:t>
      </w:r>
      <w:r w:rsidR="009437EA" w:rsidRPr="00030B29">
        <w:rPr>
          <w:sz w:val="20"/>
        </w:rPr>
        <w:t xml:space="preserve">the </w:t>
      </w:r>
      <w:r w:rsidR="00143C19" w:rsidRPr="00030B29">
        <w:rPr>
          <w:sz w:val="20"/>
        </w:rPr>
        <w:t xml:space="preserve">demographic calculations, based on the </w:t>
      </w:r>
      <w:r w:rsidR="00E717FA" w:rsidRPr="00030B29">
        <w:rPr>
          <w:sz w:val="20"/>
        </w:rPr>
        <w:t>ratio between inhabitants per hectare a</w:t>
      </w:r>
      <w:r w:rsidR="00192061" w:rsidRPr="00030B29">
        <w:rPr>
          <w:sz w:val="20"/>
        </w:rPr>
        <w:t>t</w:t>
      </w:r>
      <w:r w:rsidR="00E717FA" w:rsidRPr="00030B29">
        <w:rPr>
          <w:sz w:val="20"/>
        </w:rPr>
        <w:t xml:space="preserve"> </w:t>
      </w:r>
      <w:proofErr w:type="spellStart"/>
      <w:r w:rsidR="00E717FA" w:rsidRPr="00030B29">
        <w:rPr>
          <w:sz w:val="20"/>
        </w:rPr>
        <w:t>Dorestad</w:t>
      </w:r>
      <w:proofErr w:type="spellEnd"/>
      <w:r w:rsidR="00143C19" w:rsidRPr="00030B29">
        <w:rPr>
          <w:sz w:val="20"/>
        </w:rPr>
        <w:t>, we estimate</w:t>
      </w:r>
      <w:r w:rsidR="009437EA" w:rsidRPr="00030B29">
        <w:rPr>
          <w:sz w:val="20"/>
        </w:rPr>
        <w:t>d</w:t>
      </w:r>
      <w:r w:rsidR="00143C19" w:rsidRPr="00030B29">
        <w:rPr>
          <w:sz w:val="20"/>
        </w:rPr>
        <w:t xml:space="preserve"> the population a</w:t>
      </w:r>
      <w:r w:rsidR="00C909E7" w:rsidRPr="00030B29">
        <w:rPr>
          <w:sz w:val="20"/>
        </w:rPr>
        <w:t xml:space="preserve">t </w:t>
      </w:r>
      <w:proofErr w:type="spellStart"/>
      <w:r w:rsidR="00C909E7" w:rsidRPr="00030B29">
        <w:rPr>
          <w:sz w:val="20"/>
        </w:rPr>
        <w:t>Tiel</w:t>
      </w:r>
      <w:proofErr w:type="spellEnd"/>
      <w:r w:rsidR="00C909E7" w:rsidRPr="00030B29">
        <w:rPr>
          <w:sz w:val="20"/>
        </w:rPr>
        <w:t xml:space="preserve"> to have been around 600.</w:t>
      </w:r>
    </w:p>
    <w:p w:rsidR="00A126FE" w:rsidRPr="00030B29" w:rsidRDefault="00A126FE" w:rsidP="00FF2AD8">
      <w:pPr>
        <w:pStyle w:val="Geenafstand"/>
        <w:jc w:val="both"/>
        <w:rPr>
          <w:sz w:val="20"/>
        </w:rPr>
      </w:pPr>
    </w:p>
    <w:p w:rsidR="00250752" w:rsidRPr="00030B29" w:rsidRDefault="00956CDD" w:rsidP="00FF2AD8">
      <w:pPr>
        <w:pStyle w:val="Geenafstand"/>
        <w:jc w:val="both"/>
        <w:rPr>
          <w:b/>
          <w:sz w:val="20"/>
        </w:rPr>
      </w:pPr>
      <w:r w:rsidRPr="00030B29">
        <w:rPr>
          <w:b/>
          <w:sz w:val="20"/>
        </w:rPr>
        <w:t xml:space="preserve">Quantification of </w:t>
      </w:r>
      <w:r w:rsidR="00250752" w:rsidRPr="00030B29">
        <w:rPr>
          <w:b/>
          <w:sz w:val="20"/>
        </w:rPr>
        <w:t>Roman and early-medieval popula</w:t>
      </w:r>
      <w:r w:rsidRPr="00030B29">
        <w:rPr>
          <w:b/>
          <w:sz w:val="20"/>
        </w:rPr>
        <w:t>tion</w:t>
      </w:r>
    </w:p>
    <w:p w:rsidR="00250752" w:rsidRPr="00030B29" w:rsidRDefault="00250752" w:rsidP="00FF2AD8">
      <w:pPr>
        <w:pStyle w:val="Geenafstand"/>
        <w:jc w:val="both"/>
        <w:rPr>
          <w:sz w:val="20"/>
        </w:rPr>
      </w:pPr>
      <w:r w:rsidRPr="00030B29">
        <w:rPr>
          <w:sz w:val="20"/>
        </w:rPr>
        <w:t>Based on the presented trends per ABR-subperiod we have quantified the rural population, potential military presence</w:t>
      </w:r>
      <w:r w:rsidR="00C909E7" w:rsidRPr="00030B29">
        <w:rPr>
          <w:sz w:val="20"/>
        </w:rPr>
        <w:t>,</w:t>
      </w:r>
      <w:r w:rsidRPr="00030B29">
        <w:rPr>
          <w:sz w:val="20"/>
        </w:rPr>
        <w:t xml:space="preserve"> and demographics per large settlement</w:t>
      </w:r>
      <w:r w:rsidR="009E5230" w:rsidRPr="00030B29">
        <w:rPr>
          <w:sz w:val="20"/>
        </w:rPr>
        <w:t xml:space="preserve"> (</w:t>
      </w:r>
      <w:r w:rsidR="00C909E7" w:rsidRPr="00030B29">
        <w:rPr>
          <w:sz w:val="20"/>
        </w:rPr>
        <w:t>Table</w:t>
      </w:r>
      <w:r w:rsidR="009E5230" w:rsidRPr="00030B29">
        <w:rPr>
          <w:sz w:val="20"/>
        </w:rPr>
        <w:t xml:space="preserve"> </w:t>
      </w:r>
      <w:r w:rsidR="00E76907" w:rsidRPr="00030B29">
        <w:rPr>
          <w:sz w:val="20"/>
        </w:rPr>
        <w:t>A.</w:t>
      </w:r>
      <w:r w:rsidR="00C909E7" w:rsidRPr="00030B29">
        <w:rPr>
          <w:sz w:val="20"/>
        </w:rPr>
        <w:t xml:space="preserve">2 and A.3; </w:t>
      </w:r>
      <w:r w:rsidR="00192061" w:rsidRPr="00030B29">
        <w:rPr>
          <w:sz w:val="20"/>
        </w:rPr>
        <w:t xml:space="preserve">also see the main text, </w:t>
      </w:r>
      <w:r w:rsidR="00C909E7" w:rsidRPr="00030B29">
        <w:rPr>
          <w:sz w:val="20"/>
        </w:rPr>
        <w:t>Table</w:t>
      </w:r>
      <w:r w:rsidR="00962B09" w:rsidRPr="00030B29">
        <w:rPr>
          <w:sz w:val="20"/>
        </w:rPr>
        <w:t>s</w:t>
      </w:r>
      <w:r w:rsidR="00C909E7" w:rsidRPr="00030B29">
        <w:rPr>
          <w:sz w:val="20"/>
        </w:rPr>
        <w:t xml:space="preserve"> 5</w:t>
      </w:r>
      <w:r w:rsidR="00962B09" w:rsidRPr="00030B29">
        <w:rPr>
          <w:sz w:val="20"/>
        </w:rPr>
        <w:t>-7</w:t>
      </w:r>
      <w:r w:rsidR="009E5230" w:rsidRPr="00030B29">
        <w:rPr>
          <w:sz w:val="20"/>
        </w:rPr>
        <w:t>)</w:t>
      </w:r>
      <w:r w:rsidRPr="00030B29">
        <w:rPr>
          <w:sz w:val="20"/>
        </w:rPr>
        <w:t>.</w:t>
      </w:r>
    </w:p>
    <w:p w:rsidR="00E76907" w:rsidRPr="00030B29" w:rsidRDefault="00E76907" w:rsidP="00E76907">
      <w:pPr>
        <w:pStyle w:val="Geenafstand"/>
        <w:rPr>
          <w:i/>
          <w:sz w:val="20"/>
        </w:rPr>
      </w:pPr>
    </w:p>
    <w:p w:rsidR="00E76907" w:rsidRPr="00030B29" w:rsidRDefault="00E76907" w:rsidP="00C909E7">
      <w:pPr>
        <w:pStyle w:val="Geenafstand"/>
        <w:jc w:val="both"/>
        <w:rPr>
          <w:i/>
          <w:sz w:val="20"/>
        </w:rPr>
      </w:pPr>
      <w:r w:rsidRPr="00030B29">
        <w:rPr>
          <w:sz w:val="20"/>
        </w:rPr>
        <w:t>Table A.</w:t>
      </w:r>
      <w:r w:rsidR="00C909E7" w:rsidRPr="00030B29">
        <w:rPr>
          <w:sz w:val="20"/>
        </w:rPr>
        <w:t>2</w:t>
      </w:r>
      <w:r w:rsidRPr="00030B29">
        <w:rPr>
          <w:sz w:val="20"/>
        </w:rPr>
        <w:t xml:space="preserve"> |</w:t>
      </w:r>
      <w:r w:rsidRPr="00030B29">
        <w:rPr>
          <w:i/>
          <w:sz w:val="20"/>
        </w:rPr>
        <w:t xml:space="preserve"> </w:t>
      </w:r>
      <w:r w:rsidR="0028096B" w:rsidRPr="00030B29">
        <w:rPr>
          <w:i/>
          <w:sz w:val="20"/>
        </w:rPr>
        <w:t xml:space="preserve">Reconstructed </w:t>
      </w:r>
      <w:r w:rsidRPr="00030B29">
        <w:rPr>
          <w:i/>
          <w:sz w:val="20"/>
        </w:rPr>
        <w:t xml:space="preserve">rural population per ABR-subperiod. Calculations are based on </w:t>
      </w:r>
      <w:r w:rsidR="0028096B" w:rsidRPr="00030B29">
        <w:rPr>
          <w:i/>
          <w:sz w:val="20"/>
        </w:rPr>
        <w:t xml:space="preserve">the </w:t>
      </w:r>
      <w:r w:rsidRPr="00030B29">
        <w:rPr>
          <w:i/>
          <w:sz w:val="20"/>
        </w:rPr>
        <w:t xml:space="preserve">archaeological </w:t>
      </w:r>
      <w:r w:rsidR="0028096B" w:rsidRPr="00030B29">
        <w:rPr>
          <w:i/>
          <w:sz w:val="20"/>
        </w:rPr>
        <w:t xml:space="preserve">publications </w:t>
      </w:r>
      <w:r w:rsidRPr="00030B29">
        <w:rPr>
          <w:i/>
          <w:sz w:val="20"/>
        </w:rPr>
        <w:t xml:space="preserve">specified in Table </w:t>
      </w:r>
      <w:r w:rsidR="00C909E7" w:rsidRPr="00030B29">
        <w:rPr>
          <w:i/>
          <w:sz w:val="20"/>
        </w:rPr>
        <w:t>3 of the main text</w:t>
      </w:r>
      <w:r w:rsidRPr="00030B29">
        <w:rPr>
          <w:i/>
          <w:sz w:val="20"/>
        </w:rPr>
        <w:t>.</w:t>
      </w:r>
    </w:p>
    <w:p w:rsidR="00250752" w:rsidRPr="00030B29" w:rsidRDefault="00250752" w:rsidP="00FF2AD8">
      <w:pPr>
        <w:pStyle w:val="Geenafstand"/>
        <w:jc w:val="both"/>
        <w:rPr>
          <w:sz w:val="20"/>
        </w:rPr>
      </w:pPr>
    </w:p>
    <w:tbl>
      <w:tblPr>
        <w:tblStyle w:val="Rastertabel41"/>
        <w:tblW w:w="7479" w:type="dxa"/>
        <w:jc w:val="center"/>
        <w:tblLook w:val="04A0" w:firstRow="1" w:lastRow="0" w:firstColumn="1" w:lastColumn="0" w:noHBand="0" w:noVBand="1"/>
      </w:tblPr>
      <w:tblGrid>
        <w:gridCol w:w="1167"/>
        <w:gridCol w:w="1087"/>
        <w:gridCol w:w="958"/>
        <w:gridCol w:w="851"/>
        <w:gridCol w:w="1007"/>
        <w:gridCol w:w="1275"/>
        <w:gridCol w:w="1134"/>
      </w:tblGrid>
      <w:tr w:rsidR="00250752" w:rsidRPr="00030B29" w:rsidTr="00250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gridSpan w:val="7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>Rural settlements</w:t>
            </w:r>
          </w:p>
        </w:tc>
      </w:tr>
      <w:tr w:rsidR="00250752" w:rsidRPr="00030B29" w:rsidTr="00250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</w:p>
          <w:p w:rsidR="00250752" w:rsidRPr="00030B29" w:rsidRDefault="00250752" w:rsidP="0025075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>Period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N settlements</w:t>
            </w:r>
          </w:p>
        </w:tc>
        <w:tc>
          <w:tcPr>
            <w:tcW w:w="958" w:type="dxa"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Estimated discovery rate 50%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AvG</w:t>
            </w:r>
            <w:proofErr w:type="spellEnd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 xml:space="preserve"> houses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N houses</w:t>
            </w:r>
          </w:p>
        </w:tc>
        <w:tc>
          <w:tcPr>
            <w:tcW w:w="1275" w:type="dxa"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AvG</w:t>
            </w:r>
            <w:proofErr w:type="spellEnd"/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 xml:space="preserve"> individual</w:t>
            </w: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br/>
              <w:t xml:space="preserve"> per house</w:t>
            </w:r>
          </w:p>
        </w:tc>
        <w:tc>
          <w:tcPr>
            <w:tcW w:w="1134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nl-NL"/>
              </w:rPr>
              <w:t>N people</w:t>
            </w:r>
          </w:p>
        </w:tc>
      </w:tr>
      <w:tr w:rsidR="00250752" w:rsidRPr="00030B29" w:rsidTr="002507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ERP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1234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2468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1,5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3702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24063</w:t>
            </w:r>
          </w:p>
        </w:tc>
      </w:tr>
      <w:tr w:rsidR="00250752" w:rsidRPr="00030B29" w:rsidTr="00250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MRP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1619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3238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9714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63141</w:t>
            </w:r>
          </w:p>
        </w:tc>
      </w:tr>
      <w:tr w:rsidR="00250752" w:rsidRPr="00030B29" w:rsidTr="002507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LRP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664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1328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1,5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1992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12948</w:t>
            </w:r>
          </w:p>
        </w:tc>
      </w:tr>
      <w:tr w:rsidR="00250752" w:rsidRPr="00030B29" w:rsidTr="00250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EMPA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306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612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1836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11934</w:t>
            </w:r>
          </w:p>
        </w:tc>
      </w:tr>
      <w:tr w:rsidR="00250752" w:rsidRPr="00030B29" w:rsidTr="002507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EMPB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428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856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2568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16692</w:t>
            </w:r>
          </w:p>
        </w:tc>
      </w:tr>
      <w:tr w:rsidR="00250752" w:rsidRPr="00030B29" w:rsidTr="00250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EMPC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818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1636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4908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31902</w:t>
            </w:r>
          </w:p>
        </w:tc>
      </w:tr>
      <w:tr w:rsidR="00250752" w:rsidRPr="00030B29" w:rsidTr="002507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EMPD</w:t>
            </w:r>
          </w:p>
        </w:tc>
        <w:tc>
          <w:tcPr>
            <w:tcW w:w="108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711</w:t>
            </w:r>
          </w:p>
        </w:tc>
        <w:tc>
          <w:tcPr>
            <w:tcW w:w="958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1422</w:t>
            </w:r>
          </w:p>
        </w:tc>
        <w:tc>
          <w:tcPr>
            <w:tcW w:w="851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7110</w:t>
            </w:r>
          </w:p>
        </w:tc>
        <w:tc>
          <w:tcPr>
            <w:tcW w:w="1275" w:type="dxa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6,5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:rsidR="00250752" w:rsidRPr="00030B29" w:rsidRDefault="00250752" w:rsidP="0025075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46215</w:t>
            </w:r>
          </w:p>
        </w:tc>
      </w:tr>
    </w:tbl>
    <w:p w:rsidR="00250752" w:rsidRPr="00030B29" w:rsidRDefault="00250752" w:rsidP="00FF2AD8">
      <w:pPr>
        <w:pStyle w:val="Geenafstand"/>
        <w:jc w:val="both"/>
        <w:rPr>
          <w:sz w:val="20"/>
        </w:rPr>
      </w:pPr>
    </w:p>
    <w:p w:rsidR="00E76907" w:rsidRPr="00030B29" w:rsidRDefault="00E76907" w:rsidP="00FF2AD8">
      <w:pPr>
        <w:pStyle w:val="Geenafstand"/>
        <w:jc w:val="both"/>
        <w:rPr>
          <w:sz w:val="20"/>
        </w:rPr>
      </w:pPr>
    </w:p>
    <w:p w:rsidR="00E76907" w:rsidRPr="00030B29" w:rsidRDefault="00E76907" w:rsidP="00E76907">
      <w:pPr>
        <w:pStyle w:val="Geenafstand"/>
        <w:jc w:val="both"/>
        <w:rPr>
          <w:sz w:val="20"/>
        </w:rPr>
      </w:pPr>
    </w:p>
    <w:p w:rsidR="00E76907" w:rsidRPr="00030B29" w:rsidRDefault="00E76907" w:rsidP="00E76907">
      <w:pPr>
        <w:pStyle w:val="Geenafstand"/>
        <w:jc w:val="both"/>
        <w:rPr>
          <w:i/>
          <w:sz w:val="20"/>
        </w:rPr>
      </w:pPr>
      <w:r w:rsidRPr="00030B29">
        <w:rPr>
          <w:sz w:val="20"/>
        </w:rPr>
        <w:t>Table A.</w:t>
      </w:r>
      <w:r w:rsidR="00C909E7" w:rsidRPr="00030B29">
        <w:rPr>
          <w:sz w:val="20"/>
        </w:rPr>
        <w:t>3</w:t>
      </w:r>
      <w:r w:rsidRPr="00030B29">
        <w:rPr>
          <w:sz w:val="20"/>
        </w:rPr>
        <w:t xml:space="preserve"> |</w:t>
      </w:r>
      <w:r w:rsidRPr="00030B29">
        <w:rPr>
          <w:i/>
          <w:sz w:val="20"/>
        </w:rPr>
        <w:t xml:space="preserve"> </w:t>
      </w:r>
      <w:r w:rsidR="0028096B" w:rsidRPr="00030B29">
        <w:rPr>
          <w:i/>
          <w:sz w:val="20"/>
        </w:rPr>
        <w:t>Reconstructed</w:t>
      </w:r>
      <w:r w:rsidRPr="00030B29">
        <w:rPr>
          <w:i/>
          <w:sz w:val="20"/>
        </w:rPr>
        <w:t xml:space="preserve"> military presence in the study area during the ERP and MRP.</w:t>
      </w:r>
    </w:p>
    <w:p w:rsidR="00250752" w:rsidRPr="00030B29" w:rsidRDefault="00250752" w:rsidP="00FF2AD8">
      <w:pPr>
        <w:pStyle w:val="Geenafstand"/>
        <w:jc w:val="both"/>
        <w:rPr>
          <w:sz w:val="20"/>
        </w:rPr>
      </w:pPr>
    </w:p>
    <w:tbl>
      <w:tblPr>
        <w:tblStyle w:val="Rastertabel41"/>
        <w:tblW w:w="9606" w:type="dxa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276"/>
        <w:gridCol w:w="1276"/>
      </w:tblGrid>
      <w:tr w:rsidR="003D49D2" w:rsidRPr="00030B29" w:rsidTr="00996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Name </w:t>
            </w:r>
            <w:r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>castellum</w:t>
            </w:r>
            <w:r w:rsidR="00201660"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 xml:space="preserve">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or </w:t>
            </w:r>
            <w:r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>castra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 xml:space="preserve"> (in study area)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N people </w:t>
            </w:r>
            <w:r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>castellum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 AD 70 - 104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N people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</w:r>
            <w:r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>vicus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>AD 70 - 104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Total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>population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>AD 70 - 104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N people </w:t>
            </w:r>
            <w:r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>castellum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 AD 104 -270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N people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</w:r>
            <w:r w:rsidRPr="00030B29">
              <w:rPr>
                <w:rFonts w:eastAsia="Times New Roman" w:cstheme="minorHAnsi"/>
                <w:i/>
                <w:iCs/>
                <w:color w:val="FFFFFF"/>
                <w:sz w:val="18"/>
                <w:szCs w:val="18"/>
                <w:lang w:eastAsia="nl-NL"/>
              </w:rPr>
              <w:t>vicus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 xml:space="preserve">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>AD 104 - 270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3D49D2" w:rsidRPr="00030B29" w:rsidRDefault="003D49D2" w:rsidP="003D49D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>Total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 xml:space="preserve"> population </w:t>
            </w: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br/>
              <w:t>AD 104 - 270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Arnhem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Meinerswijk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Nijmegen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4000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14000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2000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Woerden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Utrecht De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Meern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Utrecht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Domplein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Vechten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Rijswijk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Roodvoet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Maurik</w:t>
            </w:r>
            <w:proofErr w:type="spellEnd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Eckse</w:t>
            </w:r>
            <w:proofErr w:type="spellEnd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Waarden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val="nl-NL"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val="nl-NL" w:eastAsia="nl-NL"/>
              </w:rPr>
              <w:t>Kesteren Lede en Oude Waard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lastRenderedPageBreak/>
              <w:t>Duiven</w:t>
            </w:r>
            <w:proofErr w:type="spellEnd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Loowaard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Herwen</w:t>
            </w:r>
            <w:proofErr w:type="spellEnd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 De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Bijland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Randwijk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Driel</w:t>
            </w:r>
            <w:proofErr w:type="spellEnd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Baarskamp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Huissen</w:t>
            </w:r>
            <w:proofErr w:type="spellEnd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Hazebergh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996A42" w:rsidRPr="00030B29" w:rsidTr="00996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 xml:space="preserve">Rossum </w:t>
            </w:r>
            <w:proofErr w:type="spellStart"/>
            <w:r w:rsidRPr="00030B29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nl-NL"/>
              </w:rPr>
              <w:t>Kloosterwaard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700</w:t>
            </w:r>
          </w:p>
        </w:tc>
      </w:tr>
      <w:tr w:rsidR="003D49D2" w:rsidRPr="00201660" w:rsidTr="00996A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single" w:sz="4" w:space="0" w:color="auto"/>
            </w:tcBorders>
            <w:shd w:val="clear" w:color="auto" w:fill="000000" w:themeFill="text1"/>
            <w:hideMark/>
          </w:tcPr>
          <w:p w:rsidR="003D49D2" w:rsidRPr="00030B29" w:rsidRDefault="003D49D2" w:rsidP="003D49D2">
            <w:pPr>
              <w:spacing w:after="0" w:line="240" w:lineRule="auto"/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color w:val="FFFFFF"/>
                <w:sz w:val="18"/>
                <w:szCs w:val="18"/>
                <w:lang w:eastAsia="nl-NL"/>
              </w:rPr>
              <w:t>Total 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8900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14900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23800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5900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:rsidR="003D49D2" w:rsidRPr="00030B29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5900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:rsidR="003D49D2" w:rsidRPr="003D49D2" w:rsidRDefault="003D49D2" w:rsidP="003D49D2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</w:pPr>
            <w:r w:rsidRPr="00030B2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nl-NL"/>
              </w:rPr>
              <w:t>11800</w:t>
            </w:r>
            <w:bookmarkStart w:id="0" w:name="_GoBack"/>
            <w:bookmarkEnd w:id="0"/>
          </w:p>
        </w:tc>
      </w:tr>
    </w:tbl>
    <w:p w:rsidR="00E76907" w:rsidRDefault="00E76907" w:rsidP="00E76907">
      <w:pPr>
        <w:pStyle w:val="Geenafstand"/>
        <w:jc w:val="both"/>
        <w:rPr>
          <w:sz w:val="20"/>
        </w:rPr>
      </w:pPr>
    </w:p>
    <w:sectPr w:rsidR="00E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7C" w:rsidRDefault="00465D7C" w:rsidP="004C70C1">
      <w:pPr>
        <w:spacing w:after="0" w:line="240" w:lineRule="auto"/>
      </w:pPr>
      <w:r>
        <w:separator/>
      </w:r>
    </w:p>
  </w:endnote>
  <w:endnote w:type="continuationSeparator" w:id="0">
    <w:p w:rsidR="00465D7C" w:rsidRDefault="00465D7C" w:rsidP="004C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7C" w:rsidRDefault="00465D7C" w:rsidP="004C70C1">
      <w:pPr>
        <w:spacing w:after="0" w:line="240" w:lineRule="auto"/>
      </w:pPr>
      <w:r>
        <w:separator/>
      </w:r>
    </w:p>
  </w:footnote>
  <w:footnote w:type="continuationSeparator" w:id="0">
    <w:p w:rsidR="00465D7C" w:rsidRDefault="00465D7C" w:rsidP="004C70C1">
      <w:pPr>
        <w:spacing w:after="0" w:line="240" w:lineRule="auto"/>
      </w:pPr>
      <w:r>
        <w:continuationSeparator/>
      </w:r>
    </w:p>
  </w:footnote>
  <w:footnote w:id="1">
    <w:p w:rsidR="00737EF1" w:rsidRPr="004C70C1" w:rsidRDefault="00737EF1">
      <w:pPr>
        <w:pStyle w:val="Voetnoottekst"/>
        <w:rPr>
          <w:sz w:val="16"/>
          <w:szCs w:val="16"/>
        </w:rPr>
      </w:pPr>
      <w:r w:rsidRPr="004C70C1">
        <w:rPr>
          <w:rStyle w:val="Voetnootmarkering"/>
          <w:sz w:val="16"/>
          <w:szCs w:val="16"/>
        </w:rPr>
        <w:footnoteRef/>
      </w:r>
      <w:r w:rsidRPr="004C70C1">
        <w:rPr>
          <w:sz w:val="16"/>
          <w:szCs w:val="16"/>
        </w:rPr>
        <w:t xml:space="preserve"> </w:t>
      </w:r>
      <w:r>
        <w:rPr>
          <w:sz w:val="16"/>
          <w:szCs w:val="16"/>
        </w:rPr>
        <w:t>An o</w:t>
      </w:r>
      <w:r w:rsidRPr="004C70C1">
        <w:rPr>
          <w:sz w:val="16"/>
          <w:szCs w:val="16"/>
        </w:rPr>
        <w:t xml:space="preserve">verview of </w:t>
      </w:r>
      <w:r>
        <w:rPr>
          <w:sz w:val="16"/>
          <w:szCs w:val="16"/>
        </w:rPr>
        <w:t>LRP</w:t>
      </w:r>
      <w:r w:rsidRPr="004C70C1">
        <w:rPr>
          <w:sz w:val="16"/>
          <w:szCs w:val="16"/>
        </w:rPr>
        <w:t xml:space="preserve"> military sites and the </w:t>
      </w:r>
      <w:r>
        <w:rPr>
          <w:sz w:val="16"/>
          <w:szCs w:val="16"/>
        </w:rPr>
        <w:t xml:space="preserve">corresponding </w:t>
      </w:r>
      <w:r w:rsidRPr="004C70C1">
        <w:rPr>
          <w:sz w:val="16"/>
          <w:szCs w:val="16"/>
        </w:rPr>
        <w:t>number</w:t>
      </w:r>
      <w:r>
        <w:rPr>
          <w:sz w:val="16"/>
          <w:szCs w:val="16"/>
        </w:rPr>
        <w:t>s</w:t>
      </w:r>
      <w:r w:rsidRPr="004C70C1">
        <w:rPr>
          <w:sz w:val="16"/>
          <w:szCs w:val="16"/>
        </w:rPr>
        <w:t xml:space="preserve"> of soldiers were provided by dr. S. Heeren</w:t>
      </w:r>
      <w:r>
        <w:rPr>
          <w:sz w:val="16"/>
          <w:szCs w:val="16"/>
        </w:rPr>
        <w:t>, to w</w:t>
      </w:r>
      <w:r w:rsidRPr="004C70C1">
        <w:rPr>
          <w:sz w:val="16"/>
          <w:szCs w:val="16"/>
        </w:rPr>
        <w:t xml:space="preserve">hom we are extremely grateful.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74A"/>
    <w:multiLevelType w:val="hybridMultilevel"/>
    <w:tmpl w:val="490019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4D80"/>
    <w:multiLevelType w:val="hybridMultilevel"/>
    <w:tmpl w:val="057E1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A3B4B"/>
    <w:multiLevelType w:val="hybridMultilevel"/>
    <w:tmpl w:val="D26862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14E54"/>
    <w:multiLevelType w:val="hybridMultilevel"/>
    <w:tmpl w:val="4C1A1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53DC0"/>
    <w:multiLevelType w:val="hybridMultilevel"/>
    <w:tmpl w:val="68AAACC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72EBC"/>
    <w:multiLevelType w:val="hybridMultilevel"/>
    <w:tmpl w:val="49DE5B3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29"/>
    <w:rsid w:val="0000180B"/>
    <w:rsid w:val="00004F46"/>
    <w:rsid w:val="00015F46"/>
    <w:rsid w:val="000168F6"/>
    <w:rsid w:val="00030556"/>
    <w:rsid w:val="00030B29"/>
    <w:rsid w:val="00041C83"/>
    <w:rsid w:val="00044F50"/>
    <w:rsid w:val="00047D05"/>
    <w:rsid w:val="000638E4"/>
    <w:rsid w:val="00082036"/>
    <w:rsid w:val="00087B13"/>
    <w:rsid w:val="000912F2"/>
    <w:rsid w:val="00097DF0"/>
    <w:rsid w:val="000A0B2A"/>
    <w:rsid w:val="000B3C3D"/>
    <w:rsid w:val="000B4B67"/>
    <w:rsid w:val="000D1747"/>
    <w:rsid w:val="000E4C29"/>
    <w:rsid w:val="000F2E3E"/>
    <w:rsid w:val="000F7966"/>
    <w:rsid w:val="00114B59"/>
    <w:rsid w:val="001154E6"/>
    <w:rsid w:val="001200C4"/>
    <w:rsid w:val="00121D25"/>
    <w:rsid w:val="00143C19"/>
    <w:rsid w:val="001461C4"/>
    <w:rsid w:val="00170F60"/>
    <w:rsid w:val="00177C25"/>
    <w:rsid w:val="00192061"/>
    <w:rsid w:val="001A3A83"/>
    <w:rsid w:val="001A5C1F"/>
    <w:rsid w:val="001C250F"/>
    <w:rsid w:val="001E0231"/>
    <w:rsid w:val="001E5637"/>
    <w:rsid w:val="001E5784"/>
    <w:rsid w:val="001E7428"/>
    <w:rsid w:val="00201660"/>
    <w:rsid w:val="00223B2A"/>
    <w:rsid w:val="00224041"/>
    <w:rsid w:val="002335D1"/>
    <w:rsid w:val="002342E5"/>
    <w:rsid w:val="002370E5"/>
    <w:rsid w:val="002373E9"/>
    <w:rsid w:val="00250752"/>
    <w:rsid w:val="00261DFA"/>
    <w:rsid w:val="0028096B"/>
    <w:rsid w:val="00284F98"/>
    <w:rsid w:val="0028584C"/>
    <w:rsid w:val="0028637A"/>
    <w:rsid w:val="0028793C"/>
    <w:rsid w:val="002903A1"/>
    <w:rsid w:val="002B095A"/>
    <w:rsid w:val="002C3C40"/>
    <w:rsid w:val="002D38FB"/>
    <w:rsid w:val="002D3BAF"/>
    <w:rsid w:val="002F1577"/>
    <w:rsid w:val="002F4DC7"/>
    <w:rsid w:val="00307A17"/>
    <w:rsid w:val="00316007"/>
    <w:rsid w:val="00325CC4"/>
    <w:rsid w:val="00370D0F"/>
    <w:rsid w:val="00371231"/>
    <w:rsid w:val="00382708"/>
    <w:rsid w:val="00384CA2"/>
    <w:rsid w:val="00385CC3"/>
    <w:rsid w:val="003877F8"/>
    <w:rsid w:val="00395A26"/>
    <w:rsid w:val="00396739"/>
    <w:rsid w:val="003A1B33"/>
    <w:rsid w:val="003A4464"/>
    <w:rsid w:val="003A560C"/>
    <w:rsid w:val="003C1791"/>
    <w:rsid w:val="003D1AAB"/>
    <w:rsid w:val="003D49D2"/>
    <w:rsid w:val="003E6360"/>
    <w:rsid w:val="003F2748"/>
    <w:rsid w:val="003F7193"/>
    <w:rsid w:val="00402433"/>
    <w:rsid w:val="00404DD9"/>
    <w:rsid w:val="00412F93"/>
    <w:rsid w:val="004136F4"/>
    <w:rsid w:val="00423E0F"/>
    <w:rsid w:val="004367A0"/>
    <w:rsid w:val="004458A7"/>
    <w:rsid w:val="00457704"/>
    <w:rsid w:val="00457A3B"/>
    <w:rsid w:val="00465B5D"/>
    <w:rsid w:val="00465BE8"/>
    <w:rsid w:val="00465D7C"/>
    <w:rsid w:val="00481B5E"/>
    <w:rsid w:val="0048758F"/>
    <w:rsid w:val="004C23A8"/>
    <w:rsid w:val="004C6149"/>
    <w:rsid w:val="004C70C1"/>
    <w:rsid w:val="004E2E38"/>
    <w:rsid w:val="004F2EFB"/>
    <w:rsid w:val="004F7F3F"/>
    <w:rsid w:val="00522D7C"/>
    <w:rsid w:val="00533921"/>
    <w:rsid w:val="005538F0"/>
    <w:rsid w:val="0055766C"/>
    <w:rsid w:val="005655D3"/>
    <w:rsid w:val="00565D68"/>
    <w:rsid w:val="0057246B"/>
    <w:rsid w:val="00573545"/>
    <w:rsid w:val="00590338"/>
    <w:rsid w:val="005919A2"/>
    <w:rsid w:val="005D18E8"/>
    <w:rsid w:val="005E2852"/>
    <w:rsid w:val="005F0432"/>
    <w:rsid w:val="005F04FC"/>
    <w:rsid w:val="005F2BF8"/>
    <w:rsid w:val="005F2F6D"/>
    <w:rsid w:val="005F6293"/>
    <w:rsid w:val="006151B2"/>
    <w:rsid w:val="00617114"/>
    <w:rsid w:val="00626725"/>
    <w:rsid w:val="00641886"/>
    <w:rsid w:val="00641CAB"/>
    <w:rsid w:val="00650398"/>
    <w:rsid w:val="00664639"/>
    <w:rsid w:val="00674F7A"/>
    <w:rsid w:val="006917FC"/>
    <w:rsid w:val="006A3284"/>
    <w:rsid w:val="006B27EC"/>
    <w:rsid w:val="006C3121"/>
    <w:rsid w:val="006C3F10"/>
    <w:rsid w:val="006D065E"/>
    <w:rsid w:val="006E2FD7"/>
    <w:rsid w:val="006F619C"/>
    <w:rsid w:val="00706C3B"/>
    <w:rsid w:val="0071102B"/>
    <w:rsid w:val="0072048E"/>
    <w:rsid w:val="00734E7E"/>
    <w:rsid w:val="00737EF1"/>
    <w:rsid w:val="00741BFA"/>
    <w:rsid w:val="00751B90"/>
    <w:rsid w:val="0076447E"/>
    <w:rsid w:val="00771F67"/>
    <w:rsid w:val="00785B35"/>
    <w:rsid w:val="007920D9"/>
    <w:rsid w:val="007B5215"/>
    <w:rsid w:val="007B658E"/>
    <w:rsid w:val="007B74BB"/>
    <w:rsid w:val="007C073F"/>
    <w:rsid w:val="007E6190"/>
    <w:rsid w:val="007F1F57"/>
    <w:rsid w:val="00823685"/>
    <w:rsid w:val="00825331"/>
    <w:rsid w:val="00825C49"/>
    <w:rsid w:val="00830741"/>
    <w:rsid w:val="00835C7E"/>
    <w:rsid w:val="00857E8C"/>
    <w:rsid w:val="008717CA"/>
    <w:rsid w:val="00871BE6"/>
    <w:rsid w:val="00884EC0"/>
    <w:rsid w:val="008A3240"/>
    <w:rsid w:val="008E767B"/>
    <w:rsid w:val="008F7CA9"/>
    <w:rsid w:val="00922A1C"/>
    <w:rsid w:val="00927671"/>
    <w:rsid w:val="0093762E"/>
    <w:rsid w:val="009437EA"/>
    <w:rsid w:val="0094511F"/>
    <w:rsid w:val="00956CDD"/>
    <w:rsid w:val="009608DF"/>
    <w:rsid w:val="00962B09"/>
    <w:rsid w:val="00963910"/>
    <w:rsid w:val="00972A25"/>
    <w:rsid w:val="0098003A"/>
    <w:rsid w:val="00990A7C"/>
    <w:rsid w:val="00996A42"/>
    <w:rsid w:val="009B6AA0"/>
    <w:rsid w:val="009D3D71"/>
    <w:rsid w:val="009E0122"/>
    <w:rsid w:val="009E5230"/>
    <w:rsid w:val="009F0876"/>
    <w:rsid w:val="009F3E87"/>
    <w:rsid w:val="00A04D36"/>
    <w:rsid w:val="00A11099"/>
    <w:rsid w:val="00A126FE"/>
    <w:rsid w:val="00A14C2D"/>
    <w:rsid w:val="00A37B12"/>
    <w:rsid w:val="00A431C5"/>
    <w:rsid w:val="00A51381"/>
    <w:rsid w:val="00A759DC"/>
    <w:rsid w:val="00A851A5"/>
    <w:rsid w:val="00A92FB7"/>
    <w:rsid w:val="00AD1C1F"/>
    <w:rsid w:val="00AE19A8"/>
    <w:rsid w:val="00AF0CB6"/>
    <w:rsid w:val="00AF67BC"/>
    <w:rsid w:val="00B00FA0"/>
    <w:rsid w:val="00B104A0"/>
    <w:rsid w:val="00B12480"/>
    <w:rsid w:val="00B13409"/>
    <w:rsid w:val="00B13A67"/>
    <w:rsid w:val="00B159D0"/>
    <w:rsid w:val="00B22C58"/>
    <w:rsid w:val="00B23580"/>
    <w:rsid w:val="00B30363"/>
    <w:rsid w:val="00B33C62"/>
    <w:rsid w:val="00B36224"/>
    <w:rsid w:val="00B41646"/>
    <w:rsid w:val="00B52228"/>
    <w:rsid w:val="00B53B53"/>
    <w:rsid w:val="00B5714C"/>
    <w:rsid w:val="00B66E15"/>
    <w:rsid w:val="00B7110F"/>
    <w:rsid w:val="00B80660"/>
    <w:rsid w:val="00B82DD3"/>
    <w:rsid w:val="00B865DD"/>
    <w:rsid w:val="00B87CF3"/>
    <w:rsid w:val="00BA27AD"/>
    <w:rsid w:val="00BA51E8"/>
    <w:rsid w:val="00BA734E"/>
    <w:rsid w:val="00BB6ED3"/>
    <w:rsid w:val="00BD1058"/>
    <w:rsid w:val="00BD70CD"/>
    <w:rsid w:val="00BE1BBB"/>
    <w:rsid w:val="00BE743E"/>
    <w:rsid w:val="00BF2021"/>
    <w:rsid w:val="00BF5119"/>
    <w:rsid w:val="00C04AB1"/>
    <w:rsid w:val="00C077FF"/>
    <w:rsid w:val="00C1273C"/>
    <w:rsid w:val="00C14B37"/>
    <w:rsid w:val="00C42954"/>
    <w:rsid w:val="00C6355D"/>
    <w:rsid w:val="00C64772"/>
    <w:rsid w:val="00C647B6"/>
    <w:rsid w:val="00C719B8"/>
    <w:rsid w:val="00C72A33"/>
    <w:rsid w:val="00C74942"/>
    <w:rsid w:val="00C76811"/>
    <w:rsid w:val="00C909E7"/>
    <w:rsid w:val="00C922B5"/>
    <w:rsid w:val="00CB7359"/>
    <w:rsid w:val="00CC2FE3"/>
    <w:rsid w:val="00CE2906"/>
    <w:rsid w:val="00CF1804"/>
    <w:rsid w:val="00CF27EB"/>
    <w:rsid w:val="00D010A3"/>
    <w:rsid w:val="00D02274"/>
    <w:rsid w:val="00D039CA"/>
    <w:rsid w:val="00D14710"/>
    <w:rsid w:val="00D37129"/>
    <w:rsid w:val="00D444DF"/>
    <w:rsid w:val="00D5256E"/>
    <w:rsid w:val="00D53DDA"/>
    <w:rsid w:val="00D54EB7"/>
    <w:rsid w:val="00D577FC"/>
    <w:rsid w:val="00D6123B"/>
    <w:rsid w:val="00D7135B"/>
    <w:rsid w:val="00D75E1F"/>
    <w:rsid w:val="00D813E7"/>
    <w:rsid w:val="00D81DD7"/>
    <w:rsid w:val="00DB4706"/>
    <w:rsid w:val="00DC15E9"/>
    <w:rsid w:val="00DE6D09"/>
    <w:rsid w:val="00DF0858"/>
    <w:rsid w:val="00E01BF6"/>
    <w:rsid w:val="00E132EB"/>
    <w:rsid w:val="00E23615"/>
    <w:rsid w:val="00E6343D"/>
    <w:rsid w:val="00E7002A"/>
    <w:rsid w:val="00E717FA"/>
    <w:rsid w:val="00E76907"/>
    <w:rsid w:val="00E86759"/>
    <w:rsid w:val="00EB1957"/>
    <w:rsid w:val="00EB21E3"/>
    <w:rsid w:val="00EC26CC"/>
    <w:rsid w:val="00F07EB4"/>
    <w:rsid w:val="00F12D05"/>
    <w:rsid w:val="00F258D1"/>
    <w:rsid w:val="00F32B53"/>
    <w:rsid w:val="00F4080D"/>
    <w:rsid w:val="00F5387B"/>
    <w:rsid w:val="00F66343"/>
    <w:rsid w:val="00F735CB"/>
    <w:rsid w:val="00F76F02"/>
    <w:rsid w:val="00F90683"/>
    <w:rsid w:val="00FA15BA"/>
    <w:rsid w:val="00FA31C7"/>
    <w:rsid w:val="00FC034F"/>
    <w:rsid w:val="00FD04D7"/>
    <w:rsid w:val="00FD1261"/>
    <w:rsid w:val="00FE6C38"/>
    <w:rsid w:val="00FF237B"/>
    <w:rsid w:val="00FF2AD8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CBB0-FC02-488A-8586-7F04D11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F3E87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136F4"/>
    <w:pPr>
      <w:spacing w:after="0" w:line="240" w:lineRule="auto"/>
    </w:pPr>
    <w:rPr>
      <w:lang w:val="en-GB"/>
    </w:rPr>
  </w:style>
  <w:style w:type="table" w:customStyle="1" w:styleId="Rastertabel41">
    <w:name w:val="Rastertabel 41"/>
    <w:basedOn w:val="Standaardtabel"/>
    <w:uiPriority w:val="49"/>
    <w:rsid w:val="009F3E87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jstalinea">
    <w:name w:val="List Paragraph"/>
    <w:basedOn w:val="Standaard"/>
    <w:uiPriority w:val="34"/>
    <w:qFormat/>
    <w:rsid w:val="00D3712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3A1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Standaardalinea-lettertype"/>
    <w:rsid w:val="00041C83"/>
  </w:style>
  <w:style w:type="paragraph" w:customStyle="1" w:styleId="xmsonormal">
    <w:name w:val="x_msonormal"/>
    <w:basedOn w:val="Standaard"/>
    <w:rsid w:val="00B5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xapple-converted-space">
    <w:name w:val="x_apple-converted-space"/>
    <w:basedOn w:val="Standaardalinea-lettertype"/>
    <w:rsid w:val="00B5714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C70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C70C1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C70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3F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C3F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C3F10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C3F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C3F10"/>
    <w:rPr>
      <w:b/>
      <w:bCs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B41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elerfgoed.nl/sites/default/files/downloads/dossiers/abr_website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E1FF-506D-4DEB-828E-4FACF7CB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3659</Words>
  <Characters>20129</Characters>
  <Application>Microsoft Office Word</Application>
  <DocSecurity>0</DocSecurity>
  <Lines>167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 Spike Unattendeds © 2015</Company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RvL</dc:creator>
  <cp:lastModifiedBy>Windows-gebruiker</cp:lastModifiedBy>
  <cp:revision>4</cp:revision>
  <dcterms:created xsi:type="dcterms:W3CDTF">2017-05-27T15:05:00Z</dcterms:created>
  <dcterms:modified xsi:type="dcterms:W3CDTF">2018-05-18T14:16:00Z</dcterms:modified>
</cp:coreProperties>
</file>