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1E" w:rsidRPr="00CC12A7" w:rsidRDefault="00931F4A" w:rsidP="00931F4A">
      <w:pPr>
        <w:pStyle w:val="Geenafstand"/>
        <w:rPr>
          <w:b/>
        </w:rPr>
      </w:pPr>
      <w:r w:rsidRPr="00CC12A7">
        <w:rPr>
          <w:b/>
        </w:rPr>
        <w:t>Appendix B: Determining land-</w:t>
      </w:r>
      <w:r w:rsidR="005E141E" w:rsidRPr="00CC12A7">
        <w:rPr>
          <w:b/>
        </w:rPr>
        <w:t>use</w:t>
      </w:r>
      <w:r w:rsidRPr="00CC12A7">
        <w:rPr>
          <w:b/>
        </w:rPr>
        <w:t xml:space="preserve"> suitability</w:t>
      </w:r>
    </w:p>
    <w:p w:rsidR="00EA3321" w:rsidRPr="00CC12A7" w:rsidRDefault="00EA3321" w:rsidP="00931F4A">
      <w:pPr>
        <w:pStyle w:val="Geenafstand"/>
        <w:rPr>
          <w:lang w:val="nl-NL"/>
        </w:rPr>
      </w:pPr>
      <w:r w:rsidRPr="00CC12A7">
        <w:rPr>
          <w:lang w:val="nl-NL"/>
        </w:rPr>
        <w:t>R.J. Van Lanen, H.J. Pierik</w:t>
      </w:r>
    </w:p>
    <w:p w:rsidR="00EA3321" w:rsidRPr="00CC12A7" w:rsidRDefault="00EA3321" w:rsidP="00931F4A">
      <w:pPr>
        <w:pStyle w:val="Geenafstand"/>
        <w:rPr>
          <w:lang w:val="nl-NL"/>
        </w:rPr>
      </w:pPr>
    </w:p>
    <w:p w:rsidR="00EA3321" w:rsidRPr="00CC12A7" w:rsidRDefault="00DA1F4A" w:rsidP="00931F4A">
      <w:pPr>
        <w:pStyle w:val="Geenafstand"/>
      </w:pPr>
      <w:r w:rsidRPr="00CC12A7">
        <w:t>This appendix contains an o</w:t>
      </w:r>
      <w:r w:rsidR="00EA3321" w:rsidRPr="00CC12A7">
        <w:t xml:space="preserve">verview of land-use suitability </w:t>
      </w:r>
      <w:r w:rsidRPr="00CC12A7">
        <w:t xml:space="preserve">in the study area </w:t>
      </w:r>
      <w:r w:rsidR="00EA3321" w:rsidRPr="00CC12A7">
        <w:t xml:space="preserve">for arable farming, pasture, and meadow, based on the relationship between geomorphological setting, </w:t>
      </w:r>
      <w:proofErr w:type="spellStart"/>
      <w:r w:rsidR="00EA3321" w:rsidRPr="00CC12A7">
        <w:t>palaeo</w:t>
      </w:r>
      <w:proofErr w:type="spellEnd"/>
      <w:r w:rsidR="00EA3321" w:rsidRPr="00CC12A7">
        <w:t xml:space="preserve">-surface elevation, lithological characteristics, and distance relations. Geomorphological setting, </w:t>
      </w:r>
      <w:proofErr w:type="spellStart"/>
      <w:r w:rsidR="00EA3321" w:rsidRPr="00CC12A7">
        <w:t>palaeo</w:t>
      </w:r>
      <w:proofErr w:type="spellEnd"/>
      <w:r w:rsidR="00EA3321" w:rsidRPr="00CC12A7">
        <w:t xml:space="preserve">-surface elevation, and lithological characteristics were compiled by H.J. </w:t>
      </w:r>
      <w:proofErr w:type="spellStart"/>
      <w:r w:rsidR="00EA3321" w:rsidRPr="00CC12A7">
        <w:t>Pierik</w:t>
      </w:r>
      <w:proofErr w:type="spellEnd"/>
      <w:r w:rsidR="00EA3321" w:rsidRPr="00CC12A7">
        <w:t xml:space="preserve">, MSc (Utrecht University). Land-use suitability per lithological unit was based on expert judgement by M.T.I.J. </w:t>
      </w:r>
      <w:proofErr w:type="spellStart"/>
      <w:r w:rsidR="00EA3321" w:rsidRPr="00CC12A7">
        <w:t>Gouw-Bouman</w:t>
      </w:r>
      <w:proofErr w:type="spellEnd"/>
      <w:r w:rsidR="00EA3321" w:rsidRPr="00CC12A7">
        <w:t>, MSc (Utrecht University)</w:t>
      </w:r>
      <w:r w:rsidR="002D3BC5" w:rsidRPr="00CC12A7">
        <w:t xml:space="preserve">. Distance relations were determined by R.J. Van </w:t>
      </w:r>
      <w:proofErr w:type="spellStart"/>
      <w:r w:rsidR="002D3BC5" w:rsidRPr="00CC12A7">
        <w:t>Lanen</w:t>
      </w:r>
      <w:proofErr w:type="spellEnd"/>
      <w:r w:rsidR="002D3BC5" w:rsidRPr="00CC12A7">
        <w:t xml:space="preserve">, M.A. (Utrecht University; Cultural Heritage Agency of the Netherlands) and H.J. </w:t>
      </w:r>
      <w:proofErr w:type="spellStart"/>
      <w:r w:rsidR="002D3BC5" w:rsidRPr="00CC12A7">
        <w:t>Pierik</w:t>
      </w:r>
      <w:proofErr w:type="spellEnd"/>
      <w:r w:rsidR="002D3BC5" w:rsidRPr="00CC12A7">
        <w:t>, MSc.</w:t>
      </w:r>
    </w:p>
    <w:p w:rsidR="00915B03" w:rsidRPr="00CC12A7" w:rsidRDefault="00915B03" w:rsidP="00931F4A">
      <w:pPr>
        <w:pStyle w:val="Geenafstand"/>
      </w:pPr>
    </w:p>
    <w:p w:rsidR="005E141E" w:rsidRPr="00CC12A7" w:rsidRDefault="00457984" w:rsidP="00931F4A">
      <w:pPr>
        <w:pStyle w:val="Geenafstand"/>
        <w:rPr>
          <w:i/>
        </w:rPr>
      </w:pPr>
      <w:r w:rsidRPr="00CC12A7">
        <w:rPr>
          <w:i/>
        </w:rPr>
        <w:t xml:space="preserve">Determining </w:t>
      </w:r>
      <w:r w:rsidR="005E141E" w:rsidRPr="00CC12A7">
        <w:rPr>
          <w:i/>
        </w:rPr>
        <w:t>surface and shallow subsurface lithology</w:t>
      </w:r>
    </w:p>
    <w:p w:rsidR="005E141E" w:rsidRPr="00CC12A7" w:rsidRDefault="005E141E" w:rsidP="00931F4A">
      <w:pPr>
        <w:pStyle w:val="Geenafstand"/>
      </w:pPr>
      <w:r w:rsidRPr="00CC12A7">
        <w:t xml:space="preserve">Ascertaining soil and shallow-subsurface lithology is a very important factor </w:t>
      </w:r>
      <w:r w:rsidR="00DA1F4A" w:rsidRPr="00CC12A7">
        <w:t xml:space="preserve">for </w:t>
      </w:r>
      <w:r w:rsidRPr="00CC12A7">
        <w:t>determining (past) land-use suitability, since it indicates nutrient availability, permeability</w:t>
      </w:r>
      <w:r w:rsidR="00E830F6" w:rsidRPr="00CC12A7">
        <w:t>,</w:t>
      </w:r>
      <w:r w:rsidRPr="00CC12A7">
        <w:t xml:space="preserve"> and tillage potential. The depth to which roots penetrate the soil can vary </w:t>
      </w:r>
      <w:r w:rsidR="00457984" w:rsidRPr="00CC12A7">
        <w:t>substantially</w:t>
      </w:r>
      <w:r w:rsidRPr="00CC12A7">
        <w:t xml:space="preserve">, i.e. from ca. 1 cm to several </w:t>
      </w:r>
      <w:proofErr w:type="spellStart"/>
      <w:r w:rsidRPr="00CC12A7">
        <w:t>dms</w:t>
      </w:r>
      <w:proofErr w:type="spellEnd"/>
      <w:r w:rsidRPr="00CC12A7">
        <w:t xml:space="preserve">, or in the case of trees even meters. In </w:t>
      </w:r>
      <w:r w:rsidR="00E830F6" w:rsidRPr="00CC12A7">
        <w:t xml:space="preserve">the </w:t>
      </w:r>
      <w:r w:rsidRPr="00CC12A7">
        <w:t>land-use suitability reconstruction</w:t>
      </w:r>
      <w:r w:rsidR="00457984" w:rsidRPr="00CC12A7">
        <w:t>s</w:t>
      </w:r>
      <w:r w:rsidR="0052125B" w:rsidRPr="00CC12A7">
        <w:t>,</w:t>
      </w:r>
      <w:r w:rsidRPr="00CC12A7">
        <w:t xml:space="preserve"> we have assumed</w:t>
      </w:r>
      <w:r w:rsidR="00457984" w:rsidRPr="00CC12A7">
        <w:t xml:space="preserve"> that</w:t>
      </w:r>
      <w:r w:rsidRPr="00CC12A7">
        <w:t xml:space="preserve"> the relevant soil and shallow-subsurface depth never exceed</w:t>
      </w:r>
      <w:r w:rsidR="00457984" w:rsidRPr="00CC12A7">
        <w:t>ed</w:t>
      </w:r>
      <w:r w:rsidRPr="00CC12A7">
        <w:t xml:space="preserve"> 120 cm in accordance with generally accepted soil-survey methods (De Bakker </w:t>
      </w:r>
      <w:r w:rsidR="0052125B" w:rsidRPr="00CC12A7">
        <w:t>&amp;</w:t>
      </w:r>
      <w:r w:rsidRPr="00CC12A7">
        <w:t xml:space="preserve"> Schelling, 1989).</w:t>
      </w:r>
    </w:p>
    <w:p w:rsidR="005E141E" w:rsidRPr="00CC12A7" w:rsidRDefault="005E141E" w:rsidP="00931F4A">
      <w:pPr>
        <w:pStyle w:val="Geenafstand"/>
      </w:pPr>
      <w:r w:rsidRPr="00CC12A7">
        <w:t>The geomorphological reconstructions were based on lithological</w:t>
      </w:r>
      <w:r w:rsidR="00DA1F4A" w:rsidRPr="00CC12A7">
        <w:t xml:space="preserve"> </w:t>
      </w:r>
      <w:r w:rsidRPr="00CC12A7">
        <w:t xml:space="preserve">borehole descriptions, </w:t>
      </w:r>
      <w:r w:rsidR="00E830F6" w:rsidRPr="00CC12A7">
        <w:t xml:space="preserve">which means that </w:t>
      </w:r>
      <w:r w:rsidRPr="00CC12A7">
        <w:t xml:space="preserve">lithological units </w:t>
      </w:r>
      <w:r w:rsidR="00E830F6" w:rsidRPr="00CC12A7">
        <w:t xml:space="preserve">directly </w:t>
      </w:r>
      <w:r w:rsidRPr="00CC12A7">
        <w:t xml:space="preserve">could be derived from these data. </w:t>
      </w:r>
      <w:r w:rsidR="00E830F6" w:rsidRPr="00CC12A7">
        <w:t>I</w:t>
      </w:r>
      <w:r w:rsidRPr="00CC12A7">
        <w:t xml:space="preserve">n the fluvial part of the study area, each mapped geomorphological unit in </w:t>
      </w:r>
      <w:r w:rsidR="00E830F6" w:rsidRPr="00CC12A7">
        <w:t xml:space="preserve">the </w:t>
      </w:r>
      <w:r w:rsidRPr="00CC12A7">
        <w:t xml:space="preserve">reconstruction was assigned a specific surface and subsurface lithology (Table </w:t>
      </w:r>
      <w:r w:rsidR="0078178F" w:rsidRPr="00CC12A7">
        <w:t>B.</w:t>
      </w:r>
      <w:r w:rsidRPr="00CC12A7">
        <w:t>1). The lithology of</w:t>
      </w:r>
      <w:r w:rsidR="00457984" w:rsidRPr="00CC12A7">
        <w:t xml:space="preserve"> </w:t>
      </w:r>
      <w:r w:rsidRPr="00CC12A7">
        <w:t>levees of inactive channels belts was further refined since older levees (mainly active before 3000 BP) were sometimes covered by clayey-overbank sediment</w:t>
      </w:r>
      <w:r w:rsidR="00E830F6" w:rsidRPr="00CC12A7">
        <w:t>s</w:t>
      </w:r>
      <w:r w:rsidRPr="00CC12A7">
        <w:t xml:space="preserve"> from younger river branches. To evaluate the clay</w:t>
      </w:r>
      <w:r w:rsidR="00E830F6" w:rsidRPr="00CC12A7">
        <w:t>-</w:t>
      </w:r>
      <w:r w:rsidRPr="00CC12A7">
        <w:t xml:space="preserve">cover thickness </w:t>
      </w:r>
      <w:r w:rsidR="00457984" w:rsidRPr="00CC12A7">
        <w:t xml:space="preserve">for the AD 100 landscape </w:t>
      </w:r>
      <w:r w:rsidRPr="00CC12A7">
        <w:t>(</w:t>
      </w:r>
      <w:r w:rsidRPr="00CC12A7">
        <w:rPr>
          <w:i/>
        </w:rPr>
        <w:t>D</w:t>
      </w:r>
      <w:r w:rsidRPr="00CC12A7">
        <w:rPr>
          <w:i/>
          <w:vertAlign w:val="subscript"/>
        </w:rPr>
        <w:t>AD100</w:t>
      </w:r>
      <w:r w:rsidRPr="00CC12A7">
        <w:t xml:space="preserve">), we subtracted a grid showing the top of the levee material (directly interpolated from borehole data </w:t>
      </w:r>
      <w:r w:rsidR="00E830F6" w:rsidRPr="00CC12A7">
        <w:t>(</w:t>
      </w:r>
      <w:proofErr w:type="spellStart"/>
      <w:r w:rsidRPr="00CC12A7">
        <w:rPr>
          <w:i/>
        </w:rPr>
        <w:t>Z</w:t>
      </w:r>
      <w:r w:rsidRPr="00CC12A7">
        <w:rPr>
          <w:i/>
          <w:vertAlign w:val="subscript"/>
        </w:rPr>
        <w:t>Lev</w:t>
      </w:r>
      <w:proofErr w:type="spellEnd"/>
      <w:r w:rsidR="00E830F6" w:rsidRPr="00CC12A7">
        <w:t>)</w:t>
      </w:r>
      <w:r w:rsidR="00DA1F4A" w:rsidRPr="00CC12A7">
        <w:t>)</w:t>
      </w:r>
      <w:r w:rsidRPr="00CC12A7">
        <w:t xml:space="preserve"> from the AD100 </w:t>
      </w:r>
      <w:proofErr w:type="spellStart"/>
      <w:r w:rsidRPr="00CC12A7">
        <w:t>palaeoDEM</w:t>
      </w:r>
      <w:proofErr w:type="spellEnd"/>
      <m:oMath>
        <m:r>
          <w:rPr>
            <w:rFonts w:ascii="Cambria Math" w:hAnsi="Cambria Math"/>
            <w:szCs w:val="24"/>
            <w:vertAlign w:val="subscript"/>
          </w:rPr>
          <m:t xml:space="preserve"> </m:t>
        </m:r>
      </m:oMath>
      <w:r w:rsidRPr="00CC12A7">
        <w:t>(</w:t>
      </w:r>
      <m:oMath>
        <m:sSub>
          <m:sSubPr>
            <m:ctrlPr>
              <w:rPr>
                <w:rFonts w:ascii="Cambria Math" w:hAnsi="Cambria Math"/>
                <w:i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4"/>
                <w:vertAlign w:val="subscript"/>
              </w:rPr>
              <m:t>Z</m:t>
            </m:r>
          </m:e>
          <m:sub>
            <m:r>
              <w:rPr>
                <w:rFonts w:ascii="Cambria Math" w:hAnsi="Cambria Math"/>
                <w:szCs w:val="24"/>
                <w:vertAlign w:val="subscript"/>
              </w:rPr>
              <m:t>AD</m:t>
            </m:r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100</m:t>
            </m:r>
          </m:sub>
        </m:sSub>
      </m:oMath>
      <w:r w:rsidRPr="00CC12A7">
        <w:t>):</w:t>
      </w:r>
    </w:p>
    <w:p w:rsidR="005E141E" w:rsidRPr="00CC12A7" w:rsidRDefault="005E141E" w:rsidP="00931F4A">
      <w:pPr>
        <w:pStyle w:val="Geenafstand"/>
      </w:pPr>
    </w:p>
    <w:p w:rsidR="005E141E" w:rsidRPr="00CC12A7" w:rsidRDefault="00CC12A7" w:rsidP="00931F4A">
      <w:pPr>
        <w:ind w:left="2832" w:firstLine="708"/>
        <w:jc w:val="center"/>
        <w:rPr>
          <w:i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AD</m:t>
            </m:r>
            <m:r>
              <w:rPr>
                <w:rFonts w:ascii="Cambria Math" w:hAnsi="Cambria Math"/>
                <w:szCs w:val="24"/>
                <w:lang w:val="en-GB"/>
              </w:rPr>
              <m:t>100</m:t>
            </m:r>
          </m:sub>
        </m:sSub>
        <m:r>
          <w:rPr>
            <w:rFonts w:ascii="Cambria Math" w:hAnsi="Cambria Math"/>
            <w:szCs w:val="24"/>
            <w:lang w:val="en-GB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4"/>
                <w:vertAlign w:val="subscript"/>
              </w:rPr>
              <m:t>Z</m:t>
            </m:r>
          </m:e>
          <m:sub>
            <m:r>
              <w:rPr>
                <w:rFonts w:ascii="Cambria Math" w:hAnsi="Cambria Math"/>
                <w:szCs w:val="24"/>
                <w:vertAlign w:val="subscript"/>
              </w:rPr>
              <m:t>AD</m:t>
            </m:r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  <w:lang w:val="en-GB"/>
              </w:rPr>
              <m:t>100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4"/>
                <w:vertAlign w:val="subscript"/>
                <w:lang w:val="en-GB"/>
              </w:rPr>
              <m:t xml:space="preserve">- </m:t>
            </m:r>
            <m:r>
              <w:rPr>
                <w:rFonts w:ascii="Cambria Math" w:hAnsi="Cambria Math"/>
                <w:szCs w:val="24"/>
                <w:vertAlign w:val="subscript"/>
              </w:rPr>
              <m:t>Z</m:t>
            </m:r>
          </m:e>
          <m:sub>
            <m:r>
              <w:rPr>
                <w:rFonts w:ascii="Cambria Math" w:hAnsi="Cambria Math"/>
                <w:szCs w:val="24"/>
                <w:vertAlign w:val="subscript"/>
              </w:rPr>
              <m:t>Lev</m:t>
            </m:r>
          </m:sub>
        </m:sSub>
      </m:oMath>
      <w:r w:rsidR="00931F4A" w:rsidRPr="00CC12A7">
        <w:rPr>
          <w:rFonts w:eastAsiaTheme="minorEastAsia"/>
          <w:i/>
          <w:szCs w:val="24"/>
          <w:lang w:val="en-GB"/>
        </w:rPr>
        <w:tab/>
      </w:r>
      <w:r w:rsidR="005E141E" w:rsidRPr="00CC12A7">
        <w:rPr>
          <w:rFonts w:eastAsiaTheme="minorEastAsia"/>
          <w:i/>
          <w:szCs w:val="24"/>
          <w:lang w:val="en-GB"/>
        </w:rPr>
        <w:tab/>
      </w:r>
      <w:r w:rsidR="005E141E" w:rsidRPr="00CC12A7">
        <w:rPr>
          <w:rFonts w:eastAsiaTheme="minorEastAsia"/>
          <w:i/>
          <w:szCs w:val="24"/>
          <w:lang w:val="en-GB"/>
        </w:rPr>
        <w:tab/>
      </w:r>
      <w:r w:rsidR="005E141E" w:rsidRPr="00CC12A7">
        <w:rPr>
          <w:rFonts w:eastAsiaTheme="minorEastAsia"/>
          <w:i/>
          <w:szCs w:val="24"/>
          <w:lang w:val="en-GB"/>
        </w:rPr>
        <w:tab/>
      </w:r>
      <w:r w:rsidR="005E141E" w:rsidRPr="00CC12A7">
        <w:rPr>
          <w:rFonts w:eastAsiaTheme="minorEastAsia"/>
          <w:i/>
          <w:szCs w:val="24"/>
          <w:lang w:val="en-GB"/>
        </w:rPr>
        <w:tab/>
      </w:r>
      <w:r w:rsidR="005E141E" w:rsidRPr="00CC12A7">
        <w:rPr>
          <w:rFonts w:eastAsiaTheme="minorEastAsia"/>
          <w:szCs w:val="24"/>
          <w:lang w:val="en-GB"/>
        </w:rPr>
        <w:t xml:space="preserve"> (1)</w:t>
      </w:r>
    </w:p>
    <w:p w:rsidR="005E141E" w:rsidRPr="00CC12A7" w:rsidRDefault="005E141E" w:rsidP="00931F4A">
      <w:pPr>
        <w:pStyle w:val="Geenafstand"/>
        <w:rPr>
          <w:color w:val="FF0000"/>
          <w:lang w:val="en-US"/>
        </w:rPr>
      </w:pPr>
      <w:r w:rsidRPr="00CC12A7">
        <w:t>The resulting map show</w:t>
      </w:r>
      <w:r w:rsidR="00E830F6" w:rsidRPr="00CC12A7">
        <w:t>s</w:t>
      </w:r>
      <w:r w:rsidRPr="00CC12A7">
        <w:t xml:space="preserve"> an approximation of clay cover. For areas that yielded &gt; 40 cm clay on top of inherited levees in the Roman period, we assigned the units: ‘Clay on sandy clay on sand’ or ‘Clay on sandy clay’.</w:t>
      </w:r>
      <w:r w:rsidRPr="00CC12A7">
        <w:rPr>
          <w:color w:val="244061" w:themeColor="accent1" w:themeShade="80"/>
        </w:rPr>
        <w:t xml:space="preserve"> </w:t>
      </w:r>
      <w:r w:rsidRPr="00CC12A7">
        <w:t>For the Pleistocene sand area that flanks the study region, we defined the surface lithology using the national soil map of the Netherlands (1:50,000; De Vries et al., 2003). We distinguished three classes</w:t>
      </w:r>
      <w:r w:rsidR="00DA1F4A" w:rsidRPr="00CC12A7">
        <w:t>:</w:t>
      </w:r>
      <w:r w:rsidRPr="00CC12A7">
        <w:t xml:space="preserve"> (</w:t>
      </w:r>
      <w:r w:rsidR="00DA4796" w:rsidRPr="00CC12A7">
        <w:t>1</w:t>
      </w:r>
      <w:r w:rsidRPr="00CC12A7">
        <w:t>) fine sands</w:t>
      </w:r>
      <w:r w:rsidR="00DA4796" w:rsidRPr="00CC12A7">
        <w:t xml:space="preserve"> (mean grain size 50-210µm)</w:t>
      </w:r>
      <w:r w:rsidR="00DA1F4A" w:rsidRPr="00CC12A7">
        <w:t>;</w:t>
      </w:r>
      <w:r w:rsidR="00DA4796" w:rsidRPr="00CC12A7">
        <w:t xml:space="preserve"> (2</w:t>
      </w:r>
      <w:r w:rsidRPr="00CC12A7">
        <w:t>) coarse sands (medi</w:t>
      </w:r>
      <w:r w:rsidR="00DA4796" w:rsidRPr="00CC12A7">
        <w:t>an grain size 210-2000 µm)</w:t>
      </w:r>
      <w:r w:rsidR="00DA1F4A" w:rsidRPr="00CC12A7">
        <w:t>;</w:t>
      </w:r>
      <w:r w:rsidR="00DA4796" w:rsidRPr="00CC12A7">
        <w:t xml:space="preserve"> and (3</w:t>
      </w:r>
      <w:r w:rsidRPr="00CC12A7">
        <w:t>) l</w:t>
      </w:r>
      <w:r w:rsidR="00DA4796" w:rsidRPr="00CC12A7">
        <w:t xml:space="preserve">oamy sands (10-50% silt (&gt;50 µm; </w:t>
      </w:r>
      <w:r w:rsidRPr="00CC12A7">
        <w:t>De Bakker &amp; Schelling, 1989).</w:t>
      </w:r>
    </w:p>
    <w:p w:rsidR="005E141E" w:rsidRPr="00CC12A7" w:rsidRDefault="005E141E" w:rsidP="00931F4A">
      <w:pPr>
        <w:pStyle w:val="Geenafstand"/>
      </w:pPr>
    </w:p>
    <w:p w:rsidR="005E141E" w:rsidRPr="00CC12A7" w:rsidRDefault="00931F4A" w:rsidP="00931F4A">
      <w:pPr>
        <w:pStyle w:val="Geenafstand"/>
      </w:pPr>
      <w:r w:rsidRPr="00CC12A7">
        <w:t xml:space="preserve">Table </w:t>
      </w:r>
      <w:r w:rsidR="00D16E64" w:rsidRPr="00CC12A7">
        <w:t>B.</w:t>
      </w:r>
      <w:r w:rsidRPr="00CC12A7">
        <w:t>1 |</w:t>
      </w:r>
      <w:r w:rsidR="005E141E" w:rsidRPr="00CC12A7">
        <w:t xml:space="preserve"> </w:t>
      </w:r>
      <w:r w:rsidR="005E141E" w:rsidRPr="00CC12A7">
        <w:rPr>
          <w:i/>
        </w:rPr>
        <w:t xml:space="preserve">Overview of geomorphological units in the study area based on </w:t>
      </w:r>
      <w:proofErr w:type="spellStart"/>
      <w:r w:rsidR="005E141E" w:rsidRPr="00CC12A7">
        <w:rPr>
          <w:i/>
        </w:rPr>
        <w:t>Pierik</w:t>
      </w:r>
      <w:proofErr w:type="spellEnd"/>
      <w:r w:rsidR="005E141E" w:rsidRPr="00CC12A7">
        <w:rPr>
          <w:i/>
        </w:rPr>
        <w:t xml:space="preserve"> et al. (</w:t>
      </w:r>
      <w:r w:rsidR="00CA4F51" w:rsidRPr="00CC12A7">
        <w:rPr>
          <w:i/>
          <w:color w:val="FF0000"/>
        </w:rPr>
        <w:t>in</w:t>
      </w:r>
      <w:r w:rsidRPr="00CC12A7">
        <w:rPr>
          <w:i/>
          <w:color w:val="FF0000"/>
        </w:rPr>
        <w:t xml:space="preserve"> review</w:t>
      </w:r>
      <w:r w:rsidR="005E141E" w:rsidRPr="00CC12A7">
        <w:rPr>
          <w:i/>
        </w:rPr>
        <w:t xml:space="preserve">) with corresponding lithology based on </w:t>
      </w:r>
      <w:proofErr w:type="spellStart"/>
      <w:r w:rsidR="005E141E" w:rsidRPr="00CC12A7">
        <w:rPr>
          <w:i/>
        </w:rPr>
        <w:t>palaeo</w:t>
      </w:r>
      <w:proofErr w:type="spellEnd"/>
      <w:r w:rsidR="005E141E" w:rsidRPr="00CC12A7">
        <w:rPr>
          <w:i/>
        </w:rPr>
        <w:t>-surface elevation and soil data</w:t>
      </w:r>
      <w:r w:rsidR="005E141E" w:rsidRPr="00CC12A7">
        <w:t xml:space="preserve">. </w:t>
      </w:r>
    </w:p>
    <w:p w:rsidR="005E141E" w:rsidRPr="00CC12A7" w:rsidRDefault="005E141E" w:rsidP="00931F4A">
      <w:pPr>
        <w:pStyle w:val="Geenafstand"/>
      </w:pPr>
    </w:p>
    <w:tbl>
      <w:tblPr>
        <w:tblStyle w:val="Rastertabel41"/>
        <w:tblW w:w="0" w:type="auto"/>
        <w:jc w:val="center"/>
        <w:tblLook w:val="04A0" w:firstRow="1" w:lastRow="0" w:firstColumn="1" w:lastColumn="0" w:noHBand="0" w:noVBand="1"/>
      </w:tblPr>
      <w:tblGrid>
        <w:gridCol w:w="2435"/>
        <w:gridCol w:w="993"/>
        <w:gridCol w:w="1967"/>
        <w:gridCol w:w="1967"/>
        <w:gridCol w:w="976"/>
      </w:tblGrid>
      <w:tr w:rsidR="005E141E" w:rsidRPr="00CC12A7" w:rsidTr="005E1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b w:val="0"/>
                <w:sz w:val="16"/>
                <w:szCs w:val="16"/>
                <w:lang w:val="nl-NL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Geomorphological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 xml:space="preserve"> unit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  <w:lang w:val="nl-NL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Clay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 xml:space="preserve"> cover</w:t>
            </w:r>
          </w:p>
          <w:p w:rsidR="005E141E" w:rsidRPr="00CC12A7" w:rsidRDefault="005E141E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val="nl-NL"/>
              </w:rPr>
            </w:pPr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(in cm)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CC12A7">
              <w:rPr>
                <w:rFonts w:ascii="Calibri" w:hAnsi="Calibri"/>
                <w:sz w:val="16"/>
                <w:szCs w:val="16"/>
                <w:lang w:val="en-US"/>
              </w:rPr>
              <w:t>Mean grain size, silt percentage</w:t>
            </w:r>
          </w:p>
        </w:tc>
        <w:tc>
          <w:tcPr>
            <w:tcW w:w="1967" w:type="dxa"/>
            <w:hideMark/>
          </w:tcPr>
          <w:p w:rsidR="005E141E" w:rsidRPr="00CC12A7" w:rsidRDefault="005E141E" w:rsidP="00457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val="nl-NL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Lithological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 xml:space="preserve"> profile </w:t>
            </w:r>
          </w:p>
        </w:tc>
        <w:tc>
          <w:tcPr>
            <w:tcW w:w="976" w:type="dxa"/>
            <w:hideMark/>
          </w:tcPr>
          <w:p w:rsidR="005E141E" w:rsidRPr="00CC12A7" w:rsidRDefault="005E141E" w:rsidP="005E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  <w:lang w:val="nl-NL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Lithological</w:t>
            </w:r>
            <w:proofErr w:type="spellEnd"/>
          </w:p>
          <w:p w:rsidR="005E141E" w:rsidRPr="00CC12A7" w:rsidRDefault="00457984" w:rsidP="005E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  <w:lang w:val="nl-NL"/>
              </w:rPr>
            </w:pPr>
            <w:r w:rsidRPr="00CC12A7">
              <w:rPr>
                <w:rFonts w:ascii="Calibri" w:hAnsi="Calibri"/>
                <w:sz w:val="16"/>
                <w:szCs w:val="16"/>
                <w:lang w:val="nl-NL"/>
              </w:rPr>
              <w:t>profile</w:t>
            </w:r>
            <w:r w:rsidR="005E141E" w:rsidRPr="00CC12A7">
              <w:rPr>
                <w:rFonts w:ascii="Calibri" w:hAnsi="Calibri"/>
                <w:sz w:val="16"/>
                <w:szCs w:val="16"/>
                <w:lang w:val="nl-NL"/>
              </w:rPr>
              <w:t xml:space="preserve"> code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Pleistocene area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</w:rPr>
              <w:t>Cyfer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</w:rPr>
              <w:t xml:space="preserve"> = 21</w:t>
            </w:r>
          </w:p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(50-210 µm)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Sand or fine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Pleistocene area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</w:rPr>
              <w:t>Cyfer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</w:rPr>
              <w:t xml:space="preserve"> = 23 </w:t>
            </w:r>
          </w:p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10-50% silt (&gt;50 µm)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Loamy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Pleistocene area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</w:rPr>
              <w:t>Cyfer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</w:rPr>
              <w:t xml:space="preserve"> = 30</w:t>
            </w:r>
          </w:p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(210-2000 µm)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Coarse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Pleistocene area / Aeolian dunes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Sand, not specified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Active channel belt (with levee)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Sand / sandy clay on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141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Levee on inactive channel belt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Sandy clay on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41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Levee on inactive channel belt (levee with &gt; 40 clay)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&gt;40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Clay on sandy clay on sand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541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Crevasse splay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vMerge w:val="restart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Sandy clay</w:t>
            </w:r>
          </w:p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4</w:t>
            </w:r>
          </w:p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Levee (outcropping)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hideMark/>
          </w:tcPr>
          <w:p w:rsidR="005E141E" w:rsidRPr="00CC12A7" w:rsidRDefault="005E141E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6" w:type="dxa"/>
            <w:vMerge/>
            <w:hideMark/>
          </w:tcPr>
          <w:p w:rsidR="005E141E" w:rsidRPr="00CC12A7" w:rsidRDefault="005E141E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Levee (levee with &gt; 40 clay)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&gt;40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Clay on sandy clay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54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Res channel inactive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vMerge w:val="restart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Clay</w:t>
            </w:r>
          </w:p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</w:rPr>
              <w:t>Floodbasin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</w:rPr>
              <w:t xml:space="preserve"> clay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hideMark/>
          </w:tcPr>
          <w:p w:rsidR="005E141E" w:rsidRPr="00CC12A7" w:rsidRDefault="005E141E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6" w:type="dxa"/>
            <w:vMerge/>
            <w:hideMark/>
          </w:tcPr>
          <w:p w:rsidR="005E141E" w:rsidRPr="00CC12A7" w:rsidRDefault="005E141E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C12A7">
              <w:rPr>
                <w:rFonts w:ascii="Calibri" w:hAnsi="Calibri"/>
                <w:sz w:val="16"/>
                <w:szCs w:val="16"/>
              </w:rPr>
              <w:t>Floodbasin</w:t>
            </w:r>
            <w:proofErr w:type="spellEnd"/>
            <w:r w:rsidRPr="00CC12A7">
              <w:rPr>
                <w:rFonts w:ascii="Calibri" w:hAnsi="Calibri"/>
                <w:sz w:val="16"/>
                <w:szCs w:val="16"/>
              </w:rPr>
              <w:t xml:space="preserve"> peat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Peat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hideMark/>
          </w:tcPr>
          <w:p w:rsidR="005E141E" w:rsidRPr="00CC12A7" w:rsidRDefault="005E141E" w:rsidP="00E83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Res channel active</w:t>
            </w:r>
          </w:p>
        </w:tc>
        <w:tc>
          <w:tcPr>
            <w:tcW w:w="993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967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Water</w:t>
            </w:r>
          </w:p>
        </w:tc>
        <w:tc>
          <w:tcPr>
            <w:tcW w:w="976" w:type="dxa"/>
            <w:hideMark/>
          </w:tcPr>
          <w:p w:rsidR="005E141E" w:rsidRPr="00CC12A7" w:rsidRDefault="005E141E" w:rsidP="00E83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CC12A7">
              <w:rPr>
                <w:rFonts w:ascii="Calibri" w:hAnsi="Calibri"/>
                <w:sz w:val="16"/>
                <w:szCs w:val="16"/>
              </w:rPr>
              <w:t>7</w:t>
            </w:r>
          </w:p>
        </w:tc>
      </w:tr>
    </w:tbl>
    <w:p w:rsidR="005E141E" w:rsidRPr="00CC12A7" w:rsidRDefault="005E141E" w:rsidP="00931F4A">
      <w:pPr>
        <w:pStyle w:val="Geenafstand"/>
      </w:pPr>
    </w:p>
    <w:p w:rsidR="005E141E" w:rsidRPr="00CC12A7" w:rsidRDefault="005E141E" w:rsidP="00931F4A">
      <w:pPr>
        <w:pStyle w:val="Geenafstand"/>
      </w:pPr>
    </w:p>
    <w:p w:rsidR="005E141E" w:rsidRPr="00CC12A7" w:rsidRDefault="005E141E" w:rsidP="00931F4A">
      <w:pPr>
        <w:pStyle w:val="Geenafstand"/>
        <w:rPr>
          <w:i/>
        </w:rPr>
      </w:pPr>
      <w:proofErr w:type="spellStart"/>
      <w:r w:rsidRPr="00CC12A7">
        <w:rPr>
          <w:i/>
        </w:rPr>
        <w:t>Palaeo</w:t>
      </w:r>
      <w:proofErr w:type="spellEnd"/>
      <w:r w:rsidRPr="00CC12A7">
        <w:rPr>
          <w:i/>
        </w:rPr>
        <w:t>-surface elevation and land-use suitability</w:t>
      </w:r>
    </w:p>
    <w:p w:rsidR="005E141E" w:rsidRPr="00CC12A7" w:rsidRDefault="005E141E" w:rsidP="00931F4A">
      <w:pPr>
        <w:pStyle w:val="Geenafstand"/>
      </w:pPr>
      <w:proofErr w:type="spellStart"/>
      <w:r w:rsidRPr="00CC12A7">
        <w:t>Palaeo</w:t>
      </w:r>
      <w:proofErr w:type="spellEnd"/>
      <w:r w:rsidRPr="00CC12A7">
        <w:t xml:space="preserve">-surface elevation was used to further refine </w:t>
      </w:r>
      <w:r w:rsidR="00E830F6" w:rsidRPr="00CC12A7">
        <w:t xml:space="preserve">the </w:t>
      </w:r>
      <w:r w:rsidRPr="00CC12A7">
        <w:t xml:space="preserve">lithology </w:t>
      </w:r>
      <w:r w:rsidR="00E830F6" w:rsidRPr="00CC12A7">
        <w:t>for</w:t>
      </w:r>
      <w:r w:rsidRPr="00CC12A7">
        <w:t xml:space="preserve"> specific geomorphological units, i.e. levees and crevasse splays respectively. Using the </w:t>
      </w:r>
      <w:proofErr w:type="spellStart"/>
      <w:r w:rsidRPr="00CC12A7">
        <w:t>PalaeoDEM</w:t>
      </w:r>
      <w:proofErr w:type="spellEnd"/>
      <w:r w:rsidRPr="00CC12A7">
        <w:t xml:space="preserve"> developed by </w:t>
      </w:r>
      <w:proofErr w:type="spellStart"/>
      <w:r w:rsidRPr="00CC12A7">
        <w:t>Pierik</w:t>
      </w:r>
      <w:proofErr w:type="spellEnd"/>
      <w:r w:rsidRPr="00CC12A7">
        <w:t xml:space="preserve"> et al. (</w:t>
      </w:r>
      <w:r w:rsidR="00F67853" w:rsidRPr="00CC12A7">
        <w:rPr>
          <w:color w:val="FF0000"/>
        </w:rPr>
        <w:t>in review</w:t>
      </w:r>
      <w:r w:rsidRPr="00CC12A7">
        <w:t xml:space="preserve">) we further divided these specific geomorphological units based on their elevation </w:t>
      </w:r>
      <w:r w:rsidR="00E830F6" w:rsidRPr="00CC12A7">
        <w:t>using the classes ‘</w:t>
      </w:r>
      <w:r w:rsidRPr="00CC12A7">
        <w:t>low</w:t>
      </w:r>
      <w:r w:rsidR="00E830F6" w:rsidRPr="00CC12A7">
        <w:t>’</w:t>
      </w:r>
      <w:r w:rsidRPr="00CC12A7">
        <w:t xml:space="preserve">, </w:t>
      </w:r>
      <w:r w:rsidR="00E830F6" w:rsidRPr="00CC12A7">
        <w:t>‘</w:t>
      </w:r>
      <w:r w:rsidRPr="00CC12A7">
        <w:t>medium</w:t>
      </w:r>
      <w:r w:rsidR="00E830F6" w:rsidRPr="00CC12A7">
        <w:t>’</w:t>
      </w:r>
      <w:r w:rsidR="00931F4A" w:rsidRPr="00CC12A7">
        <w:t>,</w:t>
      </w:r>
      <w:r w:rsidRPr="00CC12A7">
        <w:t xml:space="preserve"> and </w:t>
      </w:r>
      <w:r w:rsidR="00E830F6" w:rsidRPr="00CC12A7">
        <w:t>‘</w:t>
      </w:r>
      <w:r w:rsidRPr="00CC12A7">
        <w:t>high</w:t>
      </w:r>
      <w:r w:rsidR="00E830F6" w:rsidRPr="00CC12A7">
        <w:t>’</w:t>
      </w:r>
      <w:r w:rsidRPr="00CC12A7">
        <w:t xml:space="preserve"> (Table </w:t>
      </w:r>
      <w:r w:rsidR="0078178F" w:rsidRPr="00CC12A7">
        <w:t>B.</w:t>
      </w:r>
      <w:r w:rsidRPr="00CC12A7">
        <w:t>2)</w:t>
      </w:r>
      <w:r w:rsidR="00523B93" w:rsidRPr="00CC12A7">
        <w:t>.</w:t>
      </w:r>
    </w:p>
    <w:p w:rsidR="00523B93" w:rsidRPr="00CC12A7" w:rsidRDefault="00523B93" w:rsidP="00931F4A">
      <w:pPr>
        <w:pStyle w:val="Geenafstand"/>
      </w:pPr>
    </w:p>
    <w:p w:rsidR="005E141E" w:rsidRPr="00CC12A7" w:rsidRDefault="005E141E" w:rsidP="00931F4A">
      <w:pPr>
        <w:pStyle w:val="Geenafstand"/>
        <w:rPr>
          <w:i/>
        </w:rPr>
      </w:pPr>
      <w:proofErr w:type="spellStart"/>
      <w:r w:rsidRPr="00CC12A7">
        <w:t>Tabel</w:t>
      </w:r>
      <w:proofErr w:type="spellEnd"/>
      <w:r w:rsidRPr="00CC12A7">
        <w:t xml:space="preserve"> </w:t>
      </w:r>
      <w:r w:rsidR="00D16E64" w:rsidRPr="00CC12A7">
        <w:t>B.</w:t>
      </w:r>
      <w:r w:rsidRPr="00CC12A7">
        <w:t>2</w:t>
      </w:r>
      <w:r w:rsidR="00931F4A" w:rsidRPr="00CC12A7">
        <w:t xml:space="preserve"> |</w:t>
      </w:r>
      <w:r w:rsidRPr="00CC12A7">
        <w:rPr>
          <w:i/>
        </w:rPr>
        <w:t xml:space="preserve"> Boundaries conditions for low, medium and high elevated levees and crevasse splays inferred from the </w:t>
      </w:r>
      <w:proofErr w:type="spellStart"/>
      <w:r w:rsidRPr="00CC12A7">
        <w:rPr>
          <w:i/>
        </w:rPr>
        <w:t>PalaeoDEM</w:t>
      </w:r>
      <w:proofErr w:type="spellEnd"/>
      <w:r w:rsidRPr="00CC12A7">
        <w:rPr>
          <w:i/>
        </w:rPr>
        <w:t>. Land-use suitability (i.e. 0</w:t>
      </w:r>
      <w:r w:rsidR="00E830F6" w:rsidRPr="00CC12A7">
        <w:rPr>
          <w:i/>
        </w:rPr>
        <w:t>-</w:t>
      </w:r>
      <w:r w:rsidRPr="00CC12A7">
        <w:rPr>
          <w:i/>
        </w:rPr>
        <w:t xml:space="preserve">5, </w:t>
      </w:r>
      <w:r w:rsidR="00E830F6" w:rsidRPr="00CC12A7">
        <w:rPr>
          <w:i/>
        </w:rPr>
        <w:t xml:space="preserve">referring respectively to </w:t>
      </w:r>
      <w:r w:rsidRPr="00CC12A7">
        <w:rPr>
          <w:i/>
        </w:rPr>
        <w:t>unsuitable to very well suited), which is determined based on geomorphology and lithology, is further refined bas</w:t>
      </w:r>
      <w:r w:rsidR="00523B93" w:rsidRPr="00CC12A7">
        <w:rPr>
          <w:i/>
        </w:rPr>
        <w:t xml:space="preserve">ed on </w:t>
      </w:r>
      <w:proofErr w:type="spellStart"/>
      <w:r w:rsidR="00523B93" w:rsidRPr="00CC12A7">
        <w:rPr>
          <w:i/>
        </w:rPr>
        <w:t>palaeo</w:t>
      </w:r>
      <w:proofErr w:type="spellEnd"/>
      <w:r w:rsidR="00523B93" w:rsidRPr="00CC12A7">
        <w:rPr>
          <w:i/>
        </w:rPr>
        <w:t xml:space="preserve">-surface elevation, </w:t>
      </w:r>
      <w:r w:rsidR="00E830F6" w:rsidRPr="00CC12A7">
        <w:rPr>
          <w:i/>
        </w:rPr>
        <w:t>since</w:t>
      </w:r>
      <w:r w:rsidR="00523B93" w:rsidRPr="00CC12A7">
        <w:rPr>
          <w:i/>
        </w:rPr>
        <w:t xml:space="preserve"> lower parts </w:t>
      </w:r>
      <w:r w:rsidR="00E830F6" w:rsidRPr="00CC12A7">
        <w:rPr>
          <w:i/>
        </w:rPr>
        <w:t xml:space="preserve">were </w:t>
      </w:r>
      <w:r w:rsidR="00523B93" w:rsidRPr="00CC12A7">
        <w:rPr>
          <w:i/>
        </w:rPr>
        <w:t>more prone to general wet conditions and floods.</w:t>
      </w:r>
    </w:p>
    <w:p w:rsidR="005E141E" w:rsidRPr="00CC12A7" w:rsidRDefault="005E141E" w:rsidP="00931F4A">
      <w:pPr>
        <w:pStyle w:val="Geenafstand"/>
      </w:pPr>
    </w:p>
    <w:tbl>
      <w:tblPr>
        <w:tblStyle w:val="Lichtearcering1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307"/>
        <w:gridCol w:w="1040"/>
      </w:tblGrid>
      <w:tr w:rsidR="005E141E" w:rsidRPr="00CC12A7" w:rsidTr="005E1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141E" w:rsidRPr="00CC12A7" w:rsidRDefault="005E141E" w:rsidP="00931F4A">
            <w:pPr>
              <w:pStyle w:val="Geenafstand"/>
            </w:pPr>
            <w:proofErr w:type="spellStart"/>
            <w:r w:rsidRPr="00CC12A7">
              <w:t>PalaeoDEM</w:t>
            </w:r>
            <w:proofErr w:type="spellEnd"/>
            <w:r w:rsidRPr="00CC12A7">
              <w:t xml:space="preserve"> elevation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12A7">
              <w:t>Classification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12A7">
              <w:t xml:space="preserve">Land-use </w:t>
            </w:r>
          </w:p>
          <w:p w:rsidR="005E141E" w:rsidRPr="00CC12A7" w:rsidRDefault="005E141E" w:rsidP="00931F4A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12A7">
              <w:t xml:space="preserve">suitability 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141E" w:rsidRPr="00CC12A7" w:rsidRDefault="005E141E" w:rsidP="00931F4A">
            <w:pPr>
              <w:pStyle w:val="Geenafstand"/>
            </w:pPr>
            <w:r w:rsidRPr="00CC12A7">
              <w:t>&lt; -0.5 m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2A7">
              <w:t>Low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2A7">
              <w:t>-2</w:t>
            </w:r>
          </w:p>
        </w:tc>
      </w:tr>
      <w:tr w:rsidR="005E141E" w:rsidRPr="00CC12A7" w:rsidTr="005E14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141E" w:rsidRPr="00CC12A7" w:rsidRDefault="005E141E" w:rsidP="00931F4A">
            <w:pPr>
              <w:pStyle w:val="Geenafstand"/>
            </w:pPr>
            <w:r w:rsidRPr="00CC12A7">
              <w:t>-0.5 - 0 m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A7">
              <w:t>Medium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A7">
              <w:t>-1</w:t>
            </w:r>
          </w:p>
        </w:tc>
      </w:tr>
      <w:tr w:rsidR="005E141E" w:rsidRPr="00CC12A7" w:rsidTr="005E1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141E" w:rsidRPr="00CC12A7" w:rsidRDefault="005E141E" w:rsidP="00931F4A">
            <w:pPr>
              <w:pStyle w:val="Geenafstand"/>
            </w:pPr>
            <w:r w:rsidRPr="00CC12A7">
              <w:t>&gt; 0 m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2A7">
              <w:t>High</w:t>
            </w:r>
          </w:p>
        </w:tc>
        <w:tc>
          <w:tcPr>
            <w:tcW w:w="0" w:type="auto"/>
          </w:tcPr>
          <w:p w:rsidR="005E141E" w:rsidRPr="00CC12A7" w:rsidRDefault="005E141E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2A7">
              <w:t>0</w:t>
            </w:r>
          </w:p>
        </w:tc>
      </w:tr>
    </w:tbl>
    <w:p w:rsidR="005E141E" w:rsidRPr="00CC12A7" w:rsidRDefault="005E141E" w:rsidP="00931F4A">
      <w:pPr>
        <w:pStyle w:val="Geenafstand"/>
      </w:pPr>
    </w:p>
    <w:p w:rsidR="00523B93" w:rsidRPr="00CC12A7" w:rsidRDefault="00523B93" w:rsidP="00931F4A">
      <w:pPr>
        <w:pStyle w:val="Geenafstand"/>
      </w:pPr>
    </w:p>
    <w:p w:rsidR="00523B93" w:rsidRPr="00CC12A7" w:rsidRDefault="00523B93" w:rsidP="00931F4A">
      <w:pPr>
        <w:pStyle w:val="Geenafstand"/>
        <w:rPr>
          <w:i/>
        </w:rPr>
      </w:pPr>
      <w:r w:rsidRPr="00CC12A7">
        <w:rPr>
          <w:i/>
        </w:rPr>
        <w:t>Determining land-use suitability</w:t>
      </w:r>
    </w:p>
    <w:p w:rsidR="00457984" w:rsidRPr="00CC12A7" w:rsidRDefault="006314C8" w:rsidP="00931F4A">
      <w:pPr>
        <w:pStyle w:val="Geenafstand"/>
        <w:rPr>
          <w:lang w:val="en-US"/>
        </w:rPr>
      </w:pPr>
      <w:r w:rsidRPr="00CC12A7">
        <w:t xml:space="preserve">We assigned vegetation assemblages to these </w:t>
      </w:r>
      <w:r w:rsidR="00523B93" w:rsidRPr="00CC12A7">
        <w:t xml:space="preserve">combined geomorphological and lithological </w:t>
      </w:r>
      <w:r w:rsidRPr="00CC12A7">
        <w:t>units</w:t>
      </w:r>
      <w:r w:rsidR="00523B93" w:rsidRPr="00CC12A7">
        <w:t xml:space="preserve"> </w:t>
      </w:r>
      <w:r w:rsidRPr="00CC12A7">
        <w:t xml:space="preserve">using </w:t>
      </w:r>
      <w:r w:rsidR="00523B93" w:rsidRPr="00CC12A7">
        <w:t>the following land-use types</w:t>
      </w:r>
      <w:r w:rsidR="00CA4F51" w:rsidRPr="00CC12A7">
        <w:t xml:space="preserve"> distinguished in the model</w:t>
      </w:r>
      <w:r w:rsidR="00523B93" w:rsidRPr="00CC12A7">
        <w:t>: arable farming, pasture, meadow</w:t>
      </w:r>
      <w:r w:rsidR="00CA4F51" w:rsidRPr="00CC12A7">
        <w:t>,</w:t>
      </w:r>
      <w:r w:rsidR="00523B93" w:rsidRPr="00CC12A7">
        <w:t xml:space="preserve"> and woodland (Table </w:t>
      </w:r>
      <w:r w:rsidR="0078178F" w:rsidRPr="00CC12A7">
        <w:t>B.</w:t>
      </w:r>
      <w:r w:rsidR="00523B93" w:rsidRPr="00CC12A7">
        <w:t xml:space="preserve">3). </w:t>
      </w:r>
      <w:r w:rsidR="00523B93" w:rsidRPr="00CC12A7">
        <w:rPr>
          <w:lang w:val="en-US"/>
        </w:rPr>
        <w:t xml:space="preserve">For each </w:t>
      </w:r>
      <w:r w:rsidR="00523B93" w:rsidRPr="00CC12A7">
        <w:rPr>
          <w:szCs w:val="20"/>
        </w:rPr>
        <w:t>geomorphological</w:t>
      </w:r>
      <w:r w:rsidR="00457984" w:rsidRPr="00CC12A7">
        <w:rPr>
          <w:szCs w:val="20"/>
        </w:rPr>
        <w:t xml:space="preserve">-lithological </w:t>
      </w:r>
      <w:r w:rsidR="00523B93" w:rsidRPr="00CC12A7">
        <w:rPr>
          <w:szCs w:val="20"/>
        </w:rPr>
        <w:t>unit</w:t>
      </w:r>
      <w:r w:rsidR="00457984" w:rsidRPr="00CC12A7">
        <w:rPr>
          <w:szCs w:val="20"/>
        </w:rPr>
        <w:t>,</w:t>
      </w:r>
      <w:r w:rsidR="00523B93" w:rsidRPr="00CC12A7">
        <w:rPr>
          <w:szCs w:val="20"/>
        </w:rPr>
        <w:t xml:space="preserve"> </w:t>
      </w:r>
      <w:r w:rsidR="00523B93" w:rsidRPr="00CC12A7">
        <w:rPr>
          <w:lang w:val="en-US"/>
        </w:rPr>
        <w:t xml:space="preserve">land-use suitability was determined </w:t>
      </w:r>
      <w:r w:rsidR="00E830F6" w:rsidRPr="00CC12A7">
        <w:rPr>
          <w:lang w:val="en-US"/>
        </w:rPr>
        <w:t xml:space="preserve">using </w:t>
      </w:r>
      <w:r w:rsidR="00523B93" w:rsidRPr="00CC12A7">
        <w:rPr>
          <w:szCs w:val="20"/>
        </w:rPr>
        <w:t xml:space="preserve">a value ranging from 0 to 5, </w:t>
      </w:r>
      <w:r w:rsidR="00523B93" w:rsidRPr="00CC12A7">
        <w:rPr>
          <w:lang w:val="en-US"/>
        </w:rPr>
        <w:t xml:space="preserve">with a value of 0 reflecting no potential and 5 </w:t>
      </w:r>
      <w:r w:rsidR="00E830F6" w:rsidRPr="00CC12A7">
        <w:rPr>
          <w:lang w:val="en-US"/>
        </w:rPr>
        <w:t xml:space="preserve">reflecting </w:t>
      </w:r>
      <w:r w:rsidR="00523B93" w:rsidRPr="00CC12A7">
        <w:rPr>
          <w:lang w:val="en-US"/>
        </w:rPr>
        <w:t xml:space="preserve">a high potential for </w:t>
      </w:r>
      <w:r w:rsidR="00E830F6" w:rsidRPr="00CC12A7">
        <w:rPr>
          <w:lang w:val="en-US"/>
        </w:rPr>
        <w:t xml:space="preserve">a </w:t>
      </w:r>
      <w:r w:rsidR="00523B93" w:rsidRPr="00CC12A7">
        <w:rPr>
          <w:lang w:val="en-US"/>
        </w:rPr>
        <w:t>specific kind of land use.</w:t>
      </w:r>
      <w:r w:rsidR="00523B93" w:rsidRPr="00CC12A7">
        <w:t xml:space="preserve"> </w:t>
      </w:r>
      <w:r w:rsidR="00406A6A" w:rsidRPr="00CC12A7">
        <w:rPr>
          <w:lang w:val="en-US"/>
        </w:rPr>
        <w:t>Nutrient availability, groundwater level (moisture content), permeability</w:t>
      </w:r>
      <w:r w:rsidR="00E830F6" w:rsidRPr="00CC12A7">
        <w:rPr>
          <w:lang w:val="en-US"/>
        </w:rPr>
        <w:t>,</w:t>
      </w:r>
      <w:r w:rsidR="00406A6A" w:rsidRPr="00CC12A7">
        <w:rPr>
          <w:lang w:val="en-US"/>
        </w:rPr>
        <w:t xml:space="preserve"> and flooding frequency depending on geomorphology and lithology were important factors for </w:t>
      </w:r>
      <w:r w:rsidR="00E830F6" w:rsidRPr="00CC12A7">
        <w:rPr>
          <w:lang w:val="en-US"/>
        </w:rPr>
        <w:t xml:space="preserve">determining </w:t>
      </w:r>
      <w:r w:rsidR="00406A6A" w:rsidRPr="00CC12A7">
        <w:rPr>
          <w:lang w:val="en-US"/>
        </w:rPr>
        <w:t xml:space="preserve">the suitability </w:t>
      </w:r>
      <w:r w:rsidR="00E830F6" w:rsidRPr="00CC12A7">
        <w:rPr>
          <w:lang w:val="en-US"/>
        </w:rPr>
        <w:t xml:space="preserve">for </w:t>
      </w:r>
      <w:r w:rsidR="00406A6A" w:rsidRPr="00CC12A7">
        <w:rPr>
          <w:lang w:val="en-US"/>
        </w:rPr>
        <w:t xml:space="preserve">the different vegetation units. We used the ecological preference of vegetation as </w:t>
      </w:r>
      <w:r w:rsidR="00887E58" w:rsidRPr="00CC12A7">
        <w:rPr>
          <w:lang w:val="en-US"/>
        </w:rPr>
        <w:t>described</w:t>
      </w:r>
      <w:r w:rsidR="00406A6A" w:rsidRPr="00CC12A7">
        <w:rPr>
          <w:lang w:val="en-US"/>
        </w:rPr>
        <w:t xml:space="preserve"> in </w:t>
      </w:r>
      <w:proofErr w:type="spellStart"/>
      <w:r w:rsidR="00CA4F51" w:rsidRPr="00CC12A7">
        <w:rPr>
          <w:szCs w:val="20"/>
        </w:rPr>
        <w:t>Westhoff</w:t>
      </w:r>
      <w:proofErr w:type="spellEnd"/>
      <w:r w:rsidR="00CA4F51" w:rsidRPr="00CC12A7">
        <w:rPr>
          <w:szCs w:val="20"/>
        </w:rPr>
        <w:t xml:space="preserve"> et al. </w:t>
      </w:r>
      <w:r w:rsidR="007167F0" w:rsidRPr="00CC12A7">
        <w:rPr>
          <w:szCs w:val="20"/>
        </w:rPr>
        <w:t>(</w:t>
      </w:r>
      <w:r w:rsidR="00CA4F51" w:rsidRPr="00CC12A7">
        <w:rPr>
          <w:szCs w:val="20"/>
        </w:rPr>
        <w:t>1970a, 1970b; 1970c</w:t>
      </w:r>
      <w:r w:rsidR="007167F0" w:rsidRPr="00CC12A7">
        <w:rPr>
          <w:szCs w:val="20"/>
        </w:rPr>
        <w:t>)</w:t>
      </w:r>
      <w:r w:rsidR="00CA4F51" w:rsidRPr="00CC12A7">
        <w:rPr>
          <w:szCs w:val="20"/>
        </w:rPr>
        <w:t xml:space="preserve">; </w:t>
      </w:r>
      <w:proofErr w:type="spellStart"/>
      <w:r w:rsidR="00CA4F51" w:rsidRPr="00CC12A7">
        <w:rPr>
          <w:szCs w:val="20"/>
        </w:rPr>
        <w:t>Weeda</w:t>
      </w:r>
      <w:proofErr w:type="spellEnd"/>
      <w:r w:rsidR="00CA4F51" w:rsidRPr="00CC12A7">
        <w:rPr>
          <w:szCs w:val="20"/>
        </w:rPr>
        <w:t xml:space="preserve"> et al. </w:t>
      </w:r>
      <w:r w:rsidR="007167F0" w:rsidRPr="00CC12A7">
        <w:rPr>
          <w:szCs w:val="20"/>
        </w:rPr>
        <w:t>(</w:t>
      </w:r>
      <w:r w:rsidR="00CA4F51" w:rsidRPr="00CC12A7">
        <w:rPr>
          <w:szCs w:val="20"/>
        </w:rPr>
        <w:t xml:space="preserve">1985; 1987; 1988; 1991; 1994; 2000; 2003; 2005). </w:t>
      </w:r>
      <w:r w:rsidR="00406A6A" w:rsidRPr="00CC12A7">
        <w:rPr>
          <w:lang w:val="en-US"/>
        </w:rPr>
        <w:t>The</w:t>
      </w:r>
      <w:r w:rsidR="00BF086E" w:rsidRPr="00CC12A7">
        <w:rPr>
          <w:lang w:val="en-US"/>
        </w:rPr>
        <w:t xml:space="preserve"> different vegetation assemblages distinguished in this study have different ecological </w:t>
      </w:r>
      <w:r w:rsidR="00931F4A" w:rsidRPr="00CC12A7">
        <w:rPr>
          <w:lang w:val="en-US"/>
        </w:rPr>
        <w:t>preferences, which</w:t>
      </w:r>
      <w:r w:rsidR="00BF086E" w:rsidRPr="00CC12A7">
        <w:rPr>
          <w:lang w:val="en-US"/>
        </w:rPr>
        <w:t xml:space="preserve"> are listed below</w:t>
      </w:r>
      <w:r w:rsidR="00100718" w:rsidRPr="00CC12A7">
        <w:rPr>
          <w:lang w:val="en-US"/>
        </w:rPr>
        <w:t>.</w:t>
      </w:r>
    </w:p>
    <w:p w:rsidR="00457984" w:rsidRPr="00CC12A7" w:rsidRDefault="00457984" w:rsidP="00931F4A">
      <w:pPr>
        <w:pStyle w:val="Geenafstand"/>
      </w:pPr>
    </w:p>
    <w:p w:rsidR="00457984" w:rsidRPr="00CC12A7" w:rsidRDefault="00523B93" w:rsidP="00931F4A">
      <w:pPr>
        <w:pStyle w:val="Geenafstand"/>
        <w:numPr>
          <w:ilvl w:val="0"/>
          <w:numId w:val="1"/>
        </w:numPr>
      </w:pPr>
      <w:r w:rsidRPr="00CC12A7">
        <w:rPr>
          <w:i/>
        </w:rPr>
        <w:t>Arable land</w:t>
      </w:r>
      <w:r w:rsidRPr="00CC12A7">
        <w:t xml:space="preserve"> often </w:t>
      </w:r>
      <w:r w:rsidR="00100718" w:rsidRPr="00CC12A7">
        <w:t>consist</w:t>
      </w:r>
      <w:r w:rsidR="00522353" w:rsidRPr="00CC12A7">
        <w:t>s</w:t>
      </w:r>
      <w:r w:rsidR="00100718" w:rsidRPr="00CC12A7">
        <w:t xml:space="preserve"> of </w:t>
      </w:r>
      <w:r w:rsidRPr="00CC12A7">
        <w:t>nutrient-rich soil</w:t>
      </w:r>
      <w:r w:rsidR="00406A6A" w:rsidRPr="00CC12A7">
        <w:t>s</w:t>
      </w:r>
      <w:r w:rsidRPr="00CC12A7">
        <w:t xml:space="preserve"> with </w:t>
      </w:r>
      <w:r w:rsidR="00406A6A" w:rsidRPr="00CC12A7">
        <w:t xml:space="preserve">a </w:t>
      </w:r>
      <w:r w:rsidRPr="00CC12A7">
        <w:t>low flooding potential and a good permeability</w:t>
      </w:r>
      <w:r w:rsidR="00887E58" w:rsidRPr="00CC12A7">
        <w:t>.</w:t>
      </w:r>
      <w:r w:rsidR="00457984" w:rsidRPr="00CC12A7">
        <w:t xml:space="preserve"> </w:t>
      </w:r>
      <w:r w:rsidR="00931F4A" w:rsidRPr="00CC12A7">
        <w:t>Therefore,</w:t>
      </w:r>
      <w:r w:rsidR="00457984" w:rsidRPr="00CC12A7">
        <w:t xml:space="preserve"> the low and wet flood basins </w:t>
      </w:r>
      <w:r w:rsidR="00100718" w:rsidRPr="00CC12A7">
        <w:t xml:space="preserve">in the study area </w:t>
      </w:r>
      <w:r w:rsidR="00457984" w:rsidRPr="00CC12A7">
        <w:t xml:space="preserve">have a low potential for arable </w:t>
      </w:r>
      <w:r w:rsidR="00100718" w:rsidRPr="00CC12A7">
        <w:t>functions and</w:t>
      </w:r>
      <w:r w:rsidR="00457984" w:rsidRPr="00CC12A7">
        <w:t xml:space="preserve"> </w:t>
      </w:r>
      <w:r w:rsidR="005E3237" w:rsidRPr="00CC12A7">
        <w:t xml:space="preserve">sandy Pleistocene soils poor in loam are also less suitable </w:t>
      </w:r>
      <w:r w:rsidR="00100718" w:rsidRPr="00CC12A7">
        <w:t xml:space="preserve">since </w:t>
      </w:r>
      <w:r w:rsidR="005E3237" w:rsidRPr="00CC12A7">
        <w:t>they lack abundant nutrients for the crops. Low levees and crevasse splays</w:t>
      </w:r>
      <w:r w:rsidR="00457984" w:rsidRPr="00CC12A7">
        <w:t xml:space="preserve"> </w:t>
      </w:r>
      <w:r w:rsidR="00887E58" w:rsidRPr="00CC12A7">
        <w:t xml:space="preserve">have a </w:t>
      </w:r>
      <w:r w:rsidR="00457984" w:rsidRPr="00CC12A7">
        <w:t xml:space="preserve">moderate </w:t>
      </w:r>
      <w:r w:rsidR="00887E58" w:rsidRPr="00CC12A7">
        <w:t xml:space="preserve">potential, and </w:t>
      </w:r>
      <w:r w:rsidR="005E3237" w:rsidRPr="00CC12A7">
        <w:t>the higher alluvial ridges</w:t>
      </w:r>
      <w:r w:rsidR="00457984" w:rsidRPr="00CC12A7">
        <w:t xml:space="preserve"> have a high potential for arable land</w:t>
      </w:r>
      <w:r w:rsidR="00100718" w:rsidRPr="00CC12A7">
        <w:t xml:space="preserve"> use</w:t>
      </w:r>
      <w:r w:rsidR="00457984" w:rsidRPr="00CC12A7">
        <w:t xml:space="preserve">. </w:t>
      </w:r>
    </w:p>
    <w:p w:rsidR="00457984" w:rsidRPr="00CC12A7" w:rsidRDefault="00523B93" w:rsidP="00931F4A">
      <w:pPr>
        <w:pStyle w:val="Geenafstand"/>
        <w:numPr>
          <w:ilvl w:val="0"/>
          <w:numId w:val="1"/>
        </w:numPr>
      </w:pPr>
      <w:r w:rsidRPr="00CC12A7">
        <w:rPr>
          <w:i/>
        </w:rPr>
        <w:t>Pasture and meadow land</w:t>
      </w:r>
      <w:r w:rsidRPr="00CC12A7">
        <w:t xml:space="preserve"> </w:t>
      </w:r>
      <w:r w:rsidR="00406A6A" w:rsidRPr="00CC12A7">
        <w:t>tolerate</w:t>
      </w:r>
      <w:r w:rsidRPr="00CC12A7">
        <w:t xml:space="preserve"> most conditions except permanently saturated</w:t>
      </w:r>
      <w:r w:rsidR="007167F0" w:rsidRPr="00CC12A7">
        <w:t xml:space="preserve"> </w:t>
      </w:r>
      <w:r w:rsidR="00406A6A" w:rsidRPr="00CC12A7">
        <w:t>situations</w:t>
      </w:r>
      <w:r w:rsidR="00457984" w:rsidRPr="00CC12A7">
        <w:t xml:space="preserve"> and water</w:t>
      </w:r>
      <w:r w:rsidR="005E3237" w:rsidRPr="00CC12A7">
        <w:t xml:space="preserve"> (i.e. active channels and open residual channels)</w:t>
      </w:r>
      <w:r w:rsidRPr="00CC12A7">
        <w:t>.</w:t>
      </w:r>
      <w:r w:rsidR="005E3237" w:rsidRPr="00CC12A7">
        <w:t xml:space="preserve"> They </w:t>
      </w:r>
      <w:r w:rsidR="00100718" w:rsidRPr="00CC12A7">
        <w:t xml:space="preserve">were </w:t>
      </w:r>
      <w:r w:rsidR="005E3237" w:rsidRPr="00CC12A7">
        <w:t xml:space="preserve">mostly </w:t>
      </w:r>
      <w:r w:rsidR="00100718" w:rsidRPr="00CC12A7">
        <w:t xml:space="preserve">situated </w:t>
      </w:r>
      <w:r w:rsidR="005E3237" w:rsidRPr="00CC12A7">
        <w:t>in areas that were too wet for arable land</w:t>
      </w:r>
      <w:r w:rsidR="00100718" w:rsidRPr="00CC12A7">
        <w:t xml:space="preserve"> use</w:t>
      </w:r>
      <w:r w:rsidR="005E3237" w:rsidRPr="00CC12A7">
        <w:t xml:space="preserve">, such as lower alluvial ridges. </w:t>
      </w:r>
      <w:r w:rsidR="00457984" w:rsidRPr="00CC12A7">
        <w:rPr>
          <w:szCs w:val="20"/>
        </w:rPr>
        <w:t xml:space="preserve">Land-use suitability </w:t>
      </w:r>
      <w:r w:rsidR="00100718" w:rsidRPr="00CC12A7">
        <w:rPr>
          <w:szCs w:val="20"/>
        </w:rPr>
        <w:t xml:space="preserve"> of areas for </w:t>
      </w:r>
      <w:r w:rsidR="00457984" w:rsidRPr="00CC12A7">
        <w:rPr>
          <w:szCs w:val="20"/>
        </w:rPr>
        <w:t xml:space="preserve">pasture and meadow was </w:t>
      </w:r>
      <w:r w:rsidR="00100718" w:rsidRPr="00CC12A7">
        <w:rPr>
          <w:szCs w:val="20"/>
        </w:rPr>
        <w:t xml:space="preserve">assumed to be </w:t>
      </w:r>
      <w:r w:rsidR="00457984" w:rsidRPr="00CC12A7">
        <w:rPr>
          <w:szCs w:val="20"/>
        </w:rPr>
        <w:t>equal</w:t>
      </w:r>
      <w:r w:rsidR="00100718" w:rsidRPr="00CC12A7">
        <w:rPr>
          <w:szCs w:val="20"/>
        </w:rPr>
        <w:t>,</w:t>
      </w:r>
      <w:r w:rsidR="00457984" w:rsidRPr="00CC12A7">
        <w:rPr>
          <w:szCs w:val="20"/>
        </w:rPr>
        <w:t xml:space="preserve"> since difference between these types of land use mainly </w:t>
      </w:r>
      <w:r w:rsidR="00100718" w:rsidRPr="00CC12A7">
        <w:rPr>
          <w:szCs w:val="20"/>
        </w:rPr>
        <w:t xml:space="preserve">are </w:t>
      </w:r>
      <w:r w:rsidR="00457984" w:rsidRPr="00CC12A7">
        <w:rPr>
          <w:szCs w:val="20"/>
        </w:rPr>
        <w:t>determined by socio-cultural variables such as the distance to a settlement</w:t>
      </w:r>
      <w:r w:rsidR="007167F0" w:rsidRPr="00CC12A7">
        <w:rPr>
          <w:szCs w:val="20"/>
        </w:rPr>
        <w:t xml:space="preserve"> (</w:t>
      </w:r>
      <w:r w:rsidR="00597201" w:rsidRPr="00CC12A7">
        <w:rPr>
          <w:szCs w:val="20"/>
        </w:rPr>
        <w:t>Appendix C</w:t>
      </w:r>
      <w:r w:rsidR="007167F0" w:rsidRPr="00CC12A7">
        <w:rPr>
          <w:szCs w:val="20"/>
        </w:rPr>
        <w:t>)</w:t>
      </w:r>
      <w:r w:rsidR="00457984" w:rsidRPr="00CC12A7">
        <w:rPr>
          <w:szCs w:val="20"/>
        </w:rPr>
        <w:t>.</w:t>
      </w:r>
    </w:p>
    <w:p w:rsidR="00931F4A" w:rsidRPr="00CC12A7" w:rsidRDefault="00931F4A" w:rsidP="00931F4A">
      <w:pPr>
        <w:pStyle w:val="Geenafstand"/>
        <w:rPr>
          <w:i/>
        </w:rPr>
      </w:pPr>
    </w:p>
    <w:p w:rsidR="00523B93" w:rsidRPr="00CC12A7" w:rsidRDefault="00D16E64" w:rsidP="00931F4A">
      <w:pPr>
        <w:pStyle w:val="Geenafstand"/>
      </w:pPr>
      <w:r w:rsidRPr="00CC12A7">
        <w:t xml:space="preserve">Due to </w:t>
      </w:r>
      <w:r w:rsidR="0052125B" w:rsidRPr="00CC12A7">
        <w:t xml:space="preserve">lacking </w:t>
      </w:r>
      <w:r w:rsidRPr="00CC12A7">
        <w:t xml:space="preserve">data availability, ‘woodland’ as </w:t>
      </w:r>
      <w:r w:rsidR="00100718" w:rsidRPr="00CC12A7">
        <w:t xml:space="preserve">a </w:t>
      </w:r>
      <w:r w:rsidRPr="00CC12A7">
        <w:t>land-</w:t>
      </w:r>
      <w:r w:rsidR="00931F4A" w:rsidRPr="00CC12A7">
        <w:t>use</w:t>
      </w:r>
      <w:r w:rsidRPr="00CC12A7">
        <w:t xml:space="preserve"> type</w:t>
      </w:r>
      <w:r w:rsidR="00931F4A" w:rsidRPr="00CC12A7">
        <w:t xml:space="preserve"> </w:t>
      </w:r>
      <w:r w:rsidR="00100718" w:rsidRPr="00CC12A7">
        <w:t xml:space="preserve">(i.e. yielding fuel and timber) </w:t>
      </w:r>
      <w:r w:rsidR="00931F4A" w:rsidRPr="00CC12A7">
        <w:t xml:space="preserve">was not included </w:t>
      </w:r>
      <w:r w:rsidRPr="00CC12A7">
        <w:t xml:space="preserve">in </w:t>
      </w:r>
      <w:r w:rsidR="00100718" w:rsidRPr="00CC12A7">
        <w:t xml:space="preserve">the </w:t>
      </w:r>
      <w:r w:rsidRPr="00CC12A7">
        <w:t xml:space="preserve">calculations. </w:t>
      </w:r>
      <w:r w:rsidR="00931F4A" w:rsidRPr="00CC12A7">
        <w:t>The</w:t>
      </w:r>
      <w:r w:rsidRPr="00CC12A7">
        <w:t xml:space="preserve"> presented</w:t>
      </w:r>
      <w:r w:rsidR="00931F4A" w:rsidRPr="00CC12A7">
        <w:t xml:space="preserve"> </w:t>
      </w:r>
      <w:r w:rsidRPr="00CC12A7">
        <w:t>PLUS</w:t>
      </w:r>
      <w:r w:rsidR="00931F4A" w:rsidRPr="00CC12A7">
        <w:t xml:space="preserve"> assumes woodland </w:t>
      </w:r>
      <w:r w:rsidR="00100718" w:rsidRPr="00CC12A7">
        <w:t xml:space="preserve">was </w:t>
      </w:r>
      <w:r w:rsidR="00931F4A" w:rsidRPr="00CC12A7">
        <w:t xml:space="preserve">a constant and </w:t>
      </w:r>
      <w:r w:rsidR="00100718" w:rsidRPr="00CC12A7">
        <w:t xml:space="preserve">therefore had no effect on </w:t>
      </w:r>
      <w:r w:rsidR="00931F4A" w:rsidRPr="00CC12A7">
        <w:t>other land-use types</w:t>
      </w:r>
      <w:r w:rsidR="0052125B" w:rsidRPr="00CC12A7">
        <w:t xml:space="preserve"> (</w:t>
      </w:r>
      <w:r w:rsidR="00522353" w:rsidRPr="00CC12A7">
        <w:t xml:space="preserve">see </w:t>
      </w:r>
      <w:r w:rsidR="0052125B" w:rsidRPr="00CC12A7">
        <w:t>main text</w:t>
      </w:r>
      <w:r w:rsidR="00522353" w:rsidRPr="00CC12A7">
        <w:t>,</w:t>
      </w:r>
      <w:r w:rsidR="0052125B" w:rsidRPr="00CC12A7">
        <w:t xml:space="preserve"> Section 6.1)</w:t>
      </w:r>
      <w:r w:rsidR="00931F4A" w:rsidRPr="00CC12A7">
        <w:t>.</w:t>
      </w:r>
    </w:p>
    <w:p w:rsidR="00523B93" w:rsidRPr="00CC12A7" w:rsidRDefault="00523B93" w:rsidP="00931F4A">
      <w:pPr>
        <w:pStyle w:val="Geenafstand"/>
      </w:pPr>
    </w:p>
    <w:p w:rsidR="00523B93" w:rsidRPr="00CC12A7" w:rsidRDefault="00931F4A" w:rsidP="00931F4A">
      <w:pPr>
        <w:pStyle w:val="Geenafstand"/>
      </w:pPr>
      <w:r w:rsidRPr="00CC12A7">
        <w:t xml:space="preserve">Table </w:t>
      </w:r>
      <w:r w:rsidR="00D16E64" w:rsidRPr="00CC12A7">
        <w:t>B.</w:t>
      </w:r>
      <w:r w:rsidRPr="00CC12A7">
        <w:t>3 |</w:t>
      </w:r>
      <w:r w:rsidR="00523B93" w:rsidRPr="00CC12A7">
        <w:t xml:space="preserve"> </w:t>
      </w:r>
      <w:r w:rsidR="00100718" w:rsidRPr="00CC12A7">
        <w:rPr>
          <w:i/>
        </w:rPr>
        <w:t>G</w:t>
      </w:r>
      <w:r w:rsidR="00523B93" w:rsidRPr="00CC12A7">
        <w:rPr>
          <w:i/>
        </w:rPr>
        <w:t>eomorphological units and associated lithology</w:t>
      </w:r>
      <w:r w:rsidR="00D16E64" w:rsidRPr="00CC12A7">
        <w:rPr>
          <w:i/>
        </w:rPr>
        <w:t xml:space="preserve"> in the study area</w:t>
      </w:r>
      <w:r w:rsidR="00523B93" w:rsidRPr="00CC12A7">
        <w:rPr>
          <w:i/>
        </w:rPr>
        <w:t xml:space="preserve">. For each </w:t>
      </w:r>
      <w:r w:rsidR="00D16E64" w:rsidRPr="00CC12A7">
        <w:rPr>
          <w:i/>
        </w:rPr>
        <w:t xml:space="preserve">unique </w:t>
      </w:r>
      <w:r w:rsidR="00523B93" w:rsidRPr="00CC12A7">
        <w:rPr>
          <w:i/>
        </w:rPr>
        <w:t>combination between geomorphological and lithological setting</w:t>
      </w:r>
      <w:r w:rsidR="00D16E64" w:rsidRPr="00CC12A7">
        <w:rPr>
          <w:i/>
        </w:rPr>
        <w:t>,</w:t>
      </w:r>
      <w:r w:rsidR="00523B93" w:rsidRPr="00CC12A7">
        <w:rPr>
          <w:i/>
        </w:rPr>
        <w:t xml:space="preserve"> the suitability for specific land-use types is given</w:t>
      </w:r>
      <w:r w:rsidR="00523B93" w:rsidRPr="00CC12A7">
        <w:t>.</w:t>
      </w:r>
    </w:p>
    <w:p w:rsidR="00523B93" w:rsidRPr="00CC12A7" w:rsidRDefault="00523B93" w:rsidP="00931F4A">
      <w:pPr>
        <w:pStyle w:val="Geenafstand"/>
      </w:pPr>
    </w:p>
    <w:tbl>
      <w:tblPr>
        <w:tblStyle w:val="Rastertabel41"/>
        <w:tblW w:w="4859" w:type="pct"/>
        <w:jc w:val="center"/>
        <w:tblLook w:val="04A0" w:firstRow="1" w:lastRow="0" w:firstColumn="1" w:lastColumn="0" w:noHBand="0" w:noVBand="1"/>
      </w:tblPr>
      <w:tblGrid>
        <w:gridCol w:w="2481"/>
        <w:gridCol w:w="2183"/>
        <w:gridCol w:w="994"/>
        <w:gridCol w:w="913"/>
        <w:gridCol w:w="799"/>
        <w:gridCol w:w="787"/>
        <w:gridCol w:w="870"/>
      </w:tblGrid>
      <w:tr w:rsidR="00523B93" w:rsidRPr="00CC12A7" w:rsidTr="00D1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noWrap/>
            <w:hideMark/>
          </w:tcPr>
          <w:p w:rsidR="00523B93" w:rsidRPr="00CC12A7" w:rsidRDefault="00523B93" w:rsidP="00E830F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Landscape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noWrap/>
            <w:hideMark/>
          </w:tcPr>
          <w:p w:rsidR="00523B93" w:rsidRPr="00CC12A7" w:rsidRDefault="00523B93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>Suitability</w:t>
            </w:r>
            <w:proofErr w:type="spellEnd"/>
            <w:r w:rsidRPr="00CC12A7">
              <w:rPr>
                <w:rFonts w:ascii="Calibri" w:eastAsia="Times New Roman" w:hAnsi="Calibri" w:cs="Calibri"/>
                <w:sz w:val="18"/>
                <w:szCs w:val="18"/>
                <w:lang w:val="nl-NL" w:eastAsia="nl-NL"/>
              </w:rPr>
              <w:t xml:space="preserve"> 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Geomorphology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Lithology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Lithology</w:t>
            </w:r>
            <w:proofErr w:type="spellEnd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_</w:t>
            </w:r>
          </w:p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Elevation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</w:tcBorders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Arable</w:t>
            </w:r>
            <w:proofErr w:type="spellEnd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br/>
            </w: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farming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pasture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nl-NL" w:eastAsia="nl-NL"/>
              </w:rPr>
              <w:t>meadow</w:t>
            </w:r>
            <w:proofErr w:type="spellEnd"/>
          </w:p>
        </w:tc>
      </w:tr>
      <w:tr w:rsidR="00D16E64" w:rsidRPr="00CC12A7" w:rsidTr="00D16E6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Active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Sand or sandy clay on sand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141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 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Crevasse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splay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high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4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Crevasse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splay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medium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Crevasse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splay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low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2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Flood-basin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0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Flood-basin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peat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Peat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0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lastRenderedPageBreak/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high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medium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4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low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high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medium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Levee</w:t>
            </w:r>
            <w:proofErr w:type="spellEnd"/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low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high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medium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low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Clay on sandy clay on sand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high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Clay on sandy clay on sand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medium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5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Levee on inactive channel belt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Clay on sandy clay on sand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541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low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3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Residual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(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abandoned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)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Clay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0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Residual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(open)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Water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0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0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0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River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Water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0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0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0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Top pleistoceen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Sand or fine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 2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</w:tr>
      <w:tr w:rsidR="00D16E64" w:rsidRPr="00CC12A7" w:rsidTr="00D16E64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Top pleistoceen</w:t>
            </w:r>
          </w:p>
        </w:tc>
        <w:tc>
          <w:tcPr>
            <w:tcW w:w="1209" w:type="pct"/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Coarse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2</w:t>
            </w:r>
          </w:p>
        </w:tc>
        <w:tc>
          <w:tcPr>
            <w:tcW w:w="436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  <w:tc>
          <w:tcPr>
            <w:tcW w:w="482" w:type="pct"/>
            <w:noWrap/>
            <w:hideMark/>
          </w:tcPr>
          <w:p w:rsidR="00D16E64" w:rsidRPr="00CC12A7" w:rsidRDefault="00D16E64" w:rsidP="00931F4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4</w:t>
            </w:r>
          </w:p>
        </w:tc>
      </w:tr>
      <w:tr w:rsidR="00D16E64" w:rsidRPr="00CC12A7" w:rsidTr="00D1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Top pleistoceen</w:t>
            </w:r>
          </w:p>
        </w:tc>
        <w:tc>
          <w:tcPr>
            <w:tcW w:w="1209" w:type="pct"/>
            <w:tcBorders>
              <w:bottom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Loamy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sand</w:t>
            </w:r>
            <w:proofErr w:type="spellEnd"/>
          </w:p>
        </w:tc>
        <w:tc>
          <w:tcPr>
            <w:tcW w:w="551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D16E64" w:rsidRPr="00CC12A7" w:rsidRDefault="00D16E64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nl-NL"/>
              </w:rPr>
              <w:t>n/a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noWrap/>
            <w:hideMark/>
          </w:tcPr>
          <w:p w:rsidR="00D16E64" w:rsidRPr="00CC12A7" w:rsidRDefault="00D16E64" w:rsidP="00931F4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CC12A7">
              <w:rPr>
                <w:sz w:val="18"/>
                <w:szCs w:val="18"/>
                <w:lang w:eastAsia="nl-NL"/>
              </w:rPr>
              <w:t>5</w:t>
            </w:r>
          </w:p>
        </w:tc>
      </w:tr>
    </w:tbl>
    <w:p w:rsidR="00523B93" w:rsidRPr="00CC12A7" w:rsidRDefault="00523B93" w:rsidP="00931F4A">
      <w:pPr>
        <w:pStyle w:val="Geenafstand"/>
      </w:pPr>
    </w:p>
    <w:p w:rsidR="004B49BB" w:rsidRPr="00CC12A7" w:rsidRDefault="004B49BB" w:rsidP="004B49BB">
      <w:pPr>
        <w:pStyle w:val="Geenafstand"/>
        <w:rPr>
          <w:rFonts w:asciiTheme="minorHAnsi" w:hAnsiTheme="minorHAnsi" w:cstheme="minorHAnsi"/>
        </w:rPr>
      </w:pPr>
      <w:r w:rsidRPr="00CC12A7">
        <w:rPr>
          <w:rFonts w:asciiTheme="minorHAnsi" w:hAnsiTheme="minorHAnsi" w:cstheme="minorHAnsi"/>
          <w:b/>
        </w:rPr>
        <w:t>Distance relations</w:t>
      </w:r>
    </w:p>
    <w:p w:rsidR="004B49BB" w:rsidRPr="00CC12A7" w:rsidRDefault="00100718" w:rsidP="004B49BB">
      <w:pPr>
        <w:pStyle w:val="Geenafstand"/>
        <w:rPr>
          <w:rFonts w:asciiTheme="minorHAnsi" w:hAnsiTheme="minorHAnsi" w:cstheme="minorHAnsi"/>
        </w:rPr>
      </w:pPr>
      <w:r w:rsidRPr="00CC12A7">
        <w:rPr>
          <w:rFonts w:asciiTheme="minorHAnsi" w:hAnsiTheme="minorHAnsi" w:cstheme="minorHAnsi"/>
        </w:rPr>
        <w:t>D</w:t>
      </w:r>
      <w:r w:rsidR="004B49BB" w:rsidRPr="00CC12A7">
        <w:rPr>
          <w:rFonts w:asciiTheme="minorHAnsi" w:hAnsiTheme="minorHAnsi" w:cstheme="minorHAnsi"/>
        </w:rPr>
        <w:t>istance relations</w:t>
      </w:r>
      <w:r w:rsidR="00E10C08" w:rsidRPr="00CC12A7">
        <w:rPr>
          <w:rFonts w:asciiTheme="minorHAnsi" w:hAnsiTheme="minorHAnsi" w:cstheme="minorHAnsi"/>
        </w:rPr>
        <w:t xml:space="preserve"> used to determine land-use competition</w:t>
      </w:r>
      <w:r w:rsidRPr="00CC12A7">
        <w:rPr>
          <w:rFonts w:asciiTheme="minorHAnsi" w:hAnsiTheme="minorHAnsi" w:cstheme="minorHAnsi"/>
        </w:rPr>
        <w:t xml:space="preserve"> (</w:t>
      </w:r>
      <w:r w:rsidR="004B49BB" w:rsidRPr="00CC12A7">
        <w:rPr>
          <w:rFonts w:asciiTheme="minorHAnsi" w:hAnsiTheme="minorHAnsi" w:cstheme="minorHAnsi"/>
        </w:rPr>
        <w:t xml:space="preserve">i.e. the amount of time it takes to walk from a settlement to arable fields, meadows, </w:t>
      </w:r>
      <w:r w:rsidRPr="00CC12A7">
        <w:rPr>
          <w:rFonts w:asciiTheme="minorHAnsi" w:hAnsiTheme="minorHAnsi" w:cstheme="minorHAnsi"/>
        </w:rPr>
        <w:t>and</w:t>
      </w:r>
      <w:r w:rsidR="004B49BB" w:rsidRPr="00CC12A7">
        <w:rPr>
          <w:rFonts w:asciiTheme="minorHAnsi" w:hAnsiTheme="minorHAnsi" w:cstheme="minorHAnsi"/>
        </w:rPr>
        <w:t xml:space="preserve"> pastures</w:t>
      </w:r>
      <w:r w:rsidRPr="00CC12A7">
        <w:rPr>
          <w:rFonts w:asciiTheme="minorHAnsi" w:hAnsiTheme="minorHAnsi" w:cstheme="minorHAnsi"/>
        </w:rPr>
        <w:t>)</w:t>
      </w:r>
      <w:r w:rsidR="004B49BB" w:rsidRPr="00CC12A7">
        <w:rPr>
          <w:rFonts w:asciiTheme="minorHAnsi" w:hAnsiTheme="minorHAnsi" w:cstheme="minorHAnsi"/>
        </w:rPr>
        <w:t>, were derived from De Kleijn et al. (</w:t>
      </w:r>
      <w:r w:rsidR="004B49BB" w:rsidRPr="00CC12A7">
        <w:rPr>
          <w:rFonts w:asciiTheme="minorHAnsi" w:hAnsiTheme="minorHAnsi" w:cstheme="minorHAnsi"/>
          <w:color w:val="FF0000"/>
        </w:rPr>
        <w:t>submitted</w:t>
      </w:r>
      <w:r w:rsidR="004B49BB" w:rsidRPr="00CC12A7">
        <w:rPr>
          <w:rFonts w:asciiTheme="minorHAnsi" w:hAnsiTheme="minorHAnsi" w:cstheme="minorHAnsi"/>
        </w:rPr>
        <w:t xml:space="preserve">). Following definitions and spatial rules defined in </w:t>
      </w:r>
      <w:r w:rsidRPr="00CC12A7">
        <w:rPr>
          <w:rFonts w:asciiTheme="minorHAnsi" w:hAnsiTheme="minorHAnsi" w:cstheme="minorHAnsi"/>
        </w:rPr>
        <w:t xml:space="preserve">this </w:t>
      </w:r>
      <w:r w:rsidR="004B49BB" w:rsidRPr="00CC12A7">
        <w:rPr>
          <w:rFonts w:asciiTheme="minorHAnsi" w:hAnsiTheme="minorHAnsi" w:cstheme="minorHAnsi"/>
        </w:rPr>
        <w:t>study</w:t>
      </w:r>
      <w:r w:rsidR="0052125B" w:rsidRPr="00CC12A7">
        <w:rPr>
          <w:rFonts w:asciiTheme="minorHAnsi" w:hAnsiTheme="minorHAnsi" w:cstheme="minorHAnsi"/>
        </w:rPr>
        <w:t>,</w:t>
      </w:r>
      <w:r w:rsidR="004B49BB" w:rsidRPr="00CC12A7">
        <w:rPr>
          <w:rFonts w:asciiTheme="minorHAnsi" w:hAnsiTheme="minorHAnsi" w:cstheme="minorHAnsi"/>
        </w:rPr>
        <w:t xml:space="preserve"> we </w:t>
      </w:r>
      <w:r w:rsidR="0052125B" w:rsidRPr="00CC12A7">
        <w:rPr>
          <w:rFonts w:asciiTheme="minorHAnsi" w:hAnsiTheme="minorHAnsi" w:cstheme="minorHAnsi"/>
        </w:rPr>
        <w:t>determined</w:t>
      </w:r>
      <w:r w:rsidR="004B49BB" w:rsidRPr="00CC12A7">
        <w:rPr>
          <w:rFonts w:asciiTheme="minorHAnsi" w:hAnsiTheme="minorHAnsi" w:cstheme="minorHAnsi"/>
        </w:rPr>
        <w:t xml:space="preserve"> the time it takes to</w:t>
      </w:r>
      <w:r w:rsidR="0052125B" w:rsidRPr="00CC12A7">
        <w:rPr>
          <w:rFonts w:asciiTheme="minorHAnsi" w:hAnsiTheme="minorHAnsi" w:cstheme="minorHAnsi"/>
        </w:rPr>
        <w:t xml:space="preserve"> cross each</w:t>
      </w:r>
      <w:r w:rsidR="004B49BB" w:rsidRPr="00CC12A7">
        <w:rPr>
          <w:rFonts w:asciiTheme="minorHAnsi" w:hAnsiTheme="minorHAnsi" w:cstheme="minorHAnsi"/>
        </w:rPr>
        <w:t xml:space="preserve"> lithological unit</w:t>
      </w:r>
      <w:r w:rsidR="0052125B" w:rsidRPr="00CC12A7">
        <w:rPr>
          <w:rFonts w:asciiTheme="minorHAnsi" w:hAnsiTheme="minorHAnsi" w:cstheme="minorHAnsi"/>
        </w:rPr>
        <w:t xml:space="preserve"> using a resolution of 100</w:t>
      </w:r>
      <w:r w:rsidRPr="00CC12A7">
        <w:rPr>
          <w:rFonts w:asciiTheme="minorHAnsi" w:hAnsiTheme="minorHAnsi" w:cstheme="minorHAnsi"/>
        </w:rPr>
        <w:t>m</w:t>
      </w:r>
      <w:r w:rsidR="004B49BB" w:rsidRPr="00CC12A7">
        <w:rPr>
          <w:rFonts w:asciiTheme="minorHAnsi" w:hAnsiTheme="minorHAnsi" w:cstheme="minorHAnsi"/>
        </w:rPr>
        <w:t xml:space="preserve"> (Table B</w:t>
      </w:r>
      <w:r w:rsidR="00D16E64" w:rsidRPr="00CC12A7">
        <w:rPr>
          <w:rFonts w:asciiTheme="minorHAnsi" w:hAnsiTheme="minorHAnsi" w:cstheme="minorHAnsi"/>
        </w:rPr>
        <w:t>.</w:t>
      </w:r>
      <w:r w:rsidR="004B49BB" w:rsidRPr="00CC12A7">
        <w:rPr>
          <w:rFonts w:asciiTheme="minorHAnsi" w:hAnsiTheme="minorHAnsi" w:cstheme="minorHAnsi"/>
        </w:rPr>
        <w:t xml:space="preserve">4).  </w:t>
      </w:r>
    </w:p>
    <w:p w:rsidR="004B49BB" w:rsidRPr="00CC12A7" w:rsidRDefault="004B49BB" w:rsidP="004B49BB">
      <w:pPr>
        <w:pStyle w:val="Geenafstand"/>
        <w:rPr>
          <w:rFonts w:asciiTheme="minorHAnsi" w:hAnsiTheme="minorHAnsi" w:cstheme="minorHAnsi"/>
        </w:rPr>
      </w:pPr>
    </w:p>
    <w:p w:rsidR="004B49BB" w:rsidRPr="00CC12A7" w:rsidRDefault="004B49BB" w:rsidP="004B49BB">
      <w:pPr>
        <w:pStyle w:val="Geenafstand"/>
        <w:rPr>
          <w:rFonts w:asciiTheme="minorHAnsi" w:hAnsiTheme="minorHAnsi" w:cstheme="minorHAnsi"/>
          <w:i/>
        </w:rPr>
      </w:pPr>
      <w:r w:rsidRPr="00CC12A7">
        <w:rPr>
          <w:rFonts w:asciiTheme="minorHAnsi" w:hAnsiTheme="minorHAnsi" w:cstheme="minorHAnsi"/>
        </w:rPr>
        <w:t>Table B</w:t>
      </w:r>
      <w:r w:rsidR="00D16E64" w:rsidRPr="00CC12A7">
        <w:rPr>
          <w:rFonts w:asciiTheme="minorHAnsi" w:hAnsiTheme="minorHAnsi" w:cstheme="minorHAnsi"/>
        </w:rPr>
        <w:t>.</w:t>
      </w:r>
      <w:r w:rsidRPr="00CC12A7">
        <w:rPr>
          <w:rFonts w:asciiTheme="minorHAnsi" w:hAnsiTheme="minorHAnsi" w:cstheme="minorHAnsi"/>
        </w:rPr>
        <w:t>4</w:t>
      </w:r>
      <w:r w:rsidR="00D16E64" w:rsidRPr="00CC12A7">
        <w:rPr>
          <w:rFonts w:asciiTheme="minorHAnsi" w:hAnsiTheme="minorHAnsi" w:cstheme="minorHAnsi"/>
        </w:rPr>
        <w:t xml:space="preserve"> |</w:t>
      </w:r>
      <w:r w:rsidRPr="00CC12A7">
        <w:rPr>
          <w:rFonts w:asciiTheme="minorHAnsi" w:hAnsiTheme="minorHAnsi" w:cstheme="minorHAnsi"/>
          <w:i/>
        </w:rPr>
        <w:t xml:space="preserve"> Overview of distance relations (time to travel 100 metres) per reconstructed lithological unit.</w:t>
      </w:r>
    </w:p>
    <w:p w:rsidR="004B49BB" w:rsidRPr="00CC12A7" w:rsidRDefault="004B49BB" w:rsidP="004B49BB">
      <w:pPr>
        <w:pStyle w:val="Geenafstand"/>
        <w:rPr>
          <w:rFonts w:asciiTheme="minorHAnsi" w:hAnsiTheme="minorHAnsi" w:cstheme="minorHAnsi"/>
        </w:rPr>
      </w:pPr>
    </w:p>
    <w:tbl>
      <w:tblPr>
        <w:tblStyle w:val="Rastertabel5donker1"/>
        <w:tblW w:w="6232" w:type="dxa"/>
        <w:jc w:val="center"/>
        <w:tblLook w:val="04A0" w:firstRow="1" w:lastRow="0" w:firstColumn="1" w:lastColumn="0" w:noHBand="0" w:noVBand="1"/>
      </w:tblPr>
      <w:tblGrid>
        <w:gridCol w:w="1980"/>
        <w:gridCol w:w="1560"/>
        <w:gridCol w:w="980"/>
        <w:gridCol w:w="1712"/>
      </w:tblGrid>
      <w:tr w:rsidR="004B49BB" w:rsidRPr="00CC12A7" w:rsidTr="00630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4B49BB" w:rsidRPr="00CC12A7" w:rsidRDefault="004B49BB" w:rsidP="00E830F6">
            <w:pPr>
              <w:jc w:val="center"/>
              <w:rPr>
                <w:rFonts w:ascii="Calibri" w:eastAsia="Times New Roman" w:hAnsi="Calibri" w:cs="Calibri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Geomorphological</w:t>
            </w:r>
            <w:proofErr w:type="spellEnd"/>
          </w:p>
          <w:p w:rsidR="004B49BB" w:rsidRPr="00CC12A7" w:rsidRDefault="004B49BB" w:rsidP="00E830F6">
            <w:pPr>
              <w:jc w:val="center"/>
              <w:rPr>
                <w:rFonts w:ascii="Calibri" w:eastAsia="Times New Roman" w:hAnsi="Calibri" w:cs="Calibri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unit</w:t>
            </w:r>
          </w:p>
        </w:tc>
        <w:tc>
          <w:tcPr>
            <w:tcW w:w="1560" w:type="dxa"/>
            <w:noWrap/>
            <w:hideMark/>
          </w:tcPr>
          <w:p w:rsidR="004B49BB" w:rsidRPr="00CC12A7" w:rsidRDefault="004B49BB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Lithology</w:t>
            </w:r>
            <w:proofErr w:type="spellEnd"/>
          </w:p>
        </w:tc>
        <w:tc>
          <w:tcPr>
            <w:tcW w:w="980" w:type="dxa"/>
            <w:noWrap/>
            <w:hideMark/>
          </w:tcPr>
          <w:p w:rsidR="004B49BB" w:rsidRPr="00CC12A7" w:rsidRDefault="004B49BB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Elevation</w:t>
            </w:r>
            <w:proofErr w:type="spellEnd"/>
          </w:p>
          <w:p w:rsidR="004B49BB" w:rsidRPr="00CC12A7" w:rsidRDefault="004B49BB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class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lang w:val="en-GB"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lang w:val="en-GB" w:eastAsia="nl-NL"/>
              </w:rPr>
              <w:t>Time (s) to travel 100 metres</w:t>
            </w:r>
            <w:r w:rsidR="00683355" w:rsidRPr="00CC12A7">
              <w:rPr>
                <w:rFonts w:ascii="Calibri" w:eastAsia="Times New Roman" w:hAnsi="Calibri" w:cs="Calibri"/>
                <w:sz w:val="16"/>
                <w:lang w:val="en-GB" w:eastAsia="nl-NL"/>
              </w:rPr>
              <w:t xml:space="preserve"> (in seconds</w:t>
            </w:r>
            <w:r w:rsidR="00E10C08" w:rsidRPr="00CC12A7">
              <w:rPr>
                <w:rFonts w:ascii="Calibri" w:eastAsia="Times New Roman" w:hAnsi="Calibri" w:cs="Calibri"/>
                <w:sz w:val="16"/>
                <w:lang w:val="en-GB" w:eastAsia="nl-NL"/>
              </w:rPr>
              <w:t>)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Active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belt</w:t>
            </w:r>
          </w:p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val="en-GB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val="en-GB" w:eastAsia="nl-NL"/>
              </w:rPr>
              <w:t>Sand or sandy clay on sand</w:t>
            </w: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Crevasse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splay</w:t>
            </w:r>
            <w:proofErr w:type="spellEnd"/>
          </w:p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</w:p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Floodbasin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clay</w:t>
            </w:r>
            <w:proofErr w:type="spellEnd"/>
          </w:p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Floodbasin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peat</w:t>
            </w:r>
            <w:proofErr w:type="spellEnd"/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Peat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96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96</w:t>
            </w:r>
          </w:p>
        </w:tc>
      </w:tr>
      <w:tr w:rsidR="004B49BB" w:rsidRPr="00CC12A7" w:rsidTr="00630F5B">
        <w:trPr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96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Levee</w:t>
            </w:r>
            <w:proofErr w:type="spellEnd"/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sandy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100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100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szCs w:val="18"/>
                <w:lang w:eastAsia="nl-NL"/>
              </w:rPr>
              <w:t>100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val="en-GB" w:eastAsia="nl-NL"/>
              </w:rPr>
            </w:pPr>
            <w:r w:rsidRPr="00CC12A7">
              <w:rPr>
                <w:rFonts w:ascii="Calibri" w:eastAsia="Times New Roman" w:hAnsi="Calibri" w:cs="Calibri"/>
                <w:sz w:val="16"/>
                <w:lang w:val="en-GB" w:eastAsia="nl-NL"/>
              </w:rPr>
              <w:t>Levee on inactive channel belt</w:t>
            </w:r>
          </w:p>
        </w:tc>
        <w:tc>
          <w:tcPr>
            <w:tcW w:w="156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Coarse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sand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Sandy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 xml:space="preserve"> on </w:t>
            </w: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sand</w:t>
            </w:r>
            <w:proofErr w:type="spellEnd"/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75</w:t>
            </w:r>
          </w:p>
        </w:tc>
      </w:tr>
      <w:tr w:rsidR="004B49BB" w:rsidRPr="00CC12A7" w:rsidTr="00630F5B">
        <w:trPr>
          <w:trHeight w:val="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val="en-GB"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val="en-GB" w:eastAsia="nl-NL"/>
              </w:rPr>
              <w:t>Clay on sandy clay on sand</w:t>
            </w: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100</w:t>
            </w:r>
          </w:p>
        </w:tc>
      </w:tr>
      <w:tr w:rsidR="004B49BB" w:rsidRPr="00CC12A7" w:rsidTr="00630F5B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100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residual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(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abandoned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)</w:t>
            </w:r>
          </w:p>
        </w:tc>
        <w:tc>
          <w:tcPr>
            <w:tcW w:w="1560" w:type="dxa"/>
            <w:vMerge w:val="restart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Clay</w:t>
            </w:r>
            <w:proofErr w:type="spellEnd"/>
          </w:p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medium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CC12A7" w:rsidTr="00630F5B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sz w:val="16"/>
                <w:lang w:eastAsia="nl-NL"/>
              </w:rPr>
            </w:pPr>
          </w:p>
        </w:tc>
        <w:tc>
          <w:tcPr>
            <w:tcW w:w="1560" w:type="dxa"/>
            <w:vMerge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low</w:t>
            </w:r>
          </w:p>
        </w:tc>
        <w:tc>
          <w:tcPr>
            <w:tcW w:w="1712" w:type="dxa"/>
            <w:noWrap/>
            <w:hideMark/>
          </w:tcPr>
          <w:p w:rsidR="004B49BB" w:rsidRPr="00CC12A7" w:rsidRDefault="004B49BB" w:rsidP="00E8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88</w:t>
            </w:r>
          </w:p>
        </w:tc>
      </w:tr>
      <w:tr w:rsidR="004B49BB" w:rsidRPr="004553DC" w:rsidTr="00630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4B49BB" w:rsidRPr="00CC12A7" w:rsidRDefault="004B49BB" w:rsidP="00CD6C94">
            <w:pPr>
              <w:jc w:val="left"/>
              <w:rPr>
                <w:rFonts w:ascii="Calibri" w:eastAsia="Times New Roman" w:hAnsi="Calibri" w:cs="Calibri"/>
                <w:b w:val="0"/>
                <w:bCs w:val="0"/>
                <w:sz w:val="16"/>
                <w:lang w:eastAsia="nl-NL"/>
              </w:rPr>
            </w:pP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Residual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</w:t>
            </w:r>
            <w:proofErr w:type="spellStart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>channel</w:t>
            </w:r>
            <w:proofErr w:type="spellEnd"/>
            <w:r w:rsidRPr="00CC12A7">
              <w:rPr>
                <w:rFonts w:ascii="Calibri" w:eastAsia="Times New Roman" w:hAnsi="Calibri" w:cs="Calibri"/>
                <w:sz w:val="16"/>
                <w:lang w:eastAsia="nl-NL"/>
              </w:rPr>
              <w:t xml:space="preserve"> (open)</w:t>
            </w:r>
          </w:p>
        </w:tc>
        <w:tc>
          <w:tcPr>
            <w:tcW w:w="156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Water</w:t>
            </w:r>
          </w:p>
        </w:tc>
        <w:tc>
          <w:tcPr>
            <w:tcW w:w="980" w:type="dxa"/>
            <w:hideMark/>
          </w:tcPr>
          <w:p w:rsidR="004B49BB" w:rsidRPr="00CC12A7" w:rsidRDefault="004B49BB" w:rsidP="00E8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lang w:eastAsia="nl-NL"/>
              </w:rPr>
              <w:t>high</w:t>
            </w:r>
          </w:p>
        </w:tc>
        <w:tc>
          <w:tcPr>
            <w:tcW w:w="1712" w:type="dxa"/>
            <w:noWrap/>
            <w:hideMark/>
          </w:tcPr>
          <w:p w:rsidR="004B49BB" w:rsidRPr="004553DC" w:rsidRDefault="004B49BB" w:rsidP="00E830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</w:pPr>
            <w:r w:rsidRPr="00CC12A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nl-NL"/>
              </w:rPr>
              <w:t>320</w:t>
            </w:r>
            <w:bookmarkStart w:id="0" w:name="_GoBack"/>
            <w:bookmarkEnd w:id="0"/>
          </w:p>
        </w:tc>
      </w:tr>
    </w:tbl>
    <w:p w:rsidR="004B49BB" w:rsidRPr="005E141E" w:rsidRDefault="004B49BB" w:rsidP="004B49BB">
      <w:pPr>
        <w:pStyle w:val="Geenafstand"/>
      </w:pPr>
    </w:p>
    <w:sectPr w:rsidR="004B49BB" w:rsidRPr="005E141E" w:rsidSect="00931F4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0396F"/>
    <w:multiLevelType w:val="hybridMultilevel"/>
    <w:tmpl w:val="F712F98C"/>
    <w:lvl w:ilvl="0" w:tplc="3CE20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3NDU3srQ0sDA0MjRU0lEKTi0uzszPAykwqgUAZryZ2iwAAAA="/>
  </w:docVars>
  <w:rsids>
    <w:rsidRoot w:val="005E141E"/>
    <w:rsid w:val="0001703C"/>
    <w:rsid w:val="00100718"/>
    <w:rsid w:val="001064BA"/>
    <w:rsid w:val="00160573"/>
    <w:rsid w:val="00177F12"/>
    <w:rsid w:val="001D0DD7"/>
    <w:rsid w:val="002D3BC5"/>
    <w:rsid w:val="00406A6A"/>
    <w:rsid w:val="0042507A"/>
    <w:rsid w:val="00457984"/>
    <w:rsid w:val="00462E7D"/>
    <w:rsid w:val="004B49BB"/>
    <w:rsid w:val="0052125B"/>
    <w:rsid w:val="00522353"/>
    <w:rsid w:val="00522E12"/>
    <w:rsid w:val="00523B93"/>
    <w:rsid w:val="00597201"/>
    <w:rsid w:val="005E141E"/>
    <w:rsid w:val="005E3237"/>
    <w:rsid w:val="00630F5B"/>
    <w:rsid w:val="006314C8"/>
    <w:rsid w:val="00683355"/>
    <w:rsid w:val="0071231F"/>
    <w:rsid w:val="007167F0"/>
    <w:rsid w:val="0078178F"/>
    <w:rsid w:val="008100F2"/>
    <w:rsid w:val="008871FD"/>
    <w:rsid w:val="00887E58"/>
    <w:rsid w:val="00915B03"/>
    <w:rsid w:val="00931F4A"/>
    <w:rsid w:val="00A62C40"/>
    <w:rsid w:val="00AC3F51"/>
    <w:rsid w:val="00BF086E"/>
    <w:rsid w:val="00CA4F51"/>
    <w:rsid w:val="00CC12A7"/>
    <w:rsid w:val="00CD6C94"/>
    <w:rsid w:val="00D16E64"/>
    <w:rsid w:val="00D349BE"/>
    <w:rsid w:val="00D8219B"/>
    <w:rsid w:val="00DA074F"/>
    <w:rsid w:val="00DA1F4A"/>
    <w:rsid w:val="00DA4796"/>
    <w:rsid w:val="00E10C08"/>
    <w:rsid w:val="00E41AFB"/>
    <w:rsid w:val="00E830F6"/>
    <w:rsid w:val="00EA3321"/>
    <w:rsid w:val="00F67853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AB32-9062-44CC-801F-E5AC496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177F12"/>
    <w:pPr>
      <w:jc w:val="both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931F4A"/>
    <w:pPr>
      <w:spacing w:after="0" w:line="240" w:lineRule="auto"/>
      <w:jc w:val="both"/>
    </w:pPr>
    <w:rPr>
      <w:rFonts w:ascii="Calibri" w:eastAsia="Calibri" w:hAnsi="Calibri" w:cs="Times New Roman"/>
      <w:sz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14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141E"/>
    <w:pPr>
      <w:spacing w:line="240" w:lineRule="auto"/>
      <w:jc w:val="left"/>
    </w:pPr>
    <w:rPr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141E"/>
    <w:rPr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41E"/>
    <w:rPr>
      <w:rFonts w:ascii="Tahoma" w:hAnsi="Tahoma" w:cs="Tahoma"/>
      <w:sz w:val="16"/>
      <w:szCs w:val="16"/>
    </w:rPr>
  </w:style>
  <w:style w:type="table" w:customStyle="1" w:styleId="Rastertabel41">
    <w:name w:val="Rastertabel 41"/>
    <w:basedOn w:val="Standaardtabel"/>
    <w:uiPriority w:val="49"/>
    <w:rsid w:val="005E141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chtearcering1">
    <w:name w:val="Lichte arcering1"/>
    <w:basedOn w:val="Standaardtabel"/>
    <w:uiPriority w:val="60"/>
    <w:rsid w:val="005E141E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7984"/>
    <w:pPr>
      <w:jc w:val="both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7984"/>
    <w:rPr>
      <w:b/>
      <w:bCs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457984"/>
    <w:pPr>
      <w:ind w:left="720"/>
      <w:contextualSpacing/>
    </w:pPr>
  </w:style>
  <w:style w:type="table" w:customStyle="1" w:styleId="Rastertabel5donker1">
    <w:name w:val="Rastertabel 5 donker1"/>
    <w:basedOn w:val="Standaardtabel"/>
    <w:uiPriority w:val="50"/>
    <w:rsid w:val="004B4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1474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Rowin</dc:creator>
  <cp:lastModifiedBy>Windows-gebruiker</cp:lastModifiedBy>
  <cp:revision>3</cp:revision>
  <dcterms:created xsi:type="dcterms:W3CDTF">2017-05-27T15:07:00Z</dcterms:created>
  <dcterms:modified xsi:type="dcterms:W3CDTF">2018-05-18T14:16:00Z</dcterms:modified>
</cp:coreProperties>
</file>