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786" w:rsidRDefault="005F3786" w:rsidP="005F3786">
      <w:pPr>
        <w:autoSpaceDE w:val="0"/>
        <w:autoSpaceDN w:val="0"/>
        <w:adjustRightInd w:val="0"/>
        <w:spacing w:after="0"/>
        <w:jc w:val="center"/>
        <w:rPr>
          <w:rFonts w:cs="Times New Roman"/>
          <w:sz w:val="24"/>
          <w:szCs w:val="24"/>
          <w:u w:val="single"/>
          <w:lang w:val="en-GB"/>
        </w:rPr>
      </w:pPr>
      <w:bookmarkStart w:id="0" w:name="_GoBack"/>
      <w:bookmarkEnd w:id="0"/>
      <w:r w:rsidRPr="005F3786">
        <w:rPr>
          <w:rFonts w:cs="Times New Roman"/>
          <w:sz w:val="24"/>
          <w:szCs w:val="24"/>
          <w:u w:val="single"/>
          <w:lang w:val="en-GB"/>
        </w:rPr>
        <w:t xml:space="preserve">Online appendix </w:t>
      </w:r>
    </w:p>
    <w:p w:rsidR="005F3786" w:rsidRDefault="005F3786" w:rsidP="005F3786">
      <w:pPr>
        <w:autoSpaceDE w:val="0"/>
        <w:autoSpaceDN w:val="0"/>
        <w:adjustRightInd w:val="0"/>
        <w:spacing w:after="0"/>
        <w:jc w:val="center"/>
        <w:rPr>
          <w:rFonts w:cs="Times New Roman"/>
          <w:sz w:val="22"/>
          <w:szCs w:val="24"/>
          <w:lang w:val="en-GB"/>
        </w:rPr>
      </w:pPr>
    </w:p>
    <w:p w:rsidR="001235F7" w:rsidRPr="005F3786" w:rsidRDefault="001235F7" w:rsidP="005F3786">
      <w:pPr>
        <w:autoSpaceDE w:val="0"/>
        <w:autoSpaceDN w:val="0"/>
        <w:adjustRightInd w:val="0"/>
        <w:spacing w:after="0"/>
        <w:jc w:val="left"/>
        <w:rPr>
          <w:sz w:val="22"/>
          <w:szCs w:val="24"/>
          <w:lang w:val="en-GB"/>
        </w:rPr>
      </w:pPr>
      <w:r w:rsidRPr="005F3786">
        <w:rPr>
          <w:rFonts w:cs="Times New Roman"/>
          <w:sz w:val="22"/>
          <w:szCs w:val="24"/>
          <w:lang w:val="en-GB"/>
        </w:rPr>
        <w:t>Jessica Fortin-Rittberger, Christina Eder, Corinna Kroeber and Vanessa Marent</w:t>
      </w:r>
      <w:r w:rsidR="005F3786" w:rsidRPr="005F3786">
        <w:rPr>
          <w:rFonts w:cs="Times New Roman"/>
          <w:sz w:val="22"/>
          <w:szCs w:val="24"/>
          <w:lang w:val="en-GB"/>
        </w:rPr>
        <w:t>, ‘</w:t>
      </w:r>
      <w:r w:rsidRPr="005F3786">
        <w:rPr>
          <w:sz w:val="22"/>
          <w:szCs w:val="24"/>
          <w:lang w:val="en-GB"/>
        </w:rPr>
        <w:t>How Party Systems Shape Local–National Gender Gaps</w:t>
      </w:r>
      <w:r w:rsidR="005F3786" w:rsidRPr="005F3786">
        <w:rPr>
          <w:sz w:val="22"/>
          <w:szCs w:val="24"/>
          <w:lang w:val="en-GB"/>
        </w:rPr>
        <w:t xml:space="preserve">’, published in </w:t>
      </w:r>
      <w:r w:rsidR="005F3786" w:rsidRPr="005F3786">
        <w:rPr>
          <w:i/>
          <w:sz w:val="22"/>
          <w:szCs w:val="24"/>
          <w:lang w:val="en-GB"/>
        </w:rPr>
        <w:t>Government and Opposition</w:t>
      </w:r>
    </w:p>
    <w:p w:rsidR="001235F7" w:rsidRPr="005F3786" w:rsidRDefault="001235F7" w:rsidP="006B4396">
      <w:pPr>
        <w:pStyle w:val="Heading2"/>
        <w:spacing w:before="0" w:line="360" w:lineRule="auto"/>
        <w:rPr>
          <w:rFonts w:ascii="Times New Roman" w:hAnsi="Times New Roman" w:cs="Times New Roman"/>
          <w:b w:val="0"/>
          <w:sz w:val="22"/>
          <w:szCs w:val="24"/>
          <w:lang w:val="en-GB"/>
        </w:rPr>
      </w:pPr>
    </w:p>
    <w:p w:rsidR="001235F7" w:rsidRDefault="001235F7" w:rsidP="006B4396">
      <w:pPr>
        <w:pStyle w:val="Heading2"/>
        <w:spacing w:before="0" w:line="360" w:lineRule="auto"/>
        <w:rPr>
          <w:rFonts w:ascii="Times New Roman" w:hAnsi="Times New Roman" w:cs="Times New Roman"/>
          <w:b w:val="0"/>
          <w:sz w:val="24"/>
          <w:szCs w:val="24"/>
          <w:lang w:val="en-GB"/>
        </w:rPr>
      </w:pPr>
    </w:p>
    <w:p w:rsidR="006B4396" w:rsidRPr="00DD7F67" w:rsidRDefault="006B4396" w:rsidP="006B4396">
      <w:pPr>
        <w:pStyle w:val="Heading2"/>
        <w:spacing w:before="0" w:line="360" w:lineRule="auto"/>
        <w:rPr>
          <w:rFonts w:ascii="Times New Roman" w:hAnsi="Times New Roman" w:cs="Times New Roman"/>
          <w:b w:val="0"/>
          <w:i/>
          <w:sz w:val="24"/>
          <w:szCs w:val="24"/>
          <w:lang w:val="en-GB"/>
        </w:rPr>
      </w:pPr>
      <w:r w:rsidRPr="00DD7F67">
        <w:rPr>
          <w:rFonts w:ascii="Times New Roman" w:hAnsi="Times New Roman" w:cs="Times New Roman"/>
          <w:b w:val="0"/>
          <w:sz w:val="24"/>
          <w:szCs w:val="24"/>
          <w:lang w:val="en-GB"/>
        </w:rPr>
        <w:t>Appendix</w:t>
      </w:r>
      <w:r>
        <w:rPr>
          <w:rFonts w:ascii="Times New Roman" w:hAnsi="Times New Roman" w:cs="Times New Roman"/>
          <w:b w:val="0"/>
          <w:sz w:val="24"/>
          <w:szCs w:val="24"/>
          <w:lang w:val="en-GB"/>
        </w:rPr>
        <w:t xml:space="preserve"> 1</w:t>
      </w:r>
      <w:r w:rsidRPr="00DD7F67">
        <w:rPr>
          <w:rFonts w:ascii="Times New Roman" w:hAnsi="Times New Roman" w:cs="Times New Roman"/>
          <w:b w:val="0"/>
          <w:sz w:val="24"/>
          <w:szCs w:val="24"/>
          <w:lang w:val="en-GB"/>
        </w:rPr>
        <w:t xml:space="preserve">: </w:t>
      </w:r>
      <w:r w:rsidRPr="00DD7F67">
        <w:rPr>
          <w:rFonts w:ascii="Times New Roman" w:hAnsi="Times New Roman" w:cs="Times New Roman"/>
          <w:b w:val="0"/>
          <w:i/>
          <w:sz w:val="24"/>
          <w:szCs w:val="24"/>
          <w:lang w:val="en-GB"/>
        </w:rPr>
        <w:t>Descriptive Statistics</w:t>
      </w:r>
    </w:p>
    <w:tbl>
      <w:tblPr>
        <w:tblW w:w="10080" w:type="dxa"/>
        <w:tblInd w:w="55" w:type="dxa"/>
        <w:tblCellMar>
          <w:left w:w="70" w:type="dxa"/>
          <w:right w:w="70" w:type="dxa"/>
        </w:tblCellMar>
        <w:tblLook w:val="04A0" w:firstRow="1" w:lastRow="0" w:firstColumn="1" w:lastColumn="0" w:noHBand="0" w:noVBand="1"/>
      </w:tblPr>
      <w:tblGrid>
        <w:gridCol w:w="3880"/>
        <w:gridCol w:w="1240"/>
        <w:gridCol w:w="1240"/>
        <w:gridCol w:w="1240"/>
        <w:gridCol w:w="1240"/>
        <w:gridCol w:w="1240"/>
      </w:tblGrid>
      <w:tr w:rsidR="006B4396" w:rsidRPr="00DD7F67" w:rsidTr="001235F7">
        <w:trPr>
          <w:trHeight w:val="315"/>
        </w:trPr>
        <w:tc>
          <w:tcPr>
            <w:tcW w:w="3880" w:type="dxa"/>
            <w:tcBorders>
              <w:top w:val="single" w:sz="12" w:space="0" w:color="auto"/>
              <w:left w:val="nil"/>
              <w:bottom w:val="single" w:sz="8" w:space="0" w:color="auto"/>
              <w:right w:val="nil"/>
            </w:tcBorders>
            <w:shd w:val="clear" w:color="auto" w:fill="auto"/>
            <w:noWrap/>
            <w:vAlign w:val="center"/>
            <w:hideMark/>
          </w:tcPr>
          <w:p w:rsidR="006B4396" w:rsidRPr="00DD7F67" w:rsidRDefault="006B4396" w:rsidP="001235F7">
            <w:pPr>
              <w:spacing w:after="0"/>
              <w:rPr>
                <w:rFonts w:eastAsia="Times New Roman" w:cs="Times New Roman"/>
                <w:bCs/>
                <w:i/>
                <w:color w:val="000000"/>
                <w:sz w:val="22"/>
                <w:lang w:val="en-GB" w:eastAsia="de-DE"/>
              </w:rPr>
            </w:pPr>
            <w:r w:rsidRPr="00DD7F67">
              <w:rPr>
                <w:rFonts w:eastAsia="Times New Roman" w:cs="Times New Roman"/>
                <w:bCs/>
                <w:i/>
                <w:color w:val="000000"/>
                <w:sz w:val="22"/>
                <w:lang w:val="en-GB" w:eastAsia="de-DE"/>
              </w:rPr>
              <w:t>Variable</w:t>
            </w:r>
          </w:p>
        </w:tc>
        <w:tc>
          <w:tcPr>
            <w:tcW w:w="1240" w:type="dxa"/>
            <w:tcBorders>
              <w:top w:val="single" w:sz="12" w:space="0" w:color="auto"/>
              <w:left w:val="nil"/>
              <w:bottom w:val="single" w:sz="8" w:space="0" w:color="auto"/>
              <w:right w:val="nil"/>
            </w:tcBorders>
            <w:shd w:val="clear" w:color="auto" w:fill="auto"/>
            <w:noWrap/>
            <w:vAlign w:val="center"/>
            <w:hideMark/>
          </w:tcPr>
          <w:p w:rsidR="006B4396" w:rsidRPr="00DD7F67" w:rsidRDefault="006B4396" w:rsidP="001235F7">
            <w:pPr>
              <w:spacing w:after="0"/>
              <w:rPr>
                <w:rFonts w:eastAsia="Times New Roman" w:cs="Times New Roman"/>
                <w:bCs/>
                <w:i/>
                <w:color w:val="000000"/>
                <w:sz w:val="22"/>
                <w:lang w:val="en-GB" w:eastAsia="de-DE"/>
              </w:rPr>
            </w:pPr>
            <w:r w:rsidRPr="00DD7F67">
              <w:rPr>
                <w:rFonts w:eastAsia="Times New Roman" w:cs="Times New Roman"/>
                <w:bCs/>
                <w:i/>
                <w:color w:val="000000"/>
                <w:sz w:val="22"/>
                <w:lang w:val="en-GB" w:eastAsia="de-DE"/>
              </w:rPr>
              <w:t>N</w:t>
            </w:r>
          </w:p>
        </w:tc>
        <w:tc>
          <w:tcPr>
            <w:tcW w:w="1240" w:type="dxa"/>
            <w:tcBorders>
              <w:top w:val="single" w:sz="12" w:space="0" w:color="auto"/>
              <w:left w:val="nil"/>
              <w:bottom w:val="single" w:sz="8" w:space="0" w:color="auto"/>
              <w:right w:val="nil"/>
            </w:tcBorders>
            <w:shd w:val="clear" w:color="auto" w:fill="auto"/>
            <w:noWrap/>
            <w:vAlign w:val="center"/>
            <w:hideMark/>
          </w:tcPr>
          <w:p w:rsidR="006B4396" w:rsidRPr="00DD7F67" w:rsidRDefault="006B4396" w:rsidP="001235F7">
            <w:pPr>
              <w:spacing w:after="0"/>
              <w:rPr>
                <w:rFonts w:eastAsia="Times New Roman" w:cs="Times New Roman"/>
                <w:bCs/>
                <w:i/>
                <w:color w:val="000000"/>
                <w:sz w:val="22"/>
                <w:lang w:val="en-GB" w:eastAsia="de-DE"/>
              </w:rPr>
            </w:pPr>
            <w:r w:rsidRPr="00DD7F67">
              <w:rPr>
                <w:rFonts w:eastAsia="Times New Roman" w:cs="Times New Roman"/>
                <w:bCs/>
                <w:i/>
                <w:color w:val="000000"/>
                <w:sz w:val="22"/>
                <w:lang w:val="en-GB" w:eastAsia="de-DE"/>
              </w:rPr>
              <w:t>Mean</w:t>
            </w:r>
          </w:p>
        </w:tc>
        <w:tc>
          <w:tcPr>
            <w:tcW w:w="1240" w:type="dxa"/>
            <w:tcBorders>
              <w:top w:val="single" w:sz="12" w:space="0" w:color="auto"/>
              <w:left w:val="nil"/>
              <w:bottom w:val="single" w:sz="8" w:space="0" w:color="auto"/>
              <w:right w:val="nil"/>
            </w:tcBorders>
            <w:shd w:val="clear" w:color="auto" w:fill="auto"/>
            <w:noWrap/>
            <w:vAlign w:val="center"/>
            <w:hideMark/>
          </w:tcPr>
          <w:p w:rsidR="006B4396" w:rsidRPr="00DD7F67" w:rsidRDefault="006B4396" w:rsidP="001235F7">
            <w:pPr>
              <w:spacing w:after="0"/>
              <w:rPr>
                <w:rFonts w:eastAsia="Times New Roman" w:cs="Times New Roman"/>
                <w:bCs/>
                <w:i/>
                <w:color w:val="000000"/>
                <w:sz w:val="22"/>
                <w:lang w:val="en-GB" w:eastAsia="de-DE"/>
              </w:rPr>
            </w:pPr>
            <w:r w:rsidRPr="00DD7F67">
              <w:rPr>
                <w:rFonts w:eastAsia="Times New Roman" w:cs="Times New Roman"/>
                <w:bCs/>
                <w:i/>
                <w:color w:val="000000"/>
                <w:sz w:val="22"/>
                <w:lang w:val="en-GB" w:eastAsia="de-DE"/>
              </w:rPr>
              <w:t>SD</w:t>
            </w:r>
          </w:p>
        </w:tc>
        <w:tc>
          <w:tcPr>
            <w:tcW w:w="1240" w:type="dxa"/>
            <w:tcBorders>
              <w:top w:val="single" w:sz="12" w:space="0" w:color="auto"/>
              <w:left w:val="nil"/>
              <w:bottom w:val="single" w:sz="8" w:space="0" w:color="auto"/>
              <w:right w:val="nil"/>
            </w:tcBorders>
            <w:shd w:val="clear" w:color="auto" w:fill="auto"/>
            <w:noWrap/>
            <w:vAlign w:val="center"/>
            <w:hideMark/>
          </w:tcPr>
          <w:p w:rsidR="006B4396" w:rsidRPr="00DD7F67" w:rsidRDefault="006B4396" w:rsidP="001235F7">
            <w:pPr>
              <w:spacing w:after="0"/>
              <w:rPr>
                <w:rFonts w:eastAsia="Times New Roman" w:cs="Times New Roman"/>
                <w:bCs/>
                <w:i/>
                <w:color w:val="000000"/>
                <w:sz w:val="22"/>
                <w:lang w:val="en-GB" w:eastAsia="de-DE"/>
              </w:rPr>
            </w:pPr>
            <w:r w:rsidRPr="00DD7F67">
              <w:rPr>
                <w:rFonts w:eastAsia="Times New Roman" w:cs="Times New Roman"/>
                <w:bCs/>
                <w:i/>
                <w:color w:val="000000"/>
                <w:sz w:val="22"/>
                <w:lang w:val="en-GB" w:eastAsia="de-DE"/>
              </w:rPr>
              <w:t>Min</w:t>
            </w:r>
          </w:p>
        </w:tc>
        <w:tc>
          <w:tcPr>
            <w:tcW w:w="1240" w:type="dxa"/>
            <w:tcBorders>
              <w:top w:val="single" w:sz="12" w:space="0" w:color="auto"/>
              <w:left w:val="nil"/>
              <w:bottom w:val="single" w:sz="8" w:space="0" w:color="auto"/>
              <w:right w:val="nil"/>
            </w:tcBorders>
            <w:shd w:val="clear" w:color="auto" w:fill="auto"/>
            <w:noWrap/>
            <w:vAlign w:val="center"/>
            <w:hideMark/>
          </w:tcPr>
          <w:p w:rsidR="006B4396" w:rsidRPr="00DD7F67" w:rsidRDefault="006B4396" w:rsidP="001235F7">
            <w:pPr>
              <w:spacing w:after="0"/>
              <w:rPr>
                <w:rFonts w:eastAsia="Times New Roman" w:cs="Times New Roman"/>
                <w:bCs/>
                <w:i/>
                <w:color w:val="000000"/>
                <w:sz w:val="22"/>
                <w:lang w:val="en-GB" w:eastAsia="de-DE"/>
              </w:rPr>
            </w:pPr>
            <w:r w:rsidRPr="00DD7F67">
              <w:rPr>
                <w:rFonts w:eastAsia="Times New Roman" w:cs="Times New Roman"/>
                <w:bCs/>
                <w:i/>
                <w:color w:val="000000"/>
                <w:sz w:val="22"/>
                <w:lang w:val="en-GB" w:eastAsia="de-DE"/>
              </w:rPr>
              <w:t>Max</w:t>
            </w:r>
          </w:p>
        </w:tc>
      </w:tr>
      <w:tr w:rsidR="006B4396" w:rsidRPr="00DD7F67" w:rsidTr="001235F7">
        <w:trPr>
          <w:trHeight w:val="300"/>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Per cent seats women</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23.77</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7.84</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51.35</w:t>
            </w:r>
          </w:p>
        </w:tc>
      </w:tr>
      <w:tr w:rsidR="006B4396" w:rsidRPr="00DD7F67" w:rsidTr="001235F7">
        <w:trPr>
          <w:trHeight w:val="300"/>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Per cent seats left-wing parties</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34.26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15.43</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76.92</w:t>
            </w:r>
          </w:p>
        </w:tc>
      </w:tr>
      <w:tr w:rsidR="006B4396" w:rsidRPr="00DD7F67" w:rsidTr="001235F7">
        <w:trPr>
          <w:trHeight w:val="300"/>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Per cent seats minor parties</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15.93</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13.43</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84.00</w:t>
            </w:r>
          </w:p>
        </w:tc>
      </w:tr>
      <w:tr w:rsidR="006B4396" w:rsidRPr="00DD7F67" w:rsidTr="001235F7">
        <w:trPr>
          <w:trHeight w:val="300"/>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Effective number of parties</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3.17</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0.63</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5.43</w:t>
            </w:r>
          </w:p>
        </w:tc>
      </w:tr>
      <w:tr w:rsidR="006B4396" w:rsidRPr="00DD7F67" w:rsidTr="001235F7">
        <w:trPr>
          <w:trHeight w:val="300"/>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PR vs. Mixed (1=PR)</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1.78</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0.41</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w:t>
            </w:r>
          </w:p>
        </w:tc>
      </w:tr>
      <w:tr w:rsidR="006B4396" w:rsidRPr="00DD7F67" w:rsidTr="001235F7">
        <w:trPr>
          <w:trHeight w:val="300"/>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Log seats in legislature</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3.61</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0.37</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2.20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5.47</w:t>
            </w:r>
          </w:p>
        </w:tc>
      </w:tr>
      <w:tr w:rsidR="006B4396" w:rsidRPr="00DD7F67" w:rsidTr="001235F7">
        <w:trPr>
          <w:trHeight w:val="288"/>
        </w:trPr>
        <w:tc>
          <w:tcPr>
            <w:tcW w:w="388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Inhabitants per km²</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438.80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435.10</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37</w:t>
            </w:r>
          </w:p>
        </w:tc>
        <w:tc>
          <w:tcPr>
            <w:tcW w:w="1240" w:type="dxa"/>
            <w:tcBorders>
              <w:top w:val="nil"/>
              <w:left w:val="nil"/>
              <w:bottom w:val="nil"/>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3800</w:t>
            </w:r>
          </w:p>
        </w:tc>
      </w:tr>
      <w:tr w:rsidR="006B4396" w:rsidRPr="00DD7F67" w:rsidTr="001235F7">
        <w:trPr>
          <w:trHeight w:val="315"/>
        </w:trPr>
        <w:tc>
          <w:tcPr>
            <w:tcW w:w="3880" w:type="dxa"/>
            <w:tcBorders>
              <w:top w:val="nil"/>
              <w:left w:val="nil"/>
              <w:bottom w:val="single" w:sz="12" w:space="0" w:color="auto"/>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Dummy former GDR (1=former GDR)</w:t>
            </w:r>
          </w:p>
        </w:tc>
        <w:tc>
          <w:tcPr>
            <w:tcW w:w="1240" w:type="dxa"/>
            <w:tcBorders>
              <w:top w:val="nil"/>
              <w:left w:val="nil"/>
              <w:bottom w:val="single" w:sz="12" w:space="0" w:color="auto"/>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2956</w:t>
            </w:r>
          </w:p>
        </w:tc>
        <w:tc>
          <w:tcPr>
            <w:tcW w:w="1240" w:type="dxa"/>
            <w:tcBorders>
              <w:top w:val="nil"/>
              <w:left w:val="nil"/>
              <w:bottom w:val="single" w:sz="12" w:space="0" w:color="auto"/>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0.10</w:t>
            </w:r>
          </w:p>
        </w:tc>
        <w:tc>
          <w:tcPr>
            <w:tcW w:w="1240" w:type="dxa"/>
            <w:tcBorders>
              <w:top w:val="nil"/>
              <w:left w:val="nil"/>
              <w:bottom w:val="single" w:sz="12" w:space="0" w:color="auto"/>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0.30</w:t>
            </w:r>
          </w:p>
        </w:tc>
        <w:tc>
          <w:tcPr>
            <w:tcW w:w="1240" w:type="dxa"/>
            <w:tcBorders>
              <w:top w:val="nil"/>
              <w:left w:val="nil"/>
              <w:bottom w:val="single" w:sz="12" w:space="0" w:color="auto"/>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0</w:t>
            </w:r>
          </w:p>
        </w:tc>
        <w:tc>
          <w:tcPr>
            <w:tcW w:w="1240" w:type="dxa"/>
            <w:tcBorders>
              <w:top w:val="nil"/>
              <w:left w:val="nil"/>
              <w:bottom w:val="single" w:sz="12" w:space="0" w:color="auto"/>
              <w:right w:val="nil"/>
            </w:tcBorders>
            <w:shd w:val="clear" w:color="auto" w:fill="auto"/>
            <w:noWrap/>
            <w:vAlign w:val="center"/>
            <w:hideMark/>
          </w:tcPr>
          <w:p w:rsidR="006B4396" w:rsidRPr="00DD7F67" w:rsidRDefault="006B4396" w:rsidP="001235F7">
            <w:pPr>
              <w:spacing w:after="0"/>
              <w:rPr>
                <w:rFonts w:eastAsia="Times New Roman" w:cs="Times New Roman"/>
                <w:color w:val="000000"/>
                <w:sz w:val="22"/>
                <w:lang w:val="en-GB" w:eastAsia="de-DE"/>
              </w:rPr>
            </w:pPr>
            <w:r w:rsidRPr="00DD7F67">
              <w:rPr>
                <w:rFonts w:eastAsia="Times New Roman" w:cs="Times New Roman"/>
                <w:color w:val="000000"/>
                <w:sz w:val="22"/>
                <w:lang w:val="en-GB" w:eastAsia="de-DE"/>
              </w:rPr>
              <w:t>1</w:t>
            </w:r>
          </w:p>
        </w:tc>
      </w:tr>
    </w:tbl>
    <w:p w:rsidR="006B4396" w:rsidRPr="00DD7F67" w:rsidRDefault="006B4396" w:rsidP="006B4396">
      <w:pPr>
        <w:pStyle w:val="EndnoteText"/>
        <w:rPr>
          <w:lang w:val="en-GB"/>
        </w:rPr>
      </w:pPr>
    </w:p>
    <w:p w:rsidR="006B4396" w:rsidRDefault="006B4396">
      <w:pPr>
        <w:spacing w:line="276" w:lineRule="auto"/>
        <w:jc w:val="left"/>
      </w:pPr>
      <w:r>
        <w:br w:type="page"/>
      </w:r>
    </w:p>
    <w:p w:rsidR="006B4396" w:rsidRPr="006B4396" w:rsidRDefault="006B4396" w:rsidP="006B4396">
      <w:pPr>
        <w:pStyle w:val="Heading2"/>
        <w:spacing w:before="0" w:line="360" w:lineRule="auto"/>
        <w:rPr>
          <w:rFonts w:ascii="Times New Roman" w:hAnsi="Times New Roman" w:cs="Times New Roman"/>
          <w:b w:val="0"/>
          <w:sz w:val="24"/>
          <w:szCs w:val="24"/>
          <w:lang w:val="en-GB"/>
        </w:rPr>
      </w:pPr>
      <w:r w:rsidRPr="006B4396">
        <w:rPr>
          <w:rFonts w:ascii="Times New Roman" w:hAnsi="Times New Roman" w:cs="Times New Roman"/>
          <w:b w:val="0"/>
          <w:sz w:val="24"/>
          <w:szCs w:val="24"/>
          <w:lang w:val="en-GB"/>
        </w:rPr>
        <w:lastRenderedPageBreak/>
        <w:t xml:space="preserve">Appendix </w:t>
      </w:r>
      <w:r>
        <w:rPr>
          <w:rFonts w:ascii="Times New Roman" w:hAnsi="Times New Roman" w:cs="Times New Roman"/>
          <w:b w:val="0"/>
          <w:sz w:val="24"/>
          <w:szCs w:val="24"/>
          <w:lang w:val="en-GB"/>
        </w:rPr>
        <w:t>2</w:t>
      </w:r>
      <w:r w:rsidRPr="006B4396">
        <w:rPr>
          <w:rFonts w:ascii="Times New Roman" w:hAnsi="Times New Roman" w:cs="Times New Roman"/>
          <w:b w:val="0"/>
          <w:sz w:val="24"/>
          <w:szCs w:val="24"/>
          <w:lang w:val="en-GB"/>
        </w:rPr>
        <w:t xml:space="preserve">: </w:t>
      </w:r>
      <w:r w:rsidRPr="006B4396">
        <w:rPr>
          <w:rFonts w:ascii="Times New Roman" w:hAnsi="Times New Roman" w:cs="Times New Roman"/>
          <w:b w:val="0"/>
          <w:i/>
          <w:sz w:val="24"/>
          <w:szCs w:val="24"/>
          <w:lang w:val="en-GB"/>
        </w:rPr>
        <w:t>Measures of association for the level of government and leftist parties or respectively minor parties for each German state.</w:t>
      </w:r>
    </w:p>
    <w:tbl>
      <w:tblPr>
        <w:tblW w:w="0" w:type="auto"/>
        <w:tblCellMar>
          <w:left w:w="144" w:type="dxa"/>
          <w:right w:w="144" w:type="dxa"/>
        </w:tblCellMar>
        <w:tblLook w:val="0000" w:firstRow="0" w:lastRow="0" w:firstColumn="0" w:lastColumn="0" w:noHBand="0" w:noVBand="0"/>
      </w:tblPr>
      <w:tblGrid>
        <w:gridCol w:w="3061"/>
        <w:gridCol w:w="1622"/>
        <w:gridCol w:w="1735"/>
        <w:gridCol w:w="1708"/>
      </w:tblGrid>
      <w:tr w:rsidR="006B4396" w:rsidRPr="009625B7" w:rsidTr="001235F7">
        <w:tc>
          <w:tcPr>
            <w:tcW w:w="3061" w:type="dxa"/>
            <w:tcBorders>
              <w:top w:val="single" w:sz="6" w:space="0" w:color="auto"/>
              <w:left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entity</w:t>
            </w:r>
          </w:p>
        </w:tc>
        <w:tc>
          <w:tcPr>
            <w:tcW w:w="1622" w:type="dxa"/>
            <w:tcBorders>
              <w:top w:val="single" w:sz="6" w:space="0" w:color="auto"/>
              <w:left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single" w:sz="6" w:space="0" w:color="auto"/>
              <w:left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Leftist parties</w:t>
            </w:r>
          </w:p>
        </w:tc>
        <w:tc>
          <w:tcPr>
            <w:tcW w:w="1708" w:type="dxa"/>
            <w:tcBorders>
              <w:top w:val="single" w:sz="6" w:space="0" w:color="auto"/>
              <w:left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r w:rsidRPr="009625B7">
              <w:rPr>
                <w:rFonts w:cs="Times New Roman"/>
                <w:sz w:val="24"/>
                <w:szCs w:val="24"/>
              </w:rPr>
              <w:t>Minor parties</w:t>
            </w:r>
          </w:p>
        </w:tc>
      </w:tr>
      <w:tr w:rsidR="006B4396" w:rsidRPr="009625B7" w:rsidTr="001235F7">
        <w:tc>
          <w:tcPr>
            <w:tcW w:w="3061" w:type="dxa"/>
            <w:tcBorders>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708" w:type="dxa"/>
            <w:tcBorders>
              <w:left w:val="nil"/>
              <w:bottom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p>
        </w:tc>
      </w:tr>
      <w:tr w:rsidR="006B4396" w:rsidRPr="009625B7" w:rsidTr="001235F7">
        <w:tc>
          <w:tcPr>
            <w:tcW w:w="3061" w:type="dxa"/>
            <w:tcBorders>
              <w:top w:val="single" w:sz="6" w:space="0" w:color="auto"/>
              <w:left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single" w:sz="6" w:space="0" w:color="auto"/>
              <w:left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single" w:sz="6" w:space="0" w:color="auto"/>
              <w:left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708" w:type="dxa"/>
            <w:tcBorders>
              <w:top w:val="single" w:sz="6" w:space="0" w:color="auto"/>
              <w:left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p>
        </w:tc>
      </w:tr>
      <w:tr w:rsidR="006B4396" w:rsidRPr="009625B7" w:rsidTr="001235F7">
        <w:tc>
          <w:tcPr>
            <w:tcW w:w="3061" w:type="dxa"/>
            <w:tcBorders>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total</w:t>
            </w:r>
          </w:p>
        </w:tc>
        <w:tc>
          <w:tcPr>
            <w:tcW w:w="1622" w:type="dxa"/>
            <w:tcBorders>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-0.15</w:t>
            </w:r>
          </w:p>
        </w:tc>
        <w:tc>
          <w:tcPr>
            <w:tcW w:w="1708" w:type="dxa"/>
            <w:tcBorders>
              <w:left w:val="nil"/>
              <w:bottom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r w:rsidRPr="009625B7">
              <w:rPr>
                <w:rFonts w:cs="Times New Roman"/>
                <w:sz w:val="24"/>
                <w:szCs w:val="24"/>
              </w:rPr>
              <w:t>0.06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r w:rsidRPr="009625B7">
              <w:rPr>
                <w:rFonts w:cs="Times New Roman"/>
                <w:sz w:val="24"/>
                <w:szCs w:val="24"/>
              </w:rPr>
              <w:t>0.00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4,310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r w:rsidRPr="009625B7">
              <w:rPr>
                <w:rFonts w:cs="Times New Roman"/>
                <w:sz w:val="24"/>
                <w:szCs w:val="24"/>
              </w:rPr>
              <w:t>4,306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Schleswig-Holstein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-0.17</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0.02</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r w:rsidRPr="009625B7">
              <w:rPr>
                <w:rFonts w:cs="Times New Roman"/>
                <w:sz w:val="24"/>
                <w:szCs w:val="24"/>
              </w:rPr>
              <w:t>0.06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122</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autoSpaceDE w:val="0"/>
              <w:autoSpaceDN w:val="0"/>
              <w:adjustRightInd w:val="0"/>
              <w:spacing w:after="0"/>
              <w:jc w:val="right"/>
              <w:rPr>
                <w:rFonts w:cs="Times New Roman"/>
                <w:sz w:val="24"/>
                <w:szCs w:val="24"/>
              </w:rPr>
            </w:pPr>
            <w:r w:rsidRPr="009625B7">
              <w:rPr>
                <w:rFonts w:cs="Times New Roman"/>
                <w:sz w:val="24"/>
                <w:szCs w:val="24"/>
              </w:rPr>
              <w:t>122</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401"/>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401"/>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Hamburg</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401"/>
              </w:tabs>
              <w:autoSpaceDE w:val="0"/>
              <w:autoSpaceDN w:val="0"/>
              <w:adjustRightInd w:val="0"/>
              <w:spacing w:after="0"/>
              <w:jc w:val="right"/>
              <w:rPr>
                <w:rFonts w:cs="Times New Roman"/>
                <w:sz w:val="24"/>
                <w:szCs w:val="24"/>
              </w:rPr>
            </w:pPr>
            <w:r w:rsidRPr="009625B7">
              <w:rPr>
                <w:rFonts w:cs="Times New Roman"/>
                <w:sz w:val="24"/>
                <w:szCs w:val="24"/>
              </w:rPr>
              <w:t>0.10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401"/>
              </w:tabs>
              <w:autoSpaceDE w:val="0"/>
              <w:autoSpaceDN w:val="0"/>
              <w:adjustRightInd w:val="0"/>
              <w:spacing w:after="0"/>
              <w:jc w:val="right"/>
              <w:rPr>
                <w:rFonts w:cs="Times New Roman"/>
                <w:sz w:val="24"/>
                <w:szCs w:val="24"/>
              </w:rPr>
            </w:pPr>
            <w:r w:rsidRPr="009625B7">
              <w:rPr>
                <w:rFonts w:cs="Times New Roman"/>
                <w:sz w:val="24"/>
                <w:szCs w:val="24"/>
              </w:rPr>
              <w:t>0.00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401"/>
              </w:tabs>
              <w:autoSpaceDE w:val="0"/>
              <w:autoSpaceDN w:val="0"/>
              <w:adjustRightInd w:val="0"/>
              <w:spacing w:after="0"/>
              <w:jc w:val="right"/>
              <w:rPr>
                <w:rFonts w:cs="Times New Roman"/>
                <w:sz w:val="24"/>
                <w:szCs w:val="24"/>
              </w:rPr>
            </w:pPr>
            <w:r w:rsidRPr="009625B7">
              <w:rPr>
                <w:rFonts w:cs="Times New Roman"/>
                <w:sz w:val="24"/>
                <w:szCs w:val="24"/>
              </w:rPr>
              <w:t>0.88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401"/>
              </w:tabs>
              <w:autoSpaceDE w:val="0"/>
              <w:autoSpaceDN w:val="0"/>
              <w:adjustRightInd w:val="0"/>
              <w:spacing w:after="0"/>
              <w:jc w:val="right"/>
              <w:rPr>
                <w:rFonts w:cs="Times New Roman"/>
                <w:sz w:val="24"/>
                <w:szCs w:val="24"/>
              </w:rPr>
            </w:pPr>
            <w:r w:rsidRPr="009625B7">
              <w:rPr>
                <w:rFonts w:cs="Times New Roman"/>
                <w:sz w:val="24"/>
                <w:szCs w:val="24"/>
              </w:rPr>
              <w:t>1.00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401"/>
              </w:tabs>
              <w:autoSpaceDE w:val="0"/>
              <w:autoSpaceDN w:val="0"/>
              <w:adjustRightInd w:val="0"/>
              <w:spacing w:after="0"/>
              <w:jc w:val="right"/>
              <w:rPr>
                <w:rFonts w:cs="Times New Roman"/>
                <w:sz w:val="24"/>
                <w:szCs w:val="24"/>
              </w:rPr>
            </w:pPr>
            <w:r w:rsidRPr="009625B7">
              <w:rPr>
                <w:rFonts w:cs="Times New Roman"/>
                <w:sz w:val="24"/>
                <w:szCs w:val="24"/>
              </w:rPr>
              <w:t>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8</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Niedersachsen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-0.18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0.09</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0.01</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624</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624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Bremen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-0.16</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0.70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9</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9</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Nordrhein-Westfalen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-0.07</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0.15</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0.03</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663</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663</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Hessen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-0.14</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0.05</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0.17</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475</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475</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Rheinland-Pfalz</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-0.27</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0.13</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164</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164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Baden-Württemberg</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-0.10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0.03</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0.33</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724</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724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Bayern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-0.09</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695</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695</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Saarland</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-0.22</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0.17</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0.01</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112</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112</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Berlin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-0.28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0.65</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6</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Brandenburg</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-0.21</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0.32</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161</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161</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Mecklenburg-Vorpommern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0.06</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0.49</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0.07</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538"/>
              </w:tabs>
              <w:autoSpaceDE w:val="0"/>
              <w:autoSpaceDN w:val="0"/>
              <w:adjustRightInd w:val="0"/>
              <w:spacing w:after="0"/>
              <w:jc w:val="right"/>
              <w:rPr>
                <w:rFonts w:cs="Times New Roman"/>
                <w:sz w:val="24"/>
                <w:szCs w:val="24"/>
              </w:rPr>
            </w:pPr>
            <w:r w:rsidRPr="009625B7">
              <w:rPr>
                <w:rFonts w:cs="Times New Roman"/>
                <w:sz w:val="24"/>
                <w:szCs w:val="24"/>
              </w:rPr>
              <w:t>84</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84</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Sachsen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-0.19</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0.07</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215</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215</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Sachsen-Anhalt</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-0.28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0.26</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0.00</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0.00</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128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128</w:t>
            </w: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r>
      <w:tr w:rsidR="006B4396" w:rsidRPr="009625B7" w:rsidTr="001235F7">
        <w:tc>
          <w:tcPr>
            <w:tcW w:w="3061"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Thüringen</w:t>
            </w:r>
          </w:p>
        </w:tc>
        <w:tc>
          <w:tcPr>
            <w:tcW w:w="1622" w:type="dxa"/>
            <w:tcBorders>
              <w:top w:val="nil"/>
              <w:left w:val="nil"/>
              <w:bottom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Tau b</w:t>
            </w:r>
          </w:p>
        </w:tc>
        <w:tc>
          <w:tcPr>
            <w:tcW w:w="1735"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-0.18</w:t>
            </w:r>
          </w:p>
        </w:tc>
        <w:tc>
          <w:tcPr>
            <w:tcW w:w="1708" w:type="dxa"/>
            <w:tcBorders>
              <w:top w:val="nil"/>
              <w:left w:val="nil"/>
              <w:bottom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0.15</w:t>
            </w:r>
          </w:p>
        </w:tc>
      </w:tr>
      <w:tr w:rsidR="006B4396" w:rsidRPr="009625B7" w:rsidTr="001235F7">
        <w:tc>
          <w:tcPr>
            <w:tcW w:w="3061" w:type="dxa"/>
            <w:tcBorders>
              <w:top w:val="nil"/>
              <w:left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p-value</w:t>
            </w:r>
          </w:p>
        </w:tc>
        <w:tc>
          <w:tcPr>
            <w:tcW w:w="1735" w:type="dxa"/>
            <w:tcBorders>
              <w:top w:val="nil"/>
              <w:left w:val="nil"/>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0.02</w:t>
            </w:r>
          </w:p>
        </w:tc>
        <w:tc>
          <w:tcPr>
            <w:tcW w:w="1708" w:type="dxa"/>
            <w:tcBorders>
              <w:top w:val="nil"/>
              <w:left w:val="nil"/>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0.05</w:t>
            </w:r>
          </w:p>
        </w:tc>
      </w:tr>
      <w:tr w:rsidR="006B4396" w:rsidRPr="009625B7" w:rsidTr="001235F7">
        <w:tc>
          <w:tcPr>
            <w:tcW w:w="3061" w:type="dxa"/>
            <w:tcBorders>
              <w:top w:val="nil"/>
              <w:left w:val="nil"/>
              <w:bottom w:val="single" w:sz="4" w:space="0" w:color="auto"/>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p>
        </w:tc>
        <w:tc>
          <w:tcPr>
            <w:tcW w:w="1622" w:type="dxa"/>
            <w:tcBorders>
              <w:top w:val="nil"/>
              <w:left w:val="nil"/>
              <w:bottom w:val="single" w:sz="4" w:space="0" w:color="auto"/>
              <w:right w:val="nil"/>
            </w:tcBorders>
            <w:shd w:val="clear" w:color="auto" w:fill="auto"/>
            <w:vAlign w:val="center"/>
          </w:tcPr>
          <w:p w:rsidR="006B4396" w:rsidRPr="009625B7" w:rsidRDefault="006B4396" w:rsidP="001235F7">
            <w:pPr>
              <w:widowControl w:val="0"/>
              <w:tabs>
                <w:tab w:val="decimal" w:pos="36"/>
              </w:tabs>
              <w:autoSpaceDE w:val="0"/>
              <w:autoSpaceDN w:val="0"/>
              <w:adjustRightInd w:val="0"/>
              <w:spacing w:after="0"/>
              <w:jc w:val="right"/>
              <w:rPr>
                <w:rFonts w:cs="Times New Roman"/>
                <w:sz w:val="24"/>
                <w:szCs w:val="24"/>
              </w:rPr>
            </w:pPr>
            <w:r w:rsidRPr="009625B7">
              <w:rPr>
                <w:rFonts w:cs="Times New Roman"/>
                <w:sz w:val="24"/>
                <w:szCs w:val="24"/>
              </w:rPr>
              <w:t>observations</w:t>
            </w:r>
          </w:p>
        </w:tc>
        <w:tc>
          <w:tcPr>
            <w:tcW w:w="1735" w:type="dxa"/>
            <w:tcBorders>
              <w:top w:val="nil"/>
              <w:left w:val="nil"/>
              <w:bottom w:val="single" w:sz="4" w:space="0" w:color="auto"/>
              <w:right w:val="nil"/>
            </w:tcBorders>
            <w:shd w:val="clear" w:color="auto" w:fill="auto"/>
            <w:vAlign w:val="center"/>
          </w:tcPr>
          <w:p w:rsidR="006B4396" w:rsidRPr="009625B7" w:rsidRDefault="006B4396" w:rsidP="001235F7">
            <w:pPr>
              <w:widowControl w:val="0"/>
              <w:tabs>
                <w:tab w:val="decimal" w:pos="0"/>
                <w:tab w:val="decimal" w:pos="674"/>
              </w:tabs>
              <w:autoSpaceDE w:val="0"/>
              <w:autoSpaceDN w:val="0"/>
              <w:adjustRightInd w:val="0"/>
              <w:spacing w:after="0"/>
              <w:jc w:val="right"/>
              <w:rPr>
                <w:rFonts w:cs="Times New Roman"/>
                <w:sz w:val="24"/>
                <w:szCs w:val="24"/>
              </w:rPr>
            </w:pPr>
            <w:r w:rsidRPr="009625B7">
              <w:rPr>
                <w:rFonts w:cs="Times New Roman"/>
                <w:sz w:val="24"/>
                <w:szCs w:val="24"/>
              </w:rPr>
              <w:t>116</w:t>
            </w:r>
          </w:p>
        </w:tc>
        <w:tc>
          <w:tcPr>
            <w:tcW w:w="1708" w:type="dxa"/>
            <w:tcBorders>
              <w:top w:val="nil"/>
              <w:left w:val="nil"/>
              <w:bottom w:val="single" w:sz="4" w:space="0" w:color="auto"/>
              <w:right w:val="nil"/>
            </w:tcBorders>
            <w:shd w:val="clear" w:color="auto" w:fill="auto"/>
            <w:vAlign w:val="center"/>
          </w:tcPr>
          <w:p w:rsidR="006B4396" w:rsidRPr="009625B7" w:rsidRDefault="006B4396" w:rsidP="001235F7">
            <w:pPr>
              <w:widowControl w:val="0"/>
              <w:tabs>
                <w:tab w:val="decimal" w:pos="0"/>
              </w:tabs>
              <w:autoSpaceDE w:val="0"/>
              <w:autoSpaceDN w:val="0"/>
              <w:adjustRightInd w:val="0"/>
              <w:spacing w:after="0"/>
              <w:jc w:val="right"/>
              <w:rPr>
                <w:rFonts w:cs="Times New Roman"/>
                <w:sz w:val="24"/>
                <w:szCs w:val="24"/>
              </w:rPr>
            </w:pPr>
            <w:r w:rsidRPr="009625B7">
              <w:rPr>
                <w:rFonts w:cs="Times New Roman"/>
                <w:sz w:val="24"/>
                <w:szCs w:val="24"/>
              </w:rPr>
              <w:t>116</w:t>
            </w:r>
          </w:p>
        </w:tc>
      </w:tr>
    </w:tbl>
    <w:p w:rsidR="006B4396" w:rsidRPr="009625B7" w:rsidRDefault="006B4396" w:rsidP="006B4396">
      <w:pPr>
        <w:widowControl w:val="0"/>
        <w:autoSpaceDE w:val="0"/>
        <w:autoSpaceDN w:val="0"/>
        <w:adjustRightInd w:val="0"/>
        <w:spacing w:after="0"/>
        <w:rPr>
          <w:rFonts w:cs="Times New Roman"/>
          <w:sz w:val="24"/>
          <w:szCs w:val="24"/>
        </w:rPr>
      </w:pPr>
    </w:p>
    <w:p w:rsidR="00314AA1" w:rsidRDefault="00314AA1">
      <w:pPr>
        <w:spacing w:line="276" w:lineRule="auto"/>
        <w:jc w:val="left"/>
        <w:rPr>
          <w:rFonts w:cs="Times New Roman"/>
          <w:sz w:val="24"/>
          <w:szCs w:val="24"/>
        </w:rPr>
        <w:sectPr w:rsidR="00314AA1">
          <w:pgSz w:w="11906" w:h="16838"/>
          <w:pgMar w:top="1417" w:right="1417" w:bottom="1134" w:left="1417" w:header="708" w:footer="708" w:gutter="0"/>
          <w:cols w:space="708"/>
          <w:docGrid w:linePitch="360"/>
        </w:sectPr>
      </w:pPr>
    </w:p>
    <w:p w:rsidR="00A548F5" w:rsidRDefault="00A548F5" w:rsidP="00A548F5">
      <w:pPr>
        <w:pStyle w:val="Heading2"/>
        <w:spacing w:before="0" w:line="360" w:lineRule="auto"/>
        <w:rPr>
          <w:rFonts w:ascii="Times New Roman" w:hAnsi="Times New Roman" w:cs="Times New Roman"/>
          <w:b w:val="0"/>
          <w:i/>
          <w:sz w:val="24"/>
          <w:szCs w:val="24"/>
          <w:lang w:val="en-GB"/>
        </w:rPr>
      </w:pPr>
      <w:r w:rsidRPr="006B4396">
        <w:rPr>
          <w:rFonts w:ascii="Times New Roman" w:hAnsi="Times New Roman" w:cs="Times New Roman"/>
          <w:b w:val="0"/>
          <w:sz w:val="24"/>
          <w:szCs w:val="24"/>
          <w:lang w:val="en-GB"/>
        </w:rPr>
        <w:lastRenderedPageBreak/>
        <w:t xml:space="preserve">Appendix </w:t>
      </w:r>
      <w:r>
        <w:rPr>
          <w:rFonts w:ascii="Times New Roman" w:hAnsi="Times New Roman" w:cs="Times New Roman"/>
          <w:b w:val="0"/>
          <w:sz w:val="24"/>
          <w:szCs w:val="24"/>
          <w:lang w:val="en-GB"/>
        </w:rPr>
        <w:t>3</w:t>
      </w:r>
      <w:r w:rsidRPr="006B4396">
        <w:rPr>
          <w:rFonts w:ascii="Times New Roman" w:hAnsi="Times New Roman" w:cs="Times New Roman"/>
          <w:b w:val="0"/>
          <w:sz w:val="24"/>
          <w:szCs w:val="24"/>
          <w:lang w:val="en-GB"/>
        </w:rPr>
        <w:t xml:space="preserve">: </w:t>
      </w:r>
      <w:r w:rsidR="00314AA1" w:rsidRPr="00314AA1">
        <w:rPr>
          <w:rFonts w:ascii="Times New Roman" w:hAnsi="Times New Roman" w:cs="Times New Roman"/>
          <w:b w:val="0"/>
          <w:i/>
          <w:sz w:val="24"/>
          <w:szCs w:val="24"/>
          <w:lang w:val="en-GB"/>
        </w:rPr>
        <w:t>Robustness tests for model 4 and model 6 which estimate t</w:t>
      </w:r>
      <w:r w:rsidR="00314AA1" w:rsidRPr="00DD7F67">
        <w:rPr>
          <w:rFonts w:ascii="Times New Roman" w:hAnsi="Times New Roman" w:cs="Times New Roman"/>
          <w:b w:val="0"/>
          <w:i/>
          <w:sz w:val="24"/>
          <w:szCs w:val="24"/>
          <w:lang w:val="en-GB"/>
        </w:rPr>
        <w:t>he effect of left-wing parties and minor parties on the percentage of women on</w:t>
      </w:r>
      <w:r w:rsidR="00314AA1">
        <w:rPr>
          <w:rFonts w:ascii="Times New Roman" w:hAnsi="Times New Roman" w:cs="Times New Roman"/>
          <w:b w:val="0"/>
          <w:i/>
          <w:sz w:val="24"/>
          <w:szCs w:val="24"/>
          <w:lang w:val="en-GB"/>
        </w:rPr>
        <w:t xml:space="preserve"> different levels of government.</w:t>
      </w:r>
    </w:p>
    <w:p w:rsidR="00314AA1" w:rsidRDefault="00314AA1" w:rsidP="00314AA1">
      <w:pPr>
        <w:keepNext/>
        <w:widowControl w:val="0"/>
        <w:autoSpaceDE w:val="0"/>
        <w:autoSpaceDN w:val="0"/>
        <w:adjustRightInd w:val="0"/>
        <w:spacing w:after="0"/>
        <w:rPr>
          <w:rFonts w:cs="Times New Roman"/>
          <w:sz w:val="24"/>
          <w:szCs w:val="24"/>
          <w:lang w:val="en-US"/>
        </w:rPr>
      </w:pPr>
    </w:p>
    <w:tbl>
      <w:tblPr>
        <w:tblW w:w="11108" w:type="dxa"/>
        <w:tblLayout w:type="fixed"/>
        <w:tblLook w:val="04A0" w:firstRow="1" w:lastRow="0" w:firstColumn="1" w:lastColumn="0" w:noHBand="0" w:noVBand="1"/>
      </w:tblPr>
      <w:tblGrid>
        <w:gridCol w:w="4260"/>
        <w:gridCol w:w="1115"/>
        <w:gridCol w:w="1109"/>
        <w:gridCol w:w="1196"/>
        <w:gridCol w:w="1116"/>
        <w:gridCol w:w="1116"/>
        <w:gridCol w:w="1196"/>
      </w:tblGrid>
      <w:tr w:rsidR="008A49F5" w:rsidTr="008A49F5">
        <w:tc>
          <w:tcPr>
            <w:tcW w:w="4260" w:type="dxa"/>
            <w:tcBorders>
              <w:top w:val="single" w:sz="4" w:space="0" w:color="auto"/>
              <w:left w:val="nil"/>
              <w:bottom w:val="nil"/>
              <w:right w:val="nil"/>
            </w:tcBorders>
          </w:tcPr>
          <w:p w:rsidR="008A49F5" w:rsidRDefault="008A49F5">
            <w:pPr>
              <w:widowControl w:val="0"/>
              <w:autoSpaceDE w:val="0"/>
              <w:autoSpaceDN w:val="0"/>
              <w:adjustRightInd w:val="0"/>
              <w:spacing w:after="0"/>
              <w:rPr>
                <w:rFonts w:cs="Times New Roman"/>
                <w:sz w:val="22"/>
                <w:lang w:val="en-US"/>
              </w:rPr>
            </w:pPr>
          </w:p>
        </w:tc>
        <w:tc>
          <w:tcPr>
            <w:tcW w:w="1115"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Test 4.1</w:t>
            </w:r>
          </w:p>
        </w:tc>
        <w:tc>
          <w:tcPr>
            <w:tcW w:w="1109"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Test 4.2</w:t>
            </w:r>
          </w:p>
        </w:tc>
        <w:tc>
          <w:tcPr>
            <w:tcW w:w="119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Test 4.3</w:t>
            </w:r>
          </w:p>
        </w:tc>
        <w:tc>
          <w:tcPr>
            <w:tcW w:w="111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Test 6.2</w:t>
            </w:r>
          </w:p>
        </w:tc>
        <w:tc>
          <w:tcPr>
            <w:tcW w:w="111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Test 6.3</w:t>
            </w:r>
          </w:p>
        </w:tc>
        <w:tc>
          <w:tcPr>
            <w:tcW w:w="119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Test 6.3</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b/se</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b/se</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b/se</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b/se</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b/se</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b/se</w:t>
            </w:r>
          </w:p>
        </w:tc>
      </w:tr>
      <w:tr w:rsidR="008A49F5" w:rsidTr="008A49F5">
        <w:tc>
          <w:tcPr>
            <w:tcW w:w="4260" w:type="dxa"/>
            <w:tcBorders>
              <w:top w:val="single" w:sz="4" w:space="0" w:color="auto"/>
              <w:left w:val="nil"/>
              <w:bottom w:val="nil"/>
              <w:right w:val="nil"/>
            </w:tcBorders>
            <w:vAlign w:val="center"/>
            <w:hideMark/>
          </w:tcPr>
          <w:p w:rsidR="008A49F5" w:rsidRDefault="008A49F5">
            <w:pPr>
              <w:spacing w:after="0" w:line="276" w:lineRule="auto"/>
              <w:rPr>
                <w:rFonts w:eastAsia="Times New Roman" w:cs="Times New Roman"/>
                <w:color w:val="000000"/>
                <w:sz w:val="22"/>
                <w:lang w:val="en-GB"/>
              </w:rPr>
            </w:pPr>
            <w:r>
              <w:rPr>
                <w:rFonts w:eastAsia="Times New Roman" w:cs="Times New Roman"/>
                <w:color w:val="000000"/>
                <w:lang w:val="en-GB"/>
              </w:rPr>
              <w:t>Dummy state</w:t>
            </w:r>
          </w:p>
        </w:tc>
        <w:tc>
          <w:tcPr>
            <w:tcW w:w="1115"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17.144</w:t>
            </w:r>
            <w:r>
              <w:rPr>
                <w:rFonts w:cs="Times New Roman"/>
                <w:vertAlign w:val="superscript"/>
                <w:lang w:val="en-US"/>
              </w:rPr>
              <w:t>*</w:t>
            </w:r>
          </w:p>
        </w:tc>
        <w:tc>
          <w:tcPr>
            <w:tcW w:w="1109"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9.789</w:t>
            </w:r>
          </w:p>
        </w:tc>
        <w:tc>
          <w:tcPr>
            <w:tcW w:w="119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10.776</w:t>
            </w:r>
          </w:p>
        </w:tc>
        <w:tc>
          <w:tcPr>
            <w:tcW w:w="111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-0.544</w:t>
            </w:r>
          </w:p>
        </w:tc>
        <w:tc>
          <w:tcPr>
            <w:tcW w:w="111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9.645</w:t>
            </w:r>
            <w:r>
              <w:rPr>
                <w:rFonts w:cs="Times New Roman"/>
                <w:vertAlign w:val="superscript"/>
                <w:lang w:val="en-US"/>
              </w:rPr>
              <w:t>**</w:t>
            </w:r>
          </w:p>
        </w:tc>
        <w:tc>
          <w:tcPr>
            <w:tcW w:w="119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1.520</w:t>
            </w:r>
          </w:p>
        </w:tc>
      </w:tr>
      <w:tr w:rsidR="008A49F5" w:rsidTr="008A49F5">
        <w:tc>
          <w:tcPr>
            <w:tcW w:w="4260" w:type="dxa"/>
            <w:vAlign w:val="center"/>
          </w:tcPr>
          <w:p w:rsidR="008A49F5" w:rsidRDefault="008A49F5">
            <w:pPr>
              <w:spacing w:after="0" w:line="276" w:lineRule="auto"/>
              <w:rPr>
                <w:rFonts w:eastAsiaTheme="minorHAnsi"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(7.79)</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(6.41)</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(6.68)</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(2.81)</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(2.63)</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(3.04)</w:t>
            </w:r>
          </w:p>
        </w:tc>
      </w:tr>
      <w:tr w:rsidR="008A49F5" w:rsidTr="008A49F5">
        <w:tc>
          <w:tcPr>
            <w:tcW w:w="4260" w:type="dxa"/>
            <w:vAlign w:val="center"/>
            <w:hideMark/>
          </w:tcPr>
          <w:p w:rsidR="008A49F5" w:rsidRDefault="008A49F5">
            <w:pPr>
              <w:spacing w:after="0" w:line="276" w:lineRule="auto"/>
              <w:rPr>
                <w:rFonts w:eastAsia="Times New Roman" w:cs="Times New Roman"/>
                <w:color w:val="000000"/>
                <w:sz w:val="22"/>
                <w:lang w:val="en-GB"/>
              </w:rPr>
            </w:pPr>
            <w:r>
              <w:rPr>
                <w:rFonts w:eastAsia="Times New Roman" w:cs="Times New Roman"/>
                <w:color w:val="000000"/>
                <w:lang w:val="en-GB"/>
              </w:rPr>
              <w:t>Dummy municipal</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9.042</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10.973</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10.108</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-2.387</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3.339</w:t>
            </w:r>
            <w:r>
              <w:rPr>
                <w:rFonts w:cs="Times New Roman"/>
                <w:vertAlign w:val="superscript"/>
                <w:lang w:val="en-US"/>
              </w:rPr>
              <w:t>*</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-3.324</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(4.20)</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(6.59)</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(4.45)</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(2.15)</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(1.47)</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(1.41)</w:t>
            </w:r>
          </w:p>
        </w:tc>
      </w:tr>
      <w:tr w:rsidR="008A49F5" w:rsidTr="008A49F5">
        <w:tc>
          <w:tcPr>
            <w:tcW w:w="4260" w:type="dxa"/>
            <w:hideMark/>
          </w:tcPr>
          <w:p w:rsidR="008A49F5" w:rsidRDefault="008A49F5">
            <w:pPr>
              <w:spacing w:after="0" w:line="276" w:lineRule="auto"/>
              <w:rPr>
                <w:rFonts w:eastAsia="Times New Roman" w:cs="Times New Roman"/>
                <w:color w:val="000000"/>
                <w:sz w:val="22"/>
                <w:lang w:val="en-GB"/>
              </w:rPr>
            </w:pPr>
            <w:r>
              <w:rPr>
                <w:rFonts w:eastAsia="Times New Roman" w:cs="Times New Roman"/>
                <w:color w:val="000000"/>
                <w:lang w:val="en-GB"/>
              </w:rPr>
              <w:t>Per cent seats held by left-wing parties</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0.244</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0.342</w:t>
            </w:r>
            <w:r>
              <w:rPr>
                <w:rFonts w:cs="Times New Roman"/>
                <w:vertAlign w:val="superscript"/>
                <w:lang w:val="en-US"/>
              </w:rPr>
              <w:t>*</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0.304</w:t>
            </w:r>
            <w:r>
              <w:rPr>
                <w:rFonts w:cs="Times New Roman"/>
                <w:vertAlign w:val="superscript"/>
                <w:lang w:val="en-US"/>
              </w:rPr>
              <w:t>***</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(0.10)</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(0.14)</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(0.09)</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eastAsia="Times New Roman" w:cs="Times New Roman"/>
                <w:color w:val="000000"/>
                <w:lang w:val="en-GB"/>
              </w:rPr>
              <w:t>State * % Left-wing seats</w:t>
            </w:r>
            <w:r>
              <w:rPr>
                <w:rFonts w:cs="Times New Roman"/>
                <w:lang w:val="en-US"/>
              </w:rPr>
              <w:t>)</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-0.343</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-0.076</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-0.185</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(0.18)</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(0.13)</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(0.16)</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vAlign w:val="center"/>
            <w:hideMark/>
          </w:tcPr>
          <w:p w:rsidR="008A49F5" w:rsidRDefault="008A49F5">
            <w:pPr>
              <w:spacing w:after="0" w:line="276" w:lineRule="auto"/>
              <w:rPr>
                <w:rFonts w:eastAsia="Times New Roman" w:cs="Times New Roman"/>
                <w:color w:val="000000"/>
                <w:sz w:val="22"/>
                <w:lang w:val="en-GB"/>
              </w:rPr>
            </w:pPr>
            <w:r>
              <w:rPr>
                <w:rFonts w:eastAsia="Times New Roman" w:cs="Times New Roman"/>
                <w:color w:val="000000"/>
                <w:lang w:val="en-GB"/>
              </w:rPr>
              <w:t>Municipality * % Left-wing seats</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-0.205</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-0.176</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-0.242</w:t>
            </w:r>
            <w:r>
              <w:rPr>
                <w:rFonts w:cs="Times New Roman"/>
                <w:vertAlign w:val="superscript"/>
                <w:lang w:val="en-US"/>
              </w:rPr>
              <w:t>**</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(0.10)</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(0.16)</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(0.10)</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eastAsia="Times New Roman" w:cs="Times New Roman"/>
                <w:color w:val="000000"/>
                <w:lang w:val="en-GB"/>
              </w:rPr>
              <w:t>Per cent seats held by minor parties</w:t>
            </w: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-0.290</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-0.168</w:t>
            </w:r>
            <w:r>
              <w:rPr>
                <w:rFonts w:cs="Times New Roman"/>
                <w:vertAlign w:val="superscript"/>
                <w:lang w:val="en-US"/>
              </w:rPr>
              <w:t>**</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-0.337</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(0.12)</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(0.05)</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(0.10)</w:t>
            </w:r>
          </w:p>
        </w:tc>
      </w:tr>
      <w:tr w:rsidR="008A49F5" w:rsidTr="008A49F5">
        <w:tc>
          <w:tcPr>
            <w:tcW w:w="4260" w:type="dxa"/>
            <w:vAlign w:val="center"/>
            <w:hideMark/>
          </w:tcPr>
          <w:p w:rsidR="008A49F5" w:rsidRDefault="008A49F5">
            <w:pPr>
              <w:spacing w:after="0" w:line="276" w:lineRule="auto"/>
              <w:rPr>
                <w:rFonts w:eastAsia="Times New Roman" w:cs="Times New Roman"/>
                <w:color w:val="000000"/>
                <w:sz w:val="22"/>
                <w:lang w:val="en-GB"/>
              </w:rPr>
            </w:pPr>
            <w:r>
              <w:rPr>
                <w:rFonts w:eastAsia="Times New Roman" w:cs="Times New Roman"/>
                <w:color w:val="000000"/>
                <w:lang w:val="en-GB"/>
              </w:rPr>
              <w:t>State * % Minor parties‘ seats</w:t>
            </w: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0.070</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-0.440</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0.033</w:t>
            </w:r>
          </w:p>
        </w:tc>
      </w:tr>
      <w:tr w:rsidR="008A49F5" w:rsidTr="008A49F5">
        <w:tc>
          <w:tcPr>
            <w:tcW w:w="4260" w:type="dxa"/>
            <w:vAlign w:val="center"/>
          </w:tcPr>
          <w:p w:rsidR="008A49F5" w:rsidRDefault="008A49F5">
            <w:pPr>
              <w:spacing w:after="0" w:line="276" w:lineRule="auto"/>
              <w:rPr>
                <w:rFonts w:eastAsiaTheme="minorHAnsi" w:cs="Times New Roman"/>
                <w:sz w:val="22"/>
                <w:lang w:val="en-US"/>
              </w:rPr>
            </w:pP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(0.27)</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(0.35)</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(0.22)</w:t>
            </w:r>
          </w:p>
        </w:tc>
      </w:tr>
      <w:tr w:rsidR="008A49F5" w:rsidTr="008A49F5">
        <w:tc>
          <w:tcPr>
            <w:tcW w:w="4260" w:type="dxa"/>
            <w:vAlign w:val="center"/>
            <w:hideMark/>
          </w:tcPr>
          <w:p w:rsidR="008A49F5" w:rsidRDefault="008A49F5">
            <w:pPr>
              <w:spacing w:after="0" w:line="276" w:lineRule="auto"/>
              <w:rPr>
                <w:rFonts w:eastAsia="Times New Roman" w:cs="Times New Roman"/>
                <w:color w:val="000000"/>
                <w:sz w:val="22"/>
                <w:lang w:val="en-GB"/>
              </w:rPr>
            </w:pPr>
            <w:r>
              <w:rPr>
                <w:rFonts w:eastAsia="Times New Roman" w:cs="Times New Roman"/>
                <w:color w:val="000000"/>
                <w:lang w:val="en-GB"/>
              </w:rPr>
              <w:t>Municipality * % Minor parties‘ seats</w:t>
            </w: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0.254</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0.052</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0.292</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(0.14)</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(0.06)</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(0.13)</w:t>
            </w: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eastAsia="Times New Roman" w:cs="Times New Roman"/>
                <w:color w:val="000000"/>
                <w:lang w:val="en-GB"/>
              </w:rPr>
              <w:t>Effective number of parties</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1.244</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-1.697</w:t>
            </w:r>
            <w:r>
              <w:rPr>
                <w:rFonts w:cs="Times New Roman"/>
                <w:vertAlign w:val="superscript"/>
                <w:lang w:val="en-US"/>
              </w:rPr>
              <w:t>*</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0.576</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1.842</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-0.282</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1.166</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(0.47)</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(0.71)</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(0.45)</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(0.61)</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(0.88)</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(0.47)</w:t>
            </w: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eastAsia="Times New Roman" w:cs="Times New Roman"/>
                <w:color w:val="000000"/>
                <w:lang w:val="en-GB"/>
              </w:rPr>
              <w:t>PR (vs. mixed)</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1.925</w:t>
            </w:r>
            <w:r>
              <w:rPr>
                <w:rFonts w:cs="Times New Roman"/>
                <w:vertAlign w:val="superscript"/>
                <w:lang w:val="en-US"/>
              </w:rPr>
              <w:t>**</w:t>
            </w: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2.372</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2.338</w:t>
            </w:r>
            <w:r>
              <w:rPr>
                <w:rFonts w:cs="Times New Roman"/>
                <w:vertAlign w:val="superscript"/>
                <w:lang w:val="en-US"/>
              </w:rPr>
              <w:t>***</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2.832</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(0.71)</w:t>
            </w: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(0.35)</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(0.65)</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(0.45)</w:t>
            </w: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eastAsia="Times New Roman" w:cs="Times New Roman"/>
                <w:color w:val="000000"/>
                <w:lang w:val="en-GB"/>
              </w:rPr>
              <w:t>Log seats in legislature</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3.741</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3.661</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3.335</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3.586</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3.836</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3.296</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(1.32)</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(2.09)</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(0.99)</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(1.12)</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(1.99)</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(1.02)</w:t>
            </w:r>
          </w:p>
        </w:tc>
      </w:tr>
      <w:tr w:rsidR="008A49F5" w:rsidRP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cs="Times New Roman"/>
                <w:lang w:val="en-US"/>
              </w:rPr>
              <w:t>Count of uneven number of seats</w:t>
            </w: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RP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tcPr>
          <w:p w:rsidR="008A49F5" w:rsidRDefault="008A49F5">
            <w:pPr>
              <w:widowControl w:val="0"/>
              <w:autoSpaceDE w:val="0"/>
              <w:autoSpaceDN w:val="0"/>
              <w:adjustRightInd w:val="0"/>
              <w:spacing w:after="0"/>
              <w:jc w:val="center"/>
              <w:rPr>
                <w:rFonts w:cs="Times New Roman"/>
                <w:sz w:val="22"/>
                <w:lang w:val="en-US"/>
              </w:rPr>
            </w:pP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eastAsia="Times New Roman" w:cs="Times New Roman"/>
                <w:color w:val="000000"/>
                <w:lang w:val="en-GB"/>
              </w:rPr>
              <w:t>Inhabitants per km</w:t>
            </w:r>
            <w:r>
              <w:rPr>
                <w:rFonts w:eastAsia="Times New Roman" w:cs="Times New Roman"/>
                <w:color w:val="000000"/>
                <w:vertAlign w:val="superscript"/>
                <w:lang w:val="en-GB"/>
              </w:rPr>
              <w:t>2</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0.005</w:t>
            </w:r>
            <w:r>
              <w:rPr>
                <w:rFonts w:cs="Times New Roman"/>
                <w:vertAlign w:val="superscript"/>
                <w:lang w:val="en-US"/>
              </w:rPr>
              <w:t>***</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0.002</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0.005</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0.005</w:t>
            </w:r>
            <w:r>
              <w:rPr>
                <w:rFonts w:cs="Times New Roman"/>
                <w:vertAlign w:val="superscript"/>
                <w:lang w:val="en-US"/>
              </w:rPr>
              <w:t>***</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0.001</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0.005</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(0.00)</w:t>
            </w:r>
          </w:p>
        </w:tc>
      </w:tr>
      <w:tr w:rsidR="008A49F5" w:rsidTr="008A49F5">
        <w:tc>
          <w:tcPr>
            <w:tcW w:w="4260" w:type="dxa"/>
            <w:hideMark/>
          </w:tcPr>
          <w:p w:rsidR="008A49F5" w:rsidRDefault="008A49F5">
            <w:pPr>
              <w:spacing w:after="0" w:line="276" w:lineRule="auto"/>
              <w:rPr>
                <w:rFonts w:cs="Times New Roman"/>
                <w:sz w:val="22"/>
                <w:lang w:val="en-US"/>
              </w:rPr>
            </w:pPr>
            <w:r>
              <w:rPr>
                <w:rFonts w:eastAsia="Times New Roman" w:cs="Times New Roman"/>
                <w:color w:val="000000"/>
                <w:lang w:val="en-GB"/>
              </w:rPr>
              <w:t>Dummy former GDR (1=former GDR)</w:t>
            </w: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-2.959</w:t>
            </w:r>
            <w:r>
              <w:rPr>
                <w:rFonts w:cs="Times New Roman"/>
                <w:vertAlign w:val="superscript"/>
                <w:lang w:val="en-US"/>
              </w:rPr>
              <w:t>***</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-3.086</w:t>
            </w:r>
            <w:r>
              <w:rPr>
                <w:rFonts w:cs="Times New Roman"/>
                <w:vertAlign w:val="superscript"/>
                <w:lang w:val="en-US"/>
              </w:rPr>
              <w:t>***</w:t>
            </w:r>
          </w:p>
        </w:tc>
      </w:tr>
      <w:tr w:rsidR="008A49F5" w:rsidTr="008A49F5">
        <w:tc>
          <w:tcPr>
            <w:tcW w:w="4260" w:type="dxa"/>
          </w:tcPr>
          <w:p w:rsidR="008A49F5" w:rsidRDefault="008A49F5">
            <w:pPr>
              <w:widowControl w:val="0"/>
              <w:autoSpaceDE w:val="0"/>
              <w:autoSpaceDN w:val="0"/>
              <w:adjustRightInd w:val="0"/>
              <w:spacing w:after="0"/>
              <w:rPr>
                <w:rFonts w:cs="Times New Roman"/>
                <w:sz w:val="22"/>
                <w:lang w:val="en-US"/>
              </w:rPr>
            </w:pPr>
          </w:p>
        </w:tc>
        <w:tc>
          <w:tcPr>
            <w:tcW w:w="1115" w:type="dxa"/>
          </w:tcPr>
          <w:p w:rsidR="008A49F5" w:rsidRDefault="008A49F5">
            <w:pPr>
              <w:widowControl w:val="0"/>
              <w:autoSpaceDE w:val="0"/>
              <w:autoSpaceDN w:val="0"/>
              <w:adjustRightInd w:val="0"/>
              <w:spacing w:after="0"/>
              <w:jc w:val="center"/>
              <w:rPr>
                <w:rFonts w:cs="Times New Roman"/>
                <w:sz w:val="22"/>
                <w:lang w:val="en-US"/>
              </w:rPr>
            </w:pPr>
          </w:p>
        </w:tc>
        <w:tc>
          <w:tcPr>
            <w:tcW w:w="1109"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(0.58)</w:t>
            </w: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16" w:type="dxa"/>
          </w:tcPr>
          <w:p w:rsidR="008A49F5" w:rsidRDefault="008A49F5">
            <w:pPr>
              <w:widowControl w:val="0"/>
              <w:autoSpaceDE w:val="0"/>
              <w:autoSpaceDN w:val="0"/>
              <w:adjustRightInd w:val="0"/>
              <w:spacing w:after="0"/>
              <w:jc w:val="center"/>
              <w:rPr>
                <w:rFonts w:cs="Times New Roman"/>
                <w:sz w:val="22"/>
                <w:lang w:val="en-US"/>
              </w:rPr>
            </w:pP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(0.75)</w:t>
            </w:r>
          </w:p>
        </w:tc>
      </w:tr>
      <w:tr w:rsidR="008A49F5" w:rsidTr="008A49F5">
        <w:tc>
          <w:tcPr>
            <w:tcW w:w="4260" w:type="dxa"/>
            <w:hideMark/>
          </w:tcPr>
          <w:p w:rsidR="008A49F5" w:rsidRDefault="008A49F5">
            <w:pPr>
              <w:widowControl w:val="0"/>
              <w:autoSpaceDE w:val="0"/>
              <w:autoSpaceDN w:val="0"/>
              <w:adjustRightInd w:val="0"/>
              <w:spacing w:after="0"/>
              <w:rPr>
                <w:rFonts w:cs="Times New Roman"/>
                <w:sz w:val="22"/>
                <w:lang w:val="en-US"/>
              </w:rPr>
            </w:pPr>
            <w:r>
              <w:rPr>
                <w:rFonts w:cs="Times New Roman"/>
                <w:lang w:val="en-US"/>
              </w:rPr>
              <w:t>Constant</w:t>
            </w:r>
          </w:p>
        </w:tc>
        <w:tc>
          <w:tcPr>
            <w:tcW w:w="1115"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-9.294</w:t>
            </w:r>
          </w:p>
        </w:tc>
        <w:tc>
          <w:tcPr>
            <w:tcW w:w="1109"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-1.633</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-8.206</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2.016</w:t>
            </w:r>
          </w:p>
        </w:tc>
        <w:tc>
          <w:tcPr>
            <w:tcW w:w="111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8.691</w:t>
            </w:r>
          </w:p>
        </w:tc>
        <w:tc>
          <w:tcPr>
            <w:tcW w:w="1196" w:type="dxa"/>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5.540</w:t>
            </w:r>
          </w:p>
        </w:tc>
      </w:tr>
      <w:tr w:rsidR="008A49F5" w:rsidTr="008A49F5">
        <w:tc>
          <w:tcPr>
            <w:tcW w:w="4260" w:type="dxa"/>
            <w:tcBorders>
              <w:top w:val="nil"/>
              <w:left w:val="nil"/>
              <w:bottom w:val="single" w:sz="4" w:space="0" w:color="auto"/>
              <w:right w:val="nil"/>
            </w:tcBorders>
          </w:tcPr>
          <w:p w:rsidR="008A49F5" w:rsidRDefault="008A49F5">
            <w:pPr>
              <w:widowControl w:val="0"/>
              <w:autoSpaceDE w:val="0"/>
              <w:autoSpaceDN w:val="0"/>
              <w:adjustRightInd w:val="0"/>
              <w:spacing w:after="0"/>
              <w:rPr>
                <w:rFonts w:cs="Times New Roman"/>
                <w:sz w:val="22"/>
                <w:lang w:val="en-US"/>
              </w:rPr>
            </w:pPr>
          </w:p>
        </w:tc>
        <w:tc>
          <w:tcPr>
            <w:tcW w:w="1115"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(6.46)</w:t>
            </w:r>
          </w:p>
        </w:tc>
        <w:tc>
          <w:tcPr>
            <w:tcW w:w="1109"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(10.85)</w:t>
            </w:r>
          </w:p>
        </w:tc>
        <w:tc>
          <w:tcPr>
            <w:tcW w:w="119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(5.84)</w:t>
            </w:r>
          </w:p>
        </w:tc>
        <w:tc>
          <w:tcPr>
            <w:tcW w:w="111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(6.15)</w:t>
            </w:r>
          </w:p>
        </w:tc>
        <w:tc>
          <w:tcPr>
            <w:tcW w:w="111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(5.15)</w:t>
            </w:r>
          </w:p>
        </w:tc>
        <w:tc>
          <w:tcPr>
            <w:tcW w:w="119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(4.34)</w:t>
            </w:r>
          </w:p>
        </w:tc>
      </w:tr>
      <w:tr w:rsidR="008A49F5" w:rsidTr="008A49F5">
        <w:tc>
          <w:tcPr>
            <w:tcW w:w="4260" w:type="dxa"/>
            <w:tcBorders>
              <w:top w:val="single" w:sz="4" w:space="0" w:color="auto"/>
              <w:left w:val="nil"/>
              <w:bottom w:val="nil"/>
              <w:right w:val="nil"/>
            </w:tcBorders>
            <w:hideMark/>
          </w:tcPr>
          <w:p w:rsidR="008A49F5" w:rsidRDefault="008A49F5">
            <w:pPr>
              <w:widowControl w:val="0"/>
              <w:autoSpaceDE w:val="0"/>
              <w:autoSpaceDN w:val="0"/>
              <w:adjustRightInd w:val="0"/>
              <w:spacing w:after="0"/>
              <w:rPr>
                <w:rFonts w:cs="Times New Roman"/>
                <w:sz w:val="22"/>
                <w:lang w:val="en-US"/>
              </w:rPr>
            </w:pPr>
            <w:r>
              <w:rPr>
                <w:rFonts w:cs="Times New Roman"/>
                <w:lang w:val="en-US"/>
              </w:rPr>
              <w:t>Observations</w:t>
            </w:r>
          </w:p>
        </w:tc>
        <w:tc>
          <w:tcPr>
            <w:tcW w:w="1115"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2665</w:t>
            </w:r>
          </w:p>
        </w:tc>
        <w:tc>
          <w:tcPr>
            <w:tcW w:w="1109"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291</w:t>
            </w:r>
          </w:p>
        </w:tc>
        <w:tc>
          <w:tcPr>
            <w:tcW w:w="119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2333</w:t>
            </w:r>
          </w:p>
        </w:tc>
        <w:tc>
          <w:tcPr>
            <w:tcW w:w="111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2665</w:t>
            </w:r>
          </w:p>
        </w:tc>
        <w:tc>
          <w:tcPr>
            <w:tcW w:w="111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291</w:t>
            </w:r>
          </w:p>
        </w:tc>
        <w:tc>
          <w:tcPr>
            <w:tcW w:w="1196" w:type="dxa"/>
            <w:tcBorders>
              <w:top w:val="single" w:sz="4" w:space="0" w:color="auto"/>
              <w:left w:val="nil"/>
              <w:bottom w:val="nil"/>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2333</w:t>
            </w:r>
          </w:p>
        </w:tc>
      </w:tr>
      <w:tr w:rsidR="008A49F5" w:rsidTr="008A49F5">
        <w:tc>
          <w:tcPr>
            <w:tcW w:w="4260" w:type="dxa"/>
            <w:tcBorders>
              <w:top w:val="nil"/>
              <w:left w:val="nil"/>
              <w:bottom w:val="single" w:sz="4" w:space="0" w:color="auto"/>
              <w:right w:val="nil"/>
            </w:tcBorders>
            <w:hideMark/>
          </w:tcPr>
          <w:p w:rsidR="008A49F5" w:rsidRDefault="008A49F5">
            <w:pPr>
              <w:widowControl w:val="0"/>
              <w:autoSpaceDE w:val="0"/>
              <w:autoSpaceDN w:val="0"/>
              <w:adjustRightInd w:val="0"/>
              <w:spacing w:after="0"/>
              <w:rPr>
                <w:rFonts w:cs="Times New Roman"/>
                <w:sz w:val="22"/>
                <w:lang w:val="en-US"/>
              </w:rPr>
            </w:pPr>
            <w:r>
              <w:rPr>
                <w:rFonts w:cs="Times New Roman"/>
                <w:i/>
                <w:iCs/>
                <w:lang w:val="en-US"/>
              </w:rPr>
              <w:t>R</w:t>
            </w:r>
            <w:r>
              <w:rPr>
                <w:rFonts w:cs="Times New Roman"/>
                <w:vertAlign w:val="superscript"/>
                <w:lang w:val="en-US"/>
              </w:rPr>
              <w:t>2</w:t>
            </w:r>
          </w:p>
        </w:tc>
        <w:tc>
          <w:tcPr>
            <w:tcW w:w="1115"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0.206</w:t>
            </w:r>
          </w:p>
        </w:tc>
        <w:tc>
          <w:tcPr>
            <w:tcW w:w="1109"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0.216</w:t>
            </w:r>
          </w:p>
        </w:tc>
        <w:tc>
          <w:tcPr>
            <w:tcW w:w="119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0.218</w:t>
            </w:r>
          </w:p>
        </w:tc>
        <w:tc>
          <w:tcPr>
            <w:tcW w:w="111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0.214</w:t>
            </w:r>
          </w:p>
        </w:tc>
        <w:tc>
          <w:tcPr>
            <w:tcW w:w="111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0.184</w:t>
            </w:r>
          </w:p>
        </w:tc>
        <w:tc>
          <w:tcPr>
            <w:tcW w:w="1196" w:type="dxa"/>
            <w:tcBorders>
              <w:top w:val="nil"/>
              <w:left w:val="nil"/>
              <w:bottom w:val="single" w:sz="4" w:space="0" w:color="auto"/>
              <w:right w:val="nil"/>
            </w:tcBorders>
            <w:hideMark/>
          </w:tcPr>
          <w:p w:rsidR="008A49F5" w:rsidRDefault="008A49F5">
            <w:pPr>
              <w:widowControl w:val="0"/>
              <w:autoSpaceDE w:val="0"/>
              <w:autoSpaceDN w:val="0"/>
              <w:adjustRightInd w:val="0"/>
              <w:spacing w:after="0"/>
              <w:jc w:val="center"/>
              <w:rPr>
                <w:rFonts w:cs="Times New Roman"/>
                <w:sz w:val="22"/>
                <w:lang w:val="en-US"/>
              </w:rPr>
            </w:pPr>
            <w:r>
              <w:rPr>
                <w:rFonts w:cs="Times New Roman"/>
                <w:lang w:val="en-US"/>
              </w:rPr>
              <w:t>0.226</w:t>
            </w:r>
          </w:p>
        </w:tc>
      </w:tr>
    </w:tbl>
    <w:p w:rsidR="00314AA1" w:rsidRDefault="00314AA1" w:rsidP="00314AA1">
      <w:pPr>
        <w:widowControl w:val="0"/>
        <w:autoSpaceDE w:val="0"/>
        <w:autoSpaceDN w:val="0"/>
        <w:adjustRightInd w:val="0"/>
        <w:spacing w:after="0"/>
        <w:rPr>
          <w:rFonts w:cs="Times New Roman"/>
          <w:sz w:val="24"/>
          <w:szCs w:val="24"/>
          <w:lang w:val="en-US"/>
        </w:rPr>
      </w:pPr>
      <w:r>
        <w:rPr>
          <w:rFonts w:ascii="Times" w:eastAsia="Times New Roman" w:hAnsi="Times" w:cs="Times"/>
          <w:color w:val="000000"/>
          <w:lang w:val="en-GB"/>
        </w:rPr>
        <w:t xml:space="preserve">Annotations: The district level is the reference category in all models.  * p &lt; 0.10, ** p &lt; 0.05, *** p &lt; 0.01. Test 4.1 and 6.1 includes only entities in the former Western part of Germany, while Test 4.2 and 6.2 is limited to entities in the former GDR. Test 4.3 and 6.3 exclude the states with MMPs systems at the municipal and district level from the analyses. Test 4.4 and 6.4 add a variable for the number of zipper seats. </w:t>
      </w:r>
    </w:p>
    <w:p w:rsidR="00E20AC0" w:rsidRPr="00314AA1" w:rsidRDefault="00E20AC0">
      <w:pPr>
        <w:rPr>
          <w:lang w:val="en-US"/>
        </w:rPr>
      </w:pPr>
    </w:p>
    <w:sectPr w:rsidR="00E20AC0" w:rsidRPr="00314AA1" w:rsidSect="00314AA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74A" w:rsidRDefault="005C174A" w:rsidP="001235F7">
      <w:pPr>
        <w:spacing w:after="0"/>
      </w:pPr>
      <w:r>
        <w:separator/>
      </w:r>
    </w:p>
  </w:endnote>
  <w:endnote w:type="continuationSeparator" w:id="0">
    <w:p w:rsidR="005C174A" w:rsidRDefault="005C174A" w:rsidP="00123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74A" w:rsidRDefault="005C174A" w:rsidP="001235F7">
      <w:pPr>
        <w:spacing w:after="0"/>
      </w:pPr>
      <w:r>
        <w:separator/>
      </w:r>
    </w:p>
  </w:footnote>
  <w:footnote w:type="continuationSeparator" w:id="0">
    <w:p w:rsidR="005C174A" w:rsidRDefault="005C174A" w:rsidP="001235F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96"/>
    <w:rsid w:val="001235F7"/>
    <w:rsid w:val="00175742"/>
    <w:rsid w:val="00314AA1"/>
    <w:rsid w:val="00534A13"/>
    <w:rsid w:val="005C174A"/>
    <w:rsid w:val="005F3786"/>
    <w:rsid w:val="006B4396"/>
    <w:rsid w:val="006C2540"/>
    <w:rsid w:val="008A49F5"/>
    <w:rsid w:val="00A548F5"/>
    <w:rsid w:val="00E20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96385-0848-41DC-8AFE-295A2DAD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EndnoteText"/>
    <w:qFormat/>
    <w:rsid w:val="006B4396"/>
    <w:pPr>
      <w:spacing w:line="240" w:lineRule="auto"/>
      <w:jc w:val="both"/>
    </w:pPr>
    <w:rPr>
      <w:rFonts w:ascii="Times New Roman" w:eastAsiaTheme="minorEastAsia" w:hAnsi="Times New Roman"/>
      <w:sz w:val="18"/>
    </w:rPr>
  </w:style>
  <w:style w:type="paragraph" w:styleId="Heading2">
    <w:name w:val="heading 2"/>
    <w:basedOn w:val="Normal"/>
    <w:next w:val="Normal"/>
    <w:link w:val="Heading2Char"/>
    <w:uiPriority w:val="9"/>
    <w:unhideWhenUsed/>
    <w:qFormat/>
    <w:rsid w:val="006B4396"/>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396"/>
    <w:rPr>
      <w:rFonts w:asciiTheme="majorHAnsi" w:eastAsiaTheme="majorEastAsia" w:hAnsiTheme="majorHAnsi" w:cstheme="majorBidi"/>
      <w:b/>
      <w:bCs/>
      <w:sz w:val="26"/>
      <w:szCs w:val="26"/>
    </w:rPr>
  </w:style>
  <w:style w:type="paragraph" w:styleId="EndnoteText">
    <w:name w:val="endnote text"/>
    <w:basedOn w:val="Normal"/>
    <w:link w:val="EndnoteTextChar"/>
    <w:uiPriority w:val="99"/>
    <w:unhideWhenUsed/>
    <w:rsid w:val="006B4396"/>
    <w:pPr>
      <w:spacing w:after="0"/>
    </w:pPr>
    <w:rPr>
      <w:sz w:val="20"/>
      <w:szCs w:val="20"/>
    </w:rPr>
  </w:style>
  <w:style w:type="character" w:customStyle="1" w:styleId="EndnoteTextChar">
    <w:name w:val="Endnote Text Char"/>
    <w:basedOn w:val="DefaultParagraphFont"/>
    <w:link w:val="EndnoteText"/>
    <w:uiPriority w:val="99"/>
    <w:rsid w:val="006B4396"/>
    <w:rPr>
      <w:rFonts w:ascii="Times New Roman" w:eastAsiaTheme="minorEastAsia" w:hAnsi="Times New Roman"/>
      <w:sz w:val="20"/>
      <w:szCs w:val="20"/>
    </w:rPr>
  </w:style>
  <w:style w:type="paragraph" w:styleId="PlainText">
    <w:name w:val="Plain Text"/>
    <w:basedOn w:val="Normal"/>
    <w:link w:val="PlainTextChar"/>
    <w:uiPriority w:val="99"/>
    <w:unhideWhenUsed/>
    <w:rsid w:val="006B4396"/>
    <w:pPr>
      <w:spacing w:after="0"/>
      <w:jc w:val="left"/>
    </w:pPr>
    <w:rPr>
      <w:rFonts w:ascii="Calibri" w:eastAsiaTheme="minorHAnsi" w:hAnsi="Calibri"/>
      <w:sz w:val="22"/>
      <w:szCs w:val="21"/>
      <w:lang w:val="en-US"/>
    </w:rPr>
  </w:style>
  <w:style w:type="character" w:customStyle="1" w:styleId="PlainTextChar">
    <w:name w:val="Plain Text Char"/>
    <w:basedOn w:val="DefaultParagraphFont"/>
    <w:link w:val="PlainText"/>
    <w:uiPriority w:val="99"/>
    <w:rsid w:val="006B4396"/>
    <w:rPr>
      <w:rFonts w:ascii="Calibri" w:hAnsi="Calibri"/>
      <w:szCs w:val="21"/>
      <w:lang w:val="en-US"/>
    </w:rPr>
  </w:style>
  <w:style w:type="paragraph" w:styleId="FootnoteText">
    <w:name w:val="footnote text"/>
    <w:basedOn w:val="Normal"/>
    <w:link w:val="FootnoteTextChar"/>
    <w:uiPriority w:val="99"/>
    <w:semiHidden/>
    <w:unhideWhenUsed/>
    <w:rsid w:val="001235F7"/>
    <w:pPr>
      <w:spacing w:after="0"/>
    </w:pPr>
    <w:rPr>
      <w:szCs w:val="20"/>
    </w:rPr>
  </w:style>
  <w:style w:type="character" w:customStyle="1" w:styleId="FootnoteTextChar">
    <w:name w:val="Footnote Text Char"/>
    <w:basedOn w:val="DefaultParagraphFont"/>
    <w:link w:val="FootnoteText"/>
    <w:uiPriority w:val="99"/>
    <w:semiHidden/>
    <w:rsid w:val="001235F7"/>
    <w:rPr>
      <w:rFonts w:ascii="Times New Roman" w:eastAsiaTheme="minorEastAsia" w:hAnsi="Times New Roman"/>
      <w:sz w:val="18"/>
      <w:szCs w:val="20"/>
    </w:rPr>
  </w:style>
  <w:style w:type="paragraph" w:styleId="ListParagraph">
    <w:name w:val="List Paragraph"/>
    <w:basedOn w:val="Normal"/>
    <w:uiPriority w:val="34"/>
    <w:qFormat/>
    <w:rsid w:val="001235F7"/>
    <w:pPr>
      <w:ind w:left="720"/>
      <w:contextualSpacing/>
    </w:pPr>
  </w:style>
  <w:style w:type="character" w:styleId="FootnoteReference">
    <w:name w:val="footnote reference"/>
    <w:basedOn w:val="DefaultParagraphFont"/>
    <w:uiPriority w:val="99"/>
    <w:semiHidden/>
    <w:unhideWhenUsed/>
    <w:rsid w:val="001235F7"/>
    <w:rPr>
      <w:vertAlign w:val="superscript"/>
    </w:rPr>
  </w:style>
  <w:style w:type="character" w:styleId="Hyperlink">
    <w:name w:val="Hyperlink"/>
    <w:basedOn w:val="DefaultParagraphFont"/>
    <w:uiPriority w:val="99"/>
    <w:semiHidden/>
    <w:unhideWhenUsed/>
    <w:rsid w:val="00123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40221">
      <w:bodyDiv w:val="1"/>
      <w:marLeft w:val="0"/>
      <w:marRight w:val="0"/>
      <w:marTop w:val="0"/>
      <w:marBottom w:val="0"/>
      <w:divBdr>
        <w:top w:val="none" w:sz="0" w:space="0" w:color="auto"/>
        <w:left w:val="none" w:sz="0" w:space="0" w:color="auto"/>
        <w:bottom w:val="none" w:sz="0" w:space="0" w:color="auto"/>
        <w:right w:val="none" w:sz="0" w:space="0" w:color="auto"/>
      </w:divBdr>
    </w:div>
    <w:div w:id="16350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731B-5FB4-4920-9516-0A310C87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3679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Salzburg</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Kröber Corinna</dc:creator>
  <cp:lastModifiedBy>Jess</cp:lastModifiedBy>
  <cp:revision>2</cp:revision>
  <dcterms:created xsi:type="dcterms:W3CDTF">2017-09-15T14:43:00Z</dcterms:created>
  <dcterms:modified xsi:type="dcterms:W3CDTF">2017-09-15T14:43:00Z</dcterms:modified>
</cp:coreProperties>
</file>