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1A" w:rsidRDefault="008A541A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Appendix </w:t>
      </w:r>
      <w:r w:rsidRPr="008A541A">
        <w:rPr>
          <w:rFonts w:ascii="Times New Roman" w:hAnsi="Times New Roman" w:cs="Times New Roman"/>
          <w:sz w:val="24"/>
          <w:szCs w:val="24"/>
          <w:lang w:val="en-GB"/>
        </w:rPr>
        <w:t>to “The Intensity of Government–Opposition Divide as Measured through Legislative Speeches and What We Can Learn from It: Analyses of Japanese Parliamentary Debates, 1953–2013”</w:t>
      </w:r>
      <w:r w:rsidR="00EB5F55">
        <w:rPr>
          <w:rFonts w:ascii="Times New Roman" w:hAnsi="Times New Roman" w:cs="Times New Roman"/>
          <w:sz w:val="24"/>
          <w:szCs w:val="24"/>
          <w:lang w:val="en-GB"/>
        </w:rPr>
        <w:t xml:space="preserve">, by </w:t>
      </w:r>
      <w:r w:rsidR="00EB5F55" w:rsidRPr="00EB5F55">
        <w:rPr>
          <w:rFonts w:ascii="Times New Roman" w:hAnsi="Times New Roman" w:cs="Times New Roman"/>
          <w:sz w:val="24"/>
          <w:szCs w:val="24"/>
          <w:lang w:val="en-GB"/>
        </w:rPr>
        <w:t xml:space="preserve">Luigi </w:t>
      </w:r>
      <w:proofErr w:type="spellStart"/>
      <w:r w:rsidR="00EB5F55" w:rsidRPr="00EB5F55">
        <w:rPr>
          <w:rFonts w:ascii="Times New Roman" w:hAnsi="Times New Roman" w:cs="Times New Roman"/>
          <w:sz w:val="24"/>
          <w:szCs w:val="24"/>
          <w:lang w:val="en-GB"/>
        </w:rPr>
        <w:t>Curini</w:t>
      </w:r>
      <w:proofErr w:type="spellEnd"/>
      <w:r w:rsidR="00EB5F55" w:rsidRPr="00EB5F5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B5F55">
        <w:rPr>
          <w:rFonts w:ascii="Times New Roman" w:hAnsi="Times New Roman" w:cs="Times New Roman"/>
          <w:sz w:val="24"/>
          <w:szCs w:val="24"/>
          <w:lang w:val="en-GB"/>
        </w:rPr>
        <w:t xml:space="preserve"> Airo Hino and Atsushi Osaka, </w:t>
      </w:r>
      <w:r w:rsidRPr="008A541A">
        <w:rPr>
          <w:rFonts w:ascii="Times New Roman" w:hAnsi="Times New Roman" w:cs="Times New Roman"/>
          <w:i/>
          <w:sz w:val="24"/>
          <w:szCs w:val="24"/>
          <w:lang w:val="en-GB"/>
        </w:rPr>
        <w:t>Government &amp; Opposition</w:t>
      </w:r>
      <w:bookmarkStart w:id="0" w:name="_GoBack"/>
      <w:bookmarkEnd w:id="0"/>
    </w:p>
    <w:p w:rsidR="00407B0F" w:rsidRDefault="00407B0F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373EB" w:rsidRPr="00407B0F" w:rsidRDefault="00407B0F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en-GB" w:eastAsia="ja-JP"/>
        </w:rPr>
      </w:pPr>
      <w:r w:rsidRPr="00407B0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The </w:t>
      </w:r>
      <w:proofErr w:type="spellStart"/>
      <w:r w:rsidRPr="00407B0F">
        <w:rPr>
          <w:rFonts w:ascii="Times New Roman" w:hAnsi="Times New Roman" w:cs="Times New Roman"/>
          <w:b/>
          <w:i/>
          <w:sz w:val="24"/>
          <w:szCs w:val="24"/>
          <w:lang w:val="en-GB"/>
        </w:rPr>
        <w:t>Wordfish</w:t>
      </w:r>
      <w:proofErr w:type="spellEnd"/>
      <w:r w:rsidRPr="00407B0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algorithm </w:t>
      </w:r>
    </w:p>
    <w:p w:rsidR="00A373EB" w:rsidRPr="009162C0" w:rsidRDefault="00A373EB" w:rsidP="00A373EB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</w:t>
      </w:r>
      <w:proofErr w:type="spellStart"/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>Wordfish</w:t>
      </w:r>
      <w:proofErr w:type="spellEnd"/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model, estimated through an expectation maximisation algorithm, is expressed as follows: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ijt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~Poisson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ijt</m:t>
                </m:r>
              </m:sub>
            </m:sSub>
          </m:e>
        </m:d>
      </m:oMath>
      <w:r w:rsidRPr="00A25755">
        <w:rPr>
          <w:rFonts w:ascii="Times New Roman" w:hAnsi="Times New Roman" w:cs="Times New Roman"/>
          <w:sz w:val="24"/>
          <w:szCs w:val="24"/>
          <w:lang w:val="en-GB"/>
        </w:rPr>
        <w:t xml:space="preserve">, 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ijt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=exp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it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it</m:t>
                </m:r>
              </m:sub>
            </m:sSub>
          </m:e>
        </m:d>
      </m:oMath>
      <w:r w:rsidRPr="00E155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2575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In detail: </w:t>
      </w:r>
      <w:proofErr w:type="spellStart"/>
      <w:r w:rsidRPr="00A25755">
        <w:rPr>
          <w:rFonts w:ascii="Times New Roman" w:eastAsia="HGMinchoB" w:hAnsi="Times New Roman" w:cs="Times New Roman"/>
          <w:i/>
          <w:iCs/>
          <w:color w:val="000000"/>
          <w:kern w:val="24"/>
          <w:sz w:val="24"/>
          <w:szCs w:val="24"/>
          <w:lang w:val="en-GB"/>
        </w:rPr>
        <w:t>y</w:t>
      </w:r>
      <w:r w:rsidRPr="00A25755">
        <w:rPr>
          <w:rFonts w:ascii="Times New Roman" w:eastAsia="HGMinchoB" w:hAnsi="Times New Roman" w:cs="Times New Roman"/>
          <w:i/>
          <w:iCs/>
          <w:color w:val="000000"/>
          <w:kern w:val="24"/>
          <w:sz w:val="24"/>
          <w:szCs w:val="24"/>
          <w:vertAlign w:val="subscript"/>
          <w:lang w:val="en-GB"/>
        </w:rPr>
        <w:t>ijt</w:t>
      </w:r>
      <w:proofErr w:type="spellEnd"/>
      <w:r w:rsidRPr="00A25755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 is the count of word </w:t>
      </w:r>
      <w:r w:rsidRPr="00FB1BBE">
        <w:rPr>
          <w:rFonts w:ascii="Times New Roman" w:eastAsia="HGMinchoB" w:hAnsi="Times New Roman" w:cs="Times New Roman"/>
          <w:i/>
          <w:iCs/>
          <w:color w:val="000000"/>
          <w:kern w:val="24"/>
          <w:sz w:val="24"/>
          <w:szCs w:val="24"/>
          <w:lang w:val="en-GB"/>
        </w:rPr>
        <w:t>j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 in actor </w:t>
      </w:r>
      <w:r w:rsidRPr="009162C0">
        <w:rPr>
          <w:rFonts w:ascii="Times New Roman" w:eastAsia="HGMinchoB" w:hAnsi="Times New Roman" w:cs="Times New Roman"/>
          <w:i/>
          <w:iCs/>
          <w:color w:val="000000"/>
          <w:kern w:val="24"/>
          <w:sz w:val="24"/>
          <w:szCs w:val="24"/>
          <w:lang w:val="en-GB"/>
        </w:rPr>
        <w:t>i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’s document (in our case: legislative speeches) at time </w:t>
      </w:r>
      <w:r w:rsidRPr="009162C0">
        <w:rPr>
          <w:rFonts w:ascii="Times New Roman" w:eastAsia="HGMinchoB" w:hAnsi="Times New Roman" w:cs="Times New Roman"/>
          <w:i/>
          <w:iCs/>
          <w:color w:val="000000"/>
          <w:kern w:val="24"/>
          <w:sz w:val="24"/>
          <w:szCs w:val="24"/>
          <w:lang w:val="en-GB"/>
        </w:rPr>
        <w:t>t</w:t>
      </w:r>
      <w:r w:rsidRPr="009162C0">
        <w:rPr>
          <w:rFonts w:ascii="Times New Roman" w:eastAsia="HGMinchoB" w:hAnsi="Times New Roman" w:cs="Times New Roman"/>
          <w:iCs/>
          <w:color w:val="000000"/>
          <w:kern w:val="24"/>
          <w:sz w:val="24"/>
          <w:szCs w:val="24"/>
          <w:lang w:val="en-GB"/>
        </w:rPr>
        <w:t xml:space="preserve">; </w:t>
      </w:r>
      <w:r w:rsidRPr="009162C0">
        <w:rPr>
          <w:rFonts w:ascii="Times New Roman" w:eastAsia="HGMinchoB" w:hAnsi="Times New Roman" w:cs="Times New Roman"/>
          <w:i/>
          <w:iCs/>
          <w:color w:val="000000"/>
          <w:kern w:val="24"/>
          <w:sz w:val="24"/>
          <w:szCs w:val="24"/>
          <w:lang w:val="en-GB"/>
        </w:rPr>
        <w:t>α</w:t>
      </w:r>
      <w:r w:rsidRPr="009162C0">
        <w:rPr>
          <w:rFonts w:ascii="Times New Roman" w:eastAsia="HGMinchoB" w:hAnsi="Times New Roman" w:cs="Times New Roman"/>
          <w:i/>
          <w:iCs/>
          <w:color w:val="000000"/>
          <w:kern w:val="24"/>
          <w:sz w:val="24"/>
          <w:szCs w:val="24"/>
          <w:vertAlign w:val="subscript"/>
          <w:lang w:val="en-GB"/>
        </w:rPr>
        <w:t>it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 is the set of actor (i.e. party) fixed effects;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j</m:t>
            </m:r>
          </m:sub>
        </m:sSub>
      </m:oMath>
      <w:r w:rsidRPr="00E15545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 is a set of word fixed effects; β</w:t>
      </w:r>
      <w:r w:rsidRPr="00A25755">
        <w:rPr>
          <w:rFonts w:ascii="Times New Roman" w:eastAsia="HGMinchoB" w:hAnsi="Times New Roman" w:cs="Times New Roman"/>
          <w:color w:val="000000"/>
          <w:kern w:val="24"/>
          <w:sz w:val="24"/>
          <w:szCs w:val="24"/>
          <w:vertAlign w:val="subscript"/>
          <w:lang w:val="en-GB"/>
        </w:rPr>
        <w:t>j</w:t>
      </w:r>
      <w:r w:rsidRPr="00A25755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 is an estimate of a word specific weight capturing the importance of word </w:t>
      </w:r>
      <w:r w:rsidRPr="00FB1BBE">
        <w:rPr>
          <w:rFonts w:ascii="Times New Roman" w:eastAsia="HGMinchoB" w:hAnsi="Times New Roman" w:cs="Times New Roman"/>
          <w:i/>
          <w:iCs/>
          <w:color w:val="000000"/>
          <w:kern w:val="24"/>
          <w:sz w:val="24"/>
          <w:szCs w:val="24"/>
          <w:lang w:val="en-GB"/>
        </w:rPr>
        <w:t>j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 in discriminating between positions; and </w:t>
      </w:r>
      <w:proofErr w:type="spellStart"/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>ω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vertAlign w:val="subscript"/>
          <w:lang w:val="en-GB"/>
        </w:rPr>
        <w:t>it</w:t>
      </w:r>
      <w:proofErr w:type="spellEnd"/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 is the estimate of actor </w:t>
      </w:r>
      <w:r w:rsidRPr="009162C0">
        <w:rPr>
          <w:rFonts w:ascii="Times New Roman" w:eastAsia="HGMinchoB" w:hAnsi="Times New Roman" w:cs="Times New Roman"/>
          <w:i/>
          <w:iCs/>
          <w:color w:val="000000"/>
          <w:kern w:val="24"/>
          <w:sz w:val="24"/>
          <w:szCs w:val="24"/>
          <w:lang w:val="en-GB"/>
        </w:rPr>
        <w:t>i’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s position at time </w:t>
      </w:r>
      <w:r w:rsidRPr="009162C0">
        <w:rPr>
          <w:rFonts w:ascii="Times New Roman" w:eastAsia="HGMinchoB" w:hAnsi="Times New Roman" w:cs="Times New Roman"/>
          <w:i/>
          <w:color w:val="000000"/>
          <w:kern w:val="24"/>
          <w:sz w:val="24"/>
          <w:szCs w:val="24"/>
          <w:lang w:val="en-GB"/>
        </w:rPr>
        <w:t>t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. 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Words often used tend to have high 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ω 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coefficients but little distinguished positions (i.e. low 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β 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coefficients). On the contrary, relevant words are those that are not used that often but present high </w:t>
      </w:r>
      <w:r w:rsidRPr="009162C0">
        <w:rPr>
          <w:rFonts w:ascii="Times New Roman" w:eastAsia="HGMinchoB" w:hAnsi="Times New Roman" w:cs="Times New Roman"/>
          <w:color w:val="000000"/>
          <w:kern w:val="24"/>
          <w:sz w:val="24"/>
          <w:szCs w:val="24"/>
          <w:lang w:val="en-GB"/>
        </w:rPr>
        <w:t xml:space="preserve">β 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coefficients. </w:t>
      </w:r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>It is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>e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>se words that are powerful discriminators of speeches, and therefore of speaker positions.</w:t>
      </w:r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In our case, 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>the model was identified by fixing the mean position at 0, the standard deviation at 1, and by constraining the legislative speech by the Communist M</w:t>
      </w:r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>P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>Kanichi</w:t>
      </w:r>
      <w:proofErr w:type="spellEnd"/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Kawakami </w:t>
      </w:r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(parliamentary group leader) 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during Diet 50 in 1965 to have a smaller value than the speech by the LDP leader </w:t>
      </w:r>
      <w:proofErr w:type="spellStart"/>
      <w:r w:rsidRPr="009162C0">
        <w:rPr>
          <w:rFonts w:ascii="Times New Roman" w:hAnsi="Times New Roman" w:cs="Times New Roman"/>
          <w:sz w:val="24"/>
          <w:szCs w:val="24"/>
          <w:lang w:val="en-GB"/>
        </w:rPr>
        <w:t>Eisaku</w:t>
      </w:r>
      <w:proofErr w:type="spellEnd"/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162C0">
        <w:rPr>
          <w:rFonts w:ascii="Times New Roman" w:hAnsi="Times New Roman" w:cs="Times New Roman"/>
          <w:sz w:val="24"/>
          <w:szCs w:val="24"/>
          <w:lang w:val="en-GB"/>
        </w:rPr>
        <w:t>Satō</w:t>
      </w:r>
      <w:proofErr w:type="spellEnd"/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 in 1968 during Diet 59. Selecting other legislative speeches as constraints on the overall identification of the model does not affect any of the results reported in the text.</w:t>
      </w:r>
    </w:p>
    <w:p w:rsidR="00A373EB" w:rsidRPr="009162C0" w:rsidRDefault="00A373EB" w:rsidP="00A373EB">
      <w:pPr>
        <w:autoSpaceDE w:val="0"/>
        <w:spacing w:after="0" w:line="480" w:lineRule="auto"/>
        <w:ind w:firstLine="440"/>
        <w:jc w:val="both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9162C0">
        <w:rPr>
          <w:rFonts w:ascii="Times New Roman" w:hAnsi="Times New Roman" w:cs="Times New Roman"/>
          <w:sz w:val="24"/>
          <w:szCs w:val="24"/>
          <w:lang w:val="en-GB"/>
        </w:rPr>
        <w:t>Figure 1</w:t>
      </w:r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>A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 shows a scatterplot of each word in the two dimensions of beta (on the horizontal axis) and </w:t>
      </w:r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>psi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 (on the vertical axis) for the speeches analysed. The figure show</w:t>
      </w:r>
      <w:r w:rsidRPr="009162C0">
        <w:rPr>
          <w:rFonts w:ascii="Times New Roman" w:hAnsi="Times New Roman" w:cs="Times New Roman"/>
          <w:sz w:val="24"/>
          <w:szCs w:val="24"/>
          <w:lang w:val="en-GB" w:eastAsia="ja-JP"/>
        </w:rPr>
        <w:t>s</w:t>
      </w:r>
      <w:r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 that some words are located on the two extremes on the horizontal axis, scoring high positive or negative beta coefficients. As discussed, these words are powerful discriminators of party positions.</w:t>
      </w:r>
      <w:r w:rsidR="00055F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5F1D" w:rsidRPr="00FB1BBE">
        <w:rPr>
          <w:rFonts w:ascii="Times New Roman" w:hAnsi="Times New Roman" w:cs="Times New Roman"/>
          <w:sz w:val="24"/>
          <w:szCs w:val="24"/>
          <w:lang w:val="en-GB"/>
        </w:rPr>
        <w:t>In Figure 1</w:t>
      </w:r>
      <w:r w:rsidR="00055F1D" w:rsidRPr="009162C0">
        <w:rPr>
          <w:rFonts w:ascii="Times New Roman" w:hAnsi="Times New Roman" w:cs="Times New Roman"/>
          <w:sz w:val="24"/>
          <w:szCs w:val="24"/>
          <w:lang w:val="en-GB" w:eastAsia="ja-JP"/>
        </w:rPr>
        <w:t>A</w:t>
      </w:r>
      <w:r w:rsidR="00055F1D" w:rsidRPr="009162C0">
        <w:rPr>
          <w:rFonts w:ascii="Times New Roman" w:hAnsi="Times New Roman" w:cs="Times New Roman"/>
          <w:sz w:val="24"/>
          <w:szCs w:val="24"/>
          <w:lang w:val="en-GB"/>
        </w:rPr>
        <w:t xml:space="preserve"> we also show some selected words.</w:t>
      </w:r>
    </w:p>
    <w:p w:rsidR="00A373EB" w:rsidRDefault="00A373EB" w:rsidP="00A373EB">
      <w:pPr>
        <w:autoSpaceDE w:val="0"/>
        <w:spacing w:after="0" w:line="480" w:lineRule="auto"/>
        <w:ind w:firstLine="440"/>
        <w:jc w:val="both"/>
        <w:rPr>
          <w:rFonts w:ascii="Times New Roman" w:hAnsi="Times New Roman" w:cs="Times New Roman"/>
          <w:sz w:val="24"/>
          <w:szCs w:val="24"/>
          <w:lang w:val="en-GB" w:eastAsia="ja-JP"/>
        </w:rPr>
      </w:pPr>
    </w:p>
    <w:p w:rsidR="00CA1856" w:rsidRPr="009162C0" w:rsidRDefault="00CA1856" w:rsidP="00A373EB">
      <w:pPr>
        <w:autoSpaceDE w:val="0"/>
        <w:spacing w:after="0" w:line="480" w:lineRule="auto"/>
        <w:ind w:firstLine="440"/>
        <w:jc w:val="both"/>
        <w:rPr>
          <w:rFonts w:ascii="Times New Roman" w:hAnsi="Times New Roman" w:cs="Times New Roman"/>
          <w:sz w:val="24"/>
          <w:szCs w:val="24"/>
          <w:lang w:val="en-GB" w:eastAsia="ja-JP"/>
        </w:rPr>
      </w:pPr>
    </w:p>
    <w:p w:rsidR="00A373EB" w:rsidRPr="009162C0" w:rsidRDefault="00A373EB" w:rsidP="00A373EB">
      <w:pPr>
        <w:autoSpaceDE w:val="0"/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A373EB" w:rsidRPr="009162C0" w:rsidRDefault="00A373EB" w:rsidP="00A373EB">
      <w:pPr>
        <w:autoSpaceDE w:val="0"/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A373EB" w:rsidRPr="009162C0" w:rsidRDefault="00A373EB" w:rsidP="00A373EB">
      <w:pPr>
        <w:autoSpaceDE w:val="0"/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A373EB" w:rsidRPr="009162C0" w:rsidRDefault="00A373EB" w:rsidP="00A373EB">
      <w:pPr>
        <w:autoSpaceDE w:val="0"/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A373EB" w:rsidRPr="009162C0" w:rsidRDefault="00A373EB" w:rsidP="00A373EB">
      <w:pPr>
        <w:autoSpaceDE w:val="0"/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162C0">
        <w:rPr>
          <w:rFonts w:ascii="Times New Roman" w:hAnsi="Times New Roman" w:cs="Times New Roman"/>
          <w:i/>
          <w:sz w:val="24"/>
          <w:szCs w:val="24"/>
          <w:lang w:val="en-GB"/>
        </w:rPr>
        <w:t>Figure 1</w:t>
      </w:r>
      <w:r w:rsidRPr="009162C0">
        <w:rPr>
          <w:rFonts w:ascii="Times New Roman" w:hAnsi="Times New Roman" w:cs="Times New Roman"/>
          <w:i/>
          <w:sz w:val="24"/>
          <w:szCs w:val="24"/>
          <w:lang w:val="en-GB" w:eastAsia="ja-JP"/>
        </w:rPr>
        <w:t>A</w:t>
      </w:r>
      <w:r w:rsidRPr="009162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Word estimates according to </w:t>
      </w:r>
      <w:proofErr w:type="spellStart"/>
      <w:r w:rsidRPr="009162C0">
        <w:rPr>
          <w:rFonts w:ascii="Times New Roman" w:hAnsi="Times New Roman" w:cs="Times New Roman"/>
          <w:i/>
          <w:sz w:val="24"/>
          <w:szCs w:val="24"/>
          <w:lang w:val="en-GB"/>
        </w:rPr>
        <w:t>Wordfish</w:t>
      </w:r>
      <w:proofErr w:type="spellEnd"/>
      <w:r w:rsidRPr="009162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for the Japanese legislative speeches</w:t>
      </w:r>
      <w:r w:rsidR="009055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A373EB" w:rsidRPr="00E15545" w:rsidRDefault="00A373EB" w:rsidP="00A373EB">
      <w:pPr>
        <w:autoSpaceDE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155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666FA8" wp14:editId="13D64AAA">
            <wp:extent cx="5691728" cy="4175760"/>
            <wp:effectExtent l="0" t="0" r="4445" b="0"/>
            <wp:docPr id="5" name="Immagine 1" descr="C:\Users\curini\Dropbox\Legislative Speeches Project\February 2016\For words graphs\Figure very 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ini\Dropbox\Legislative Speeches Project\February 2016\For words graphs\Figure very la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48" cy="418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EB" w:rsidRDefault="00A373EB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055F1D" w:rsidRDefault="00055F1D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055F1D" w:rsidRDefault="00055F1D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055F1D" w:rsidRDefault="00055F1D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055F1D" w:rsidRDefault="00055F1D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055F1D" w:rsidRDefault="00055F1D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</w:p>
    <w:p w:rsidR="00407B0F" w:rsidRPr="00407B0F" w:rsidRDefault="00407B0F" w:rsidP="00A373EB">
      <w:pPr>
        <w:autoSpaceDE w:val="0"/>
        <w:spacing w:line="48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en-GB" w:eastAsia="ja-JP"/>
        </w:rPr>
      </w:pPr>
      <w:r w:rsidRPr="00407B0F">
        <w:rPr>
          <w:rFonts w:ascii="Times New Roman" w:hAnsi="Times New Roman" w:cs="Times New Roman"/>
          <w:b/>
          <w:i/>
          <w:sz w:val="24"/>
          <w:szCs w:val="24"/>
          <w:lang w:val="en-GB" w:eastAsia="ja-JP"/>
        </w:rPr>
        <w:lastRenderedPageBreak/>
        <w:t>The</w:t>
      </w:r>
      <w:r>
        <w:rPr>
          <w:rFonts w:ascii="Times New Roman" w:hAnsi="Times New Roman" w:cs="Times New Roman"/>
          <w:b/>
          <w:i/>
          <w:sz w:val="24"/>
          <w:szCs w:val="24"/>
          <w:lang w:val="en-GB" w:eastAsia="ja-JP"/>
        </w:rPr>
        <w:t xml:space="preserve"> estimated</w:t>
      </w:r>
      <w:r w:rsidRPr="00407B0F">
        <w:rPr>
          <w:rFonts w:ascii="Times New Roman" w:hAnsi="Times New Roman" w:cs="Times New Roman"/>
          <w:b/>
          <w:i/>
          <w:sz w:val="24"/>
          <w:szCs w:val="24"/>
          <w:lang w:val="en-GB" w:eastAsia="ja-JP"/>
        </w:rPr>
        <w:t xml:space="preserve"> statistical models for the survival rate of Japanese cabinets and the duration of Japanese cabinet bills</w:t>
      </w:r>
    </w:p>
    <w:p w:rsidR="00A373EB" w:rsidRPr="009162C0" w:rsidRDefault="00A373EB" w:rsidP="00A373EB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162C0">
        <w:rPr>
          <w:rFonts w:ascii="Times New Roman" w:hAnsi="Times New Roman" w:cs="Times New Roman"/>
          <w:i/>
          <w:sz w:val="24"/>
          <w:szCs w:val="24"/>
          <w:lang w:val="en-GB"/>
        </w:rPr>
        <w:t>Table 1A. Explanatory factors of the survival rate of Japanese cabinets</w:t>
      </w:r>
    </w:p>
    <w:p w:rsidR="00A373EB" w:rsidRPr="009162C0" w:rsidRDefault="00A373EB" w:rsidP="00A37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162C0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Pr="009162C0">
        <w:rPr>
          <w:rFonts w:ascii="Times New Roman" w:hAnsi="Times New Roman"/>
          <w:i/>
          <w:sz w:val="24"/>
          <w:lang w:val="en-GB"/>
        </w:rPr>
        <w:t>Discrete-time survival model– Cox regression</w:t>
      </w:r>
      <w:r w:rsidRPr="009162C0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3725"/>
        <w:gridCol w:w="2016"/>
        <w:gridCol w:w="2016"/>
        <w:gridCol w:w="2016"/>
      </w:tblGrid>
      <w:tr w:rsidR="00A373EB" w:rsidRPr="009162C0" w:rsidTr="00D050E2">
        <w:trPr>
          <w:jc w:val="center"/>
        </w:trPr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Model 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Model 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Model 3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IGO index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0.253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0.253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(0.100)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(0.100)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IP index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−0.046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−0.036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(0.117)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(0.121)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Number of parties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−0.267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−0.307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−0.252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(0.196)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(0.204)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(0.195)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 w:eastAsia="ja-JP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LDP strengt</w:t>
            </w:r>
            <w:r w:rsidRPr="009162C0">
              <w:rPr>
                <w:rFonts w:ascii="Times New Roman" w:hAnsi="Times New Roman" w:cs="Times New Roman"/>
                <w:lang w:val="en-GB" w:eastAsia="ja-JP"/>
              </w:rPr>
              <w:t>h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−5.057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−4.499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−5.078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(1.608)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(1.395)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(1.687)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Components of cabinet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0.570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0.475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0.564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(0.088)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(0.073)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(0.084)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Different majority in the Upper House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0.749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0.603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0.733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(0.232)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(0.253)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(0.255)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Approval rate of the cabinet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−0.036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−0.030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−0.036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</w:tr>
      <w:tr w:rsidR="00A373EB" w:rsidRPr="009162C0" w:rsidTr="00D050E2">
        <w:trPr>
          <w:trHeight w:val="135"/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(0.013)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(0.011)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(0.013)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Cycle of the Lower House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−0.005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−0.005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−0.006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(0.001)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(0.002)</w:t>
            </w:r>
          </w:p>
        </w:tc>
      </w:tr>
      <w:tr w:rsidR="00A373EB" w:rsidRPr="009162C0" w:rsidTr="00D050E2">
        <w:trPr>
          <w:trHeight w:val="60"/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Cycle of the Lower House squared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0.000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0.000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0.000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**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(0.000)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(0.000)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(0.000)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top w:val="single" w:sz="4" w:space="0" w:color="auto"/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Observations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74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74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74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i/>
                <w:iCs/>
                <w:lang w:val="en-GB"/>
              </w:rPr>
              <w:t>AIC</w:t>
            </w:r>
          </w:p>
        </w:tc>
        <w:tc>
          <w:tcPr>
            <w:tcW w:w="2016" w:type="dxa"/>
            <w:tcBorders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285.551</w:t>
            </w:r>
          </w:p>
        </w:tc>
        <w:tc>
          <w:tcPr>
            <w:tcW w:w="2016" w:type="dxa"/>
            <w:tcBorders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288.473</w:t>
            </w:r>
          </w:p>
        </w:tc>
        <w:tc>
          <w:tcPr>
            <w:tcW w:w="2016" w:type="dxa"/>
            <w:tcBorders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287.522</w:t>
            </w:r>
          </w:p>
        </w:tc>
      </w:tr>
      <w:tr w:rsidR="00A373EB" w:rsidRPr="009162C0" w:rsidTr="00D050E2">
        <w:trPr>
          <w:jc w:val="center"/>
        </w:trPr>
        <w:tc>
          <w:tcPr>
            <w:tcW w:w="3725" w:type="dxa"/>
            <w:tcBorders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Log Pseudolikelihood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−134.775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−136.236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−134.761</w:t>
            </w:r>
          </w:p>
        </w:tc>
      </w:tr>
    </w:tbl>
    <w:p w:rsidR="00A373EB" w:rsidRPr="009162C0" w:rsidRDefault="00A373EB" w:rsidP="00A3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162C0">
        <w:rPr>
          <w:rFonts w:ascii="Times New Roman" w:hAnsi="Times New Roman" w:cs="Times New Roman"/>
          <w:sz w:val="20"/>
          <w:szCs w:val="20"/>
          <w:lang w:val="en-GB"/>
        </w:rPr>
        <w:t>Clustered standard errors on Legislature in parentheses</w:t>
      </w:r>
    </w:p>
    <w:p w:rsidR="00A373EB" w:rsidRPr="009162C0" w:rsidRDefault="00A373EB" w:rsidP="00A3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162C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+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162C0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&lt; 0.10, </w:t>
      </w:r>
      <w:r w:rsidRPr="009162C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162C0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&lt; 0.05, </w:t>
      </w:r>
      <w:r w:rsidRPr="009162C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**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162C0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&lt; 0.01, </w:t>
      </w:r>
      <w:r w:rsidRPr="009162C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***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162C0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&lt; 0.001</w:t>
      </w: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A1856" w:rsidRPr="009162C0" w:rsidRDefault="00CA1856" w:rsidP="00CA1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A373EB" w:rsidRPr="009162C0" w:rsidRDefault="00A373EB" w:rsidP="00A37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162C0">
        <w:rPr>
          <w:rFonts w:ascii="Times New Roman" w:hAnsi="Times New Roman" w:cs="Times New Roman"/>
          <w:i/>
          <w:sz w:val="24"/>
          <w:szCs w:val="24"/>
          <w:lang w:val="en-GB"/>
        </w:rPr>
        <w:t>Table 2A. Determinants of the duration of Japanese cabinet bills</w:t>
      </w:r>
    </w:p>
    <w:p w:rsidR="00A373EB" w:rsidRPr="009162C0" w:rsidRDefault="00A373EB" w:rsidP="00A37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162C0">
        <w:rPr>
          <w:rFonts w:ascii="Times New Roman" w:hAnsi="Times New Roman" w:cs="Times New Roman"/>
          <w:i/>
          <w:sz w:val="24"/>
          <w:szCs w:val="24"/>
          <w:lang w:val="en-GB"/>
        </w:rPr>
        <w:t>(Fractional Logit Model)</w:t>
      </w:r>
    </w:p>
    <w:tbl>
      <w:tblPr>
        <w:tblW w:w="10313" w:type="dxa"/>
        <w:jc w:val="center"/>
        <w:tblLayout w:type="fixed"/>
        <w:tblLook w:val="0000" w:firstRow="0" w:lastRow="0" w:firstColumn="0" w:lastColumn="0" w:noHBand="0" w:noVBand="0"/>
      </w:tblPr>
      <w:tblGrid>
        <w:gridCol w:w="4265"/>
        <w:gridCol w:w="2016"/>
        <w:gridCol w:w="2016"/>
        <w:gridCol w:w="2016"/>
      </w:tblGrid>
      <w:tr w:rsidR="00A373EB" w:rsidRPr="009162C0" w:rsidTr="00D050E2">
        <w:trPr>
          <w:jc w:val="center"/>
        </w:trPr>
        <w:tc>
          <w:tcPr>
            <w:tcW w:w="4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Model 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Model 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Model 6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IGO index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0.325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0.321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(0.156)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(0.151)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IP index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0.097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0.075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(0.196)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(0.178)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Number of parties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−0.017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−0.016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(0.214)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(0.200)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(0.205)</w:t>
            </w:r>
          </w:p>
        </w:tc>
      </w:tr>
      <w:tr w:rsidR="00A373EB" w:rsidRPr="009162C0" w:rsidTr="00D050E2">
        <w:trPr>
          <w:trHeight w:val="104"/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LDP strength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−1.791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1.337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−1.379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(5.207)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(5.210)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(5.459)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Components of cabinet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−0.220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−0.243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−0.199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(0.138)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(0.150)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(0.151)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Majority different in the Upper House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−0.625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−0.492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−0.539</w:t>
            </w:r>
            <w:r w:rsidRPr="009162C0">
              <w:rPr>
                <w:rFonts w:ascii="Times New Roman" w:hAnsi="Times New Roman" w:cs="Times New Roman"/>
                <w:vertAlign w:val="superscript"/>
                <w:lang w:val="en-GB"/>
              </w:rPr>
              <w:t>+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(0.266)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(0.365)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(0.315)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Cycle of the Lower House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(0.001)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(0.001)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(0.001)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Cycle of the Lower House squared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−0.000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(0.000)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- Constant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−0.245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−0.297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−0.641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(3.724)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(4.347)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(4.097)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top w:val="single" w:sz="4" w:space="0" w:color="auto"/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Observations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49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49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49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i/>
                <w:iCs/>
                <w:lang w:val="en-GB"/>
              </w:rPr>
              <w:t>AIC</w:t>
            </w:r>
          </w:p>
        </w:tc>
        <w:tc>
          <w:tcPr>
            <w:tcW w:w="2016" w:type="dxa"/>
            <w:tcBorders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60.567</w:t>
            </w:r>
          </w:p>
        </w:tc>
        <w:tc>
          <w:tcPr>
            <w:tcW w:w="2016" w:type="dxa"/>
            <w:tcBorders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61.149</w:t>
            </w:r>
          </w:p>
        </w:tc>
        <w:tc>
          <w:tcPr>
            <w:tcW w:w="2016" w:type="dxa"/>
            <w:tcBorders>
              <w:left w:val="nil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62.543</w:t>
            </w:r>
          </w:p>
        </w:tc>
      </w:tr>
      <w:tr w:rsidR="00A373EB" w:rsidRPr="009162C0" w:rsidTr="00D050E2">
        <w:trPr>
          <w:jc w:val="center"/>
        </w:trPr>
        <w:tc>
          <w:tcPr>
            <w:tcW w:w="4265" w:type="dxa"/>
            <w:tcBorders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Log Pseudolikelihood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−22.283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−22.575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:rsidR="00A373EB" w:rsidRPr="009162C0" w:rsidRDefault="00A373EB" w:rsidP="00D0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162C0">
              <w:rPr>
                <w:rFonts w:ascii="Times New Roman" w:hAnsi="Times New Roman" w:cs="Times New Roman"/>
                <w:lang w:val="en-GB"/>
              </w:rPr>
              <w:t>−22.272</w:t>
            </w:r>
          </w:p>
        </w:tc>
      </w:tr>
    </w:tbl>
    <w:p w:rsidR="00A373EB" w:rsidRPr="009162C0" w:rsidRDefault="00A373EB" w:rsidP="00A3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162C0">
        <w:rPr>
          <w:rFonts w:ascii="Times New Roman" w:hAnsi="Times New Roman" w:cs="Times New Roman"/>
          <w:sz w:val="20"/>
          <w:szCs w:val="20"/>
          <w:lang w:val="en-GB"/>
        </w:rPr>
        <w:t>Clustered standard errors on Legislature in parentheses</w:t>
      </w:r>
    </w:p>
    <w:p w:rsidR="00A373EB" w:rsidRPr="008418DF" w:rsidRDefault="00A373EB" w:rsidP="00A3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162C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+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162C0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&lt; 0.10, </w:t>
      </w:r>
      <w:r w:rsidRPr="009162C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162C0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&lt; 0.05, </w:t>
      </w:r>
      <w:r w:rsidRPr="009162C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**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162C0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&lt; 0.01, </w:t>
      </w:r>
      <w:r w:rsidRPr="009162C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***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162C0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162C0">
        <w:rPr>
          <w:rFonts w:ascii="Times New Roman" w:hAnsi="Times New Roman" w:cs="Times New Roman"/>
          <w:sz w:val="20"/>
          <w:szCs w:val="20"/>
          <w:lang w:val="en-GB"/>
        </w:rPr>
        <w:t xml:space="preserve"> &lt; 0.001</w:t>
      </w:r>
    </w:p>
    <w:p w:rsidR="00A373EB" w:rsidRPr="008418DF" w:rsidRDefault="00A373EB" w:rsidP="00A37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03A55" w:rsidRDefault="00B03A55"/>
    <w:sectPr w:rsidR="00B03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HG明朝B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EB"/>
    <w:rsid w:val="00055F1D"/>
    <w:rsid w:val="00407B0F"/>
    <w:rsid w:val="00612F4E"/>
    <w:rsid w:val="008A541A"/>
    <w:rsid w:val="009055EE"/>
    <w:rsid w:val="00A373EB"/>
    <w:rsid w:val="00A8291E"/>
    <w:rsid w:val="00B03A55"/>
    <w:rsid w:val="00CA1856"/>
    <w:rsid w:val="00E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7847"/>
  <w15:docId w15:val="{2989353D-55C5-4F18-9386-B5EC4D2E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3EB"/>
    <w:rPr>
      <w:rFonts w:eastAsiaTheme="minorEastAsia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E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5" baseType="lpstr">
      <vt:lpstr/>
      <vt:lpstr/>
      <vt:lpstr>Appendix to “The Intensity of Government–Opposition Divide as Measured through L</vt:lpstr>
      <vt:lpstr>APPENDIX A</vt:lpstr>
      <vt:lpstr/>
      <vt:lpstr/>
      <vt:lpstr/>
      <vt:lpstr/>
      <vt:lpstr/>
      <vt:lpstr/>
      <vt:lpstr/>
      <vt:lpstr/>
      <vt:lpstr/>
      <vt:lpstr>APPENDIX B</vt:lpstr>
      <vt:lpstr>Table 1A. Explanatory factors of the survival rate of Japanese cabinets</vt:lpstr>
    </vt:vector>
  </TitlesOfParts>
  <Company>Hewlett-Packard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</dc:creator>
  <cp:lastModifiedBy>Jess</cp:lastModifiedBy>
  <cp:revision>2</cp:revision>
  <dcterms:created xsi:type="dcterms:W3CDTF">2018-05-05T16:38:00Z</dcterms:created>
  <dcterms:modified xsi:type="dcterms:W3CDTF">2018-05-05T16:38:00Z</dcterms:modified>
</cp:coreProperties>
</file>