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D210E" w14:textId="563AA2E7" w:rsidR="00032CBF" w:rsidRDefault="004354D3" w:rsidP="00032CBF">
      <w:pPr>
        <w:pStyle w:val="Articletitle"/>
      </w:pPr>
      <w:bookmarkStart w:id="0" w:name="_Hlk45984991"/>
      <w:bookmarkStart w:id="1" w:name="_Hlk20148589"/>
      <w:r w:rsidRPr="00052FCB">
        <w:rPr>
          <w:lang w:eastAsia="zh-CN"/>
        </w:rPr>
        <w:t xml:space="preserve">Appendix – </w:t>
      </w:r>
      <w:r w:rsidR="00032CBF" w:rsidRPr="00032CBF">
        <w:t>How Do Populist Radical Right Parties Differentiate their Appeal? Evidence from the Media Strategy of the Hungarian Jobbik Party</w:t>
      </w:r>
    </w:p>
    <w:p w14:paraId="1FB8A738" w14:textId="5A8E8E8C" w:rsidR="00032CBF" w:rsidRPr="00032CBF" w:rsidRDefault="00032CBF" w:rsidP="00032CBF">
      <w:pPr>
        <w:pStyle w:val="Authornames"/>
      </w:pPr>
      <w:r w:rsidRPr="001A6C1F">
        <w:t>Endre Borbáth and Theresa Gessle</w:t>
      </w:r>
      <w:r>
        <w:t>r</w:t>
      </w:r>
    </w:p>
    <w:sdt>
      <w:sdtPr>
        <w:id w:val="-1116368853"/>
        <w:docPartObj>
          <w:docPartGallery w:val="Table of Contents"/>
          <w:docPartUnique/>
        </w:docPartObj>
      </w:sdtPr>
      <w:sdtEndPr>
        <w:rPr>
          <w:b/>
          <w:bCs/>
          <w:noProof/>
        </w:rPr>
      </w:sdtEndPr>
      <w:sdtContent>
        <w:p w14:paraId="1C1CD042" w14:textId="77777777" w:rsidR="004354D3" w:rsidRPr="00052FCB" w:rsidRDefault="004354D3" w:rsidP="004354D3">
          <w:pPr>
            <w:keepNext/>
            <w:keepLines/>
            <w:spacing w:before="240"/>
            <w:rPr>
              <w:rFonts w:ascii="Cambria" w:hAnsi="Cambria"/>
              <w:color w:val="365F91"/>
              <w:sz w:val="32"/>
              <w:szCs w:val="32"/>
            </w:rPr>
          </w:pPr>
        </w:p>
        <w:p w14:paraId="186E3DA2" w14:textId="0BB466B9" w:rsidR="004354D3" w:rsidRDefault="004354D3" w:rsidP="004354D3">
          <w:pPr>
            <w:pStyle w:val="TOC1"/>
            <w:tabs>
              <w:tab w:val="right" w:leader="dot" w:pos="9055"/>
            </w:tabs>
            <w:spacing w:line="480" w:lineRule="auto"/>
            <w:rPr>
              <w:rFonts w:asciiTheme="minorHAnsi" w:eastAsiaTheme="minorEastAsia" w:hAnsiTheme="minorHAnsi" w:cstheme="minorBidi"/>
              <w:noProof/>
              <w:szCs w:val="24"/>
              <w:lang w:eastAsia="en-GB"/>
            </w:rPr>
          </w:pPr>
          <w:r w:rsidRPr="008F0116">
            <w:rPr>
              <w:rFonts w:eastAsia="Times New Roman"/>
              <w:szCs w:val="24"/>
              <w:lang w:val="en-GB" w:eastAsia="en-GB"/>
            </w:rPr>
            <w:fldChar w:fldCharType="begin"/>
          </w:r>
          <w:r w:rsidRPr="008F0116">
            <w:rPr>
              <w:rFonts w:eastAsia="Times New Roman"/>
              <w:szCs w:val="24"/>
              <w:lang w:val="en-GB" w:eastAsia="en-GB"/>
            </w:rPr>
            <w:instrText xml:space="preserve"> TOC \o "1-3" \h \z \u </w:instrText>
          </w:r>
          <w:r w:rsidRPr="008F0116">
            <w:rPr>
              <w:rFonts w:eastAsia="Times New Roman"/>
              <w:szCs w:val="24"/>
              <w:lang w:val="en-GB" w:eastAsia="en-GB"/>
            </w:rPr>
            <w:fldChar w:fldCharType="separate"/>
          </w:r>
          <w:hyperlink w:anchor="_Toc65761302" w:history="1">
            <w:r w:rsidRPr="0010049E">
              <w:rPr>
                <w:rStyle w:val="Hyperlink"/>
                <w:noProof/>
              </w:rPr>
              <w:t>Appendix A: Dictionary for populism and nativism</w:t>
            </w:r>
            <w:r>
              <w:rPr>
                <w:noProof/>
                <w:webHidden/>
              </w:rPr>
              <w:tab/>
            </w:r>
            <w:r>
              <w:rPr>
                <w:noProof/>
                <w:webHidden/>
              </w:rPr>
              <w:fldChar w:fldCharType="begin"/>
            </w:r>
            <w:r>
              <w:rPr>
                <w:noProof/>
                <w:webHidden/>
              </w:rPr>
              <w:instrText xml:space="preserve"> PAGEREF _Toc65761302 \h </w:instrText>
            </w:r>
            <w:r>
              <w:rPr>
                <w:noProof/>
                <w:webHidden/>
              </w:rPr>
            </w:r>
            <w:r>
              <w:rPr>
                <w:noProof/>
                <w:webHidden/>
              </w:rPr>
              <w:fldChar w:fldCharType="separate"/>
            </w:r>
            <w:r w:rsidR="00F60488">
              <w:rPr>
                <w:noProof/>
                <w:webHidden/>
              </w:rPr>
              <w:t>1</w:t>
            </w:r>
            <w:r>
              <w:rPr>
                <w:noProof/>
                <w:webHidden/>
              </w:rPr>
              <w:fldChar w:fldCharType="end"/>
            </w:r>
          </w:hyperlink>
        </w:p>
        <w:p w14:paraId="583F3888" w14:textId="0EDFC2EE" w:rsidR="004354D3" w:rsidRDefault="005E0536" w:rsidP="004354D3">
          <w:pPr>
            <w:pStyle w:val="TOC1"/>
            <w:tabs>
              <w:tab w:val="right" w:leader="dot" w:pos="9055"/>
            </w:tabs>
            <w:spacing w:line="480" w:lineRule="auto"/>
            <w:rPr>
              <w:rFonts w:asciiTheme="minorHAnsi" w:eastAsiaTheme="minorEastAsia" w:hAnsiTheme="minorHAnsi" w:cstheme="minorBidi"/>
              <w:noProof/>
              <w:szCs w:val="24"/>
              <w:lang w:eastAsia="en-GB"/>
            </w:rPr>
          </w:pPr>
          <w:hyperlink w:anchor="_Toc65761303" w:history="1">
            <w:r w:rsidR="004354D3" w:rsidRPr="0010049E">
              <w:rPr>
                <w:rStyle w:val="Hyperlink"/>
                <w:noProof/>
              </w:rPr>
              <w:t>Appendix B: Additional figures and tables</w:t>
            </w:r>
            <w:r w:rsidR="004354D3">
              <w:rPr>
                <w:noProof/>
                <w:webHidden/>
              </w:rPr>
              <w:tab/>
            </w:r>
            <w:r w:rsidR="004354D3">
              <w:rPr>
                <w:noProof/>
                <w:webHidden/>
              </w:rPr>
              <w:fldChar w:fldCharType="begin"/>
            </w:r>
            <w:r w:rsidR="004354D3">
              <w:rPr>
                <w:noProof/>
                <w:webHidden/>
              </w:rPr>
              <w:instrText xml:space="preserve"> PAGEREF _Toc65761303 \h </w:instrText>
            </w:r>
            <w:r w:rsidR="004354D3">
              <w:rPr>
                <w:noProof/>
                <w:webHidden/>
              </w:rPr>
            </w:r>
            <w:r w:rsidR="004354D3">
              <w:rPr>
                <w:noProof/>
                <w:webHidden/>
              </w:rPr>
              <w:fldChar w:fldCharType="separate"/>
            </w:r>
            <w:r w:rsidR="00F60488">
              <w:rPr>
                <w:noProof/>
                <w:webHidden/>
              </w:rPr>
              <w:t>8</w:t>
            </w:r>
            <w:r w:rsidR="004354D3">
              <w:rPr>
                <w:noProof/>
                <w:webHidden/>
              </w:rPr>
              <w:fldChar w:fldCharType="end"/>
            </w:r>
          </w:hyperlink>
        </w:p>
        <w:p w14:paraId="0C689A97" w14:textId="39DADD40" w:rsidR="004354D3" w:rsidRDefault="005E0536" w:rsidP="004354D3">
          <w:pPr>
            <w:pStyle w:val="TOC1"/>
            <w:tabs>
              <w:tab w:val="right" w:leader="dot" w:pos="9055"/>
            </w:tabs>
            <w:spacing w:line="480" w:lineRule="auto"/>
            <w:rPr>
              <w:rFonts w:asciiTheme="minorHAnsi" w:eastAsiaTheme="minorEastAsia" w:hAnsiTheme="minorHAnsi" w:cstheme="minorBidi"/>
              <w:noProof/>
              <w:szCs w:val="24"/>
              <w:lang w:eastAsia="en-GB"/>
            </w:rPr>
          </w:pPr>
          <w:hyperlink w:anchor="_Toc65761304" w:history="1">
            <w:r w:rsidR="004354D3" w:rsidRPr="0010049E">
              <w:rPr>
                <w:rStyle w:val="Hyperlink"/>
                <w:noProof/>
              </w:rPr>
              <w:t>Appendix C: Content based transformation of nativism and populism</w:t>
            </w:r>
            <w:r w:rsidR="004354D3">
              <w:rPr>
                <w:noProof/>
                <w:webHidden/>
              </w:rPr>
              <w:tab/>
            </w:r>
            <w:r w:rsidR="004354D3">
              <w:rPr>
                <w:noProof/>
                <w:webHidden/>
              </w:rPr>
              <w:fldChar w:fldCharType="begin"/>
            </w:r>
            <w:r w:rsidR="004354D3">
              <w:rPr>
                <w:noProof/>
                <w:webHidden/>
              </w:rPr>
              <w:instrText xml:space="preserve"> PAGEREF _Toc65761304 \h </w:instrText>
            </w:r>
            <w:r w:rsidR="004354D3">
              <w:rPr>
                <w:noProof/>
                <w:webHidden/>
              </w:rPr>
            </w:r>
            <w:r w:rsidR="004354D3">
              <w:rPr>
                <w:noProof/>
                <w:webHidden/>
              </w:rPr>
              <w:fldChar w:fldCharType="separate"/>
            </w:r>
            <w:r w:rsidR="00F60488">
              <w:rPr>
                <w:noProof/>
                <w:webHidden/>
              </w:rPr>
              <w:t>12</w:t>
            </w:r>
            <w:r w:rsidR="004354D3">
              <w:rPr>
                <w:noProof/>
                <w:webHidden/>
              </w:rPr>
              <w:fldChar w:fldCharType="end"/>
            </w:r>
          </w:hyperlink>
        </w:p>
        <w:p w14:paraId="23FF5CE3" w14:textId="4DE86F92" w:rsidR="004354D3" w:rsidRDefault="005E0536" w:rsidP="004354D3">
          <w:pPr>
            <w:pStyle w:val="TOC1"/>
            <w:tabs>
              <w:tab w:val="right" w:leader="dot" w:pos="9055"/>
            </w:tabs>
            <w:spacing w:line="480" w:lineRule="auto"/>
            <w:rPr>
              <w:rFonts w:asciiTheme="minorHAnsi" w:eastAsiaTheme="minorEastAsia" w:hAnsiTheme="minorHAnsi" w:cstheme="minorBidi"/>
              <w:noProof/>
              <w:szCs w:val="24"/>
              <w:lang w:eastAsia="en-GB"/>
            </w:rPr>
          </w:pPr>
          <w:hyperlink w:anchor="_Toc65761305" w:history="1">
            <w:r w:rsidR="004354D3" w:rsidRPr="0010049E">
              <w:rPr>
                <w:rStyle w:val="Hyperlink"/>
                <w:noProof/>
              </w:rPr>
              <w:t>Appendix D: Distribution of documents classified with a proportional measure</w:t>
            </w:r>
            <w:r w:rsidR="004354D3">
              <w:rPr>
                <w:noProof/>
                <w:webHidden/>
              </w:rPr>
              <w:tab/>
            </w:r>
            <w:r w:rsidR="004354D3">
              <w:rPr>
                <w:noProof/>
                <w:webHidden/>
              </w:rPr>
              <w:fldChar w:fldCharType="begin"/>
            </w:r>
            <w:r w:rsidR="004354D3">
              <w:rPr>
                <w:noProof/>
                <w:webHidden/>
              </w:rPr>
              <w:instrText xml:space="preserve"> PAGEREF _Toc65761305 \h </w:instrText>
            </w:r>
            <w:r w:rsidR="004354D3">
              <w:rPr>
                <w:noProof/>
                <w:webHidden/>
              </w:rPr>
            </w:r>
            <w:r w:rsidR="004354D3">
              <w:rPr>
                <w:noProof/>
                <w:webHidden/>
              </w:rPr>
              <w:fldChar w:fldCharType="separate"/>
            </w:r>
            <w:r w:rsidR="00F60488">
              <w:rPr>
                <w:noProof/>
                <w:webHidden/>
              </w:rPr>
              <w:t>14</w:t>
            </w:r>
            <w:r w:rsidR="004354D3">
              <w:rPr>
                <w:noProof/>
                <w:webHidden/>
              </w:rPr>
              <w:fldChar w:fldCharType="end"/>
            </w:r>
          </w:hyperlink>
        </w:p>
        <w:p w14:paraId="169B35A0" w14:textId="77777777" w:rsidR="004354D3" w:rsidRPr="00052FCB" w:rsidRDefault="004354D3" w:rsidP="004354D3">
          <w:pPr>
            <w:rPr>
              <w:b/>
              <w:bCs/>
              <w:noProof/>
            </w:rPr>
          </w:pPr>
          <w:r w:rsidRPr="008F0116">
            <w:rPr>
              <w:bCs/>
              <w:noProof/>
            </w:rPr>
            <w:fldChar w:fldCharType="end"/>
          </w:r>
        </w:p>
      </w:sdtContent>
    </w:sdt>
    <w:bookmarkEnd w:id="1" w:displacedByCustomXml="prev"/>
    <w:p w14:paraId="4A2DFE59" w14:textId="77777777" w:rsidR="00032CBF" w:rsidRDefault="00032CBF" w:rsidP="004354D3"/>
    <w:p w14:paraId="0E10E85D" w14:textId="77777777" w:rsidR="00032CBF" w:rsidRDefault="00032CBF" w:rsidP="004354D3"/>
    <w:p w14:paraId="0678BB88" w14:textId="4C77C53B" w:rsidR="00032CBF" w:rsidRDefault="00032CBF" w:rsidP="004354D3">
      <w:r>
        <w:t xml:space="preserve">Replication material available at </w:t>
      </w:r>
      <w:hyperlink r:id="rId8" w:history="1">
        <w:r w:rsidRPr="0011510C">
          <w:rPr>
            <w:rStyle w:val="Hyperlink"/>
          </w:rPr>
          <w:t>https://doi.org/10.7910/DVN/NYMEP5</w:t>
        </w:r>
      </w:hyperlink>
      <w:r>
        <w:t xml:space="preserve"> </w:t>
      </w:r>
    </w:p>
    <w:p w14:paraId="5B6507B3" w14:textId="39AEEAF6" w:rsidR="004354D3" w:rsidRPr="00052FCB" w:rsidRDefault="004354D3" w:rsidP="004354D3">
      <w:r w:rsidRPr="00052FCB">
        <w:br w:type="page"/>
      </w:r>
    </w:p>
    <w:p w14:paraId="4DE5504B" w14:textId="77777777" w:rsidR="004354D3" w:rsidRDefault="004354D3" w:rsidP="004354D3">
      <w:pPr>
        <w:pStyle w:val="Heading1"/>
      </w:pPr>
      <w:bookmarkStart w:id="2" w:name="_Toc65761302"/>
      <w:r>
        <w:lastRenderedPageBreak/>
        <w:t xml:space="preserve">Appendix </w:t>
      </w:r>
      <w:r w:rsidRPr="00052FCB">
        <w:t xml:space="preserve">A: </w:t>
      </w:r>
      <w:r>
        <w:t>D</w:t>
      </w:r>
      <w:r w:rsidRPr="00052FCB">
        <w:t>ictionary</w:t>
      </w:r>
      <w:r>
        <w:t xml:space="preserve"> for populism and nativism</w:t>
      </w:r>
      <w:bookmarkEnd w:id="2"/>
    </w:p>
    <w:p w14:paraId="71462728" w14:textId="77777777" w:rsidR="004354D3" w:rsidRDefault="004354D3" w:rsidP="004354D3">
      <w:pPr>
        <w:pStyle w:val="Tabletitle"/>
        <w:jc w:val="both"/>
      </w:pPr>
      <w:r>
        <w:t>In the current appendix we present further details of the dictionary we constructed. First in table 1 we list the terms we include to detect anti-elitism, people-centrism and nativism. As discussed in the paper, we classify documents as populist if they include at least one word from each of the two dimensions of populism: anti-elitism and people-centrism.  We classify documents as nativist, when they include at least one term from the nativism dictionary.</w:t>
      </w:r>
    </w:p>
    <w:p w14:paraId="2B592889" w14:textId="77777777" w:rsidR="004354D3" w:rsidRPr="00052FCB" w:rsidRDefault="004354D3" w:rsidP="004354D3">
      <w:pPr>
        <w:pStyle w:val="Tabletitle"/>
      </w:pPr>
      <w:r w:rsidRPr="00052FCB">
        <w:t xml:space="preserve">Table </w:t>
      </w:r>
      <w:fldSimple w:instr=" SEQ Table \* ARABIC ">
        <w:r>
          <w:rPr>
            <w:noProof/>
          </w:rPr>
          <w:t>1</w:t>
        </w:r>
      </w:fldSimple>
      <w:r w:rsidRPr="00052FCB">
        <w:t>: Terms in the dictionary</w:t>
      </w:r>
    </w:p>
    <w:tbl>
      <w:tblPr>
        <w:tblW w:w="8779" w:type="dxa"/>
        <w:tblLook w:val="04A0" w:firstRow="1" w:lastRow="0" w:firstColumn="1" w:lastColumn="0" w:noHBand="0" w:noVBand="1"/>
      </w:tblPr>
      <w:tblGrid>
        <w:gridCol w:w="1391"/>
        <w:gridCol w:w="1641"/>
        <w:gridCol w:w="3244"/>
        <w:gridCol w:w="2769"/>
      </w:tblGrid>
      <w:tr w:rsidR="004354D3" w:rsidRPr="00052FCB" w14:paraId="139250EC" w14:textId="77777777" w:rsidTr="008802EE">
        <w:trPr>
          <w:trHeight w:val="300"/>
        </w:trPr>
        <w:tc>
          <w:tcPr>
            <w:tcW w:w="14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74E51E" w14:textId="77777777" w:rsidR="004354D3" w:rsidRPr="00052FCB" w:rsidRDefault="004354D3" w:rsidP="008802EE">
            <w:pPr>
              <w:spacing w:line="240" w:lineRule="auto"/>
              <w:rPr>
                <w:b/>
                <w:bCs/>
                <w:color w:val="000000"/>
              </w:rPr>
            </w:pPr>
            <w:bookmarkStart w:id="3" w:name="RANGE!A1"/>
            <w:bookmarkStart w:id="4" w:name="_Hlk11853956" w:colFirst="1" w:colLast="3"/>
            <w:r w:rsidRPr="00052FCB">
              <w:rPr>
                <w:b/>
                <w:bCs/>
                <w:color w:val="000000"/>
              </w:rPr>
              <w:t>Concept</w:t>
            </w:r>
            <w:bookmarkEnd w:id="3"/>
          </w:p>
        </w:tc>
        <w:tc>
          <w:tcPr>
            <w:tcW w:w="1697" w:type="dxa"/>
            <w:tcBorders>
              <w:top w:val="single" w:sz="8" w:space="0" w:color="auto"/>
              <w:left w:val="nil"/>
              <w:bottom w:val="single" w:sz="8" w:space="0" w:color="auto"/>
              <w:right w:val="single" w:sz="8" w:space="0" w:color="auto"/>
            </w:tcBorders>
            <w:shd w:val="clear" w:color="auto" w:fill="auto"/>
            <w:noWrap/>
            <w:vAlign w:val="center"/>
            <w:hideMark/>
          </w:tcPr>
          <w:p w14:paraId="1D865F1B" w14:textId="77777777" w:rsidR="004354D3" w:rsidRPr="00052FCB" w:rsidRDefault="004354D3" w:rsidP="008802EE">
            <w:pPr>
              <w:spacing w:line="240" w:lineRule="auto"/>
              <w:rPr>
                <w:b/>
                <w:bCs/>
                <w:color w:val="000000"/>
              </w:rPr>
            </w:pPr>
            <w:r w:rsidRPr="00052FCB">
              <w:rPr>
                <w:b/>
                <w:bCs/>
                <w:color w:val="000000"/>
              </w:rPr>
              <w:t>Source</w:t>
            </w:r>
          </w:p>
        </w:tc>
        <w:tc>
          <w:tcPr>
            <w:tcW w:w="3363" w:type="dxa"/>
            <w:tcBorders>
              <w:top w:val="single" w:sz="8" w:space="0" w:color="auto"/>
              <w:left w:val="nil"/>
              <w:bottom w:val="single" w:sz="8" w:space="0" w:color="auto"/>
              <w:right w:val="single" w:sz="8" w:space="0" w:color="auto"/>
            </w:tcBorders>
            <w:shd w:val="clear" w:color="auto" w:fill="auto"/>
            <w:noWrap/>
            <w:vAlign w:val="center"/>
            <w:hideMark/>
          </w:tcPr>
          <w:p w14:paraId="46FB52EB" w14:textId="77777777" w:rsidR="004354D3" w:rsidRPr="00052FCB" w:rsidRDefault="004354D3" w:rsidP="008802EE">
            <w:pPr>
              <w:spacing w:line="240" w:lineRule="auto"/>
              <w:rPr>
                <w:b/>
                <w:bCs/>
                <w:color w:val="000000"/>
              </w:rPr>
            </w:pPr>
            <w:r w:rsidRPr="00052FCB">
              <w:rPr>
                <w:b/>
                <w:bCs/>
                <w:color w:val="000000"/>
              </w:rPr>
              <w:t>Hungarian</w:t>
            </w:r>
          </w:p>
        </w:tc>
        <w:tc>
          <w:tcPr>
            <w:tcW w:w="2281" w:type="dxa"/>
            <w:tcBorders>
              <w:top w:val="single" w:sz="8" w:space="0" w:color="auto"/>
              <w:left w:val="nil"/>
              <w:bottom w:val="single" w:sz="8" w:space="0" w:color="auto"/>
              <w:right w:val="single" w:sz="8" w:space="0" w:color="auto"/>
            </w:tcBorders>
            <w:shd w:val="clear" w:color="auto" w:fill="auto"/>
            <w:noWrap/>
            <w:vAlign w:val="center"/>
            <w:hideMark/>
          </w:tcPr>
          <w:p w14:paraId="32A8DF7B" w14:textId="77777777" w:rsidR="004354D3" w:rsidRPr="00052FCB" w:rsidRDefault="004354D3" w:rsidP="008802EE">
            <w:pPr>
              <w:spacing w:line="240" w:lineRule="auto"/>
              <w:rPr>
                <w:b/>
                <w:bCs/>
                <w:color w:val="000000"/>
              </w:rPr>
            </w:pPr>
            <w:r w:rsidRPr="00052FCB">
              <w:rPr>
                <w:b/>
                <w:bCs/>
                <w:color w:val="000000"/>
              </w:rPr>
              <w:t>English (approximate translation)</w:t>
            </w:r>
          </w:p>
        </w:tc>
      </w:tr>
      <w:tr w:rsidR="004354D3" w:rsidRPr="00052FCB" w14:paraId="115F8338" w14:textId="77777777" w:rsidTr="008802EE">
        <w:trPr>
          <w:trHeight w:val="300"/>
        </w:trPr>
        <w:tc>
          <w:tcPr>
            <w:tcW w:w="14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371C0A" w14:textId="77777777" w:rsidR="004354D3" w:rsidRPr="00052FCB" w:rsidRDefault="004354D3" w:rsidP="008802EE">
            <w:pPr>
              <w:spacing w:line="240" w:lineRule="auto"/>
              <w:rPr>
                <w:color w:val="000000"/>
              </w:rPr>
            </w:pPr>
            <w:r w:rsidRPr="00052FCB">
              <w:rPr>
                <w:color w:val="000000"/>
              </w:rPr>
              <w:t>Anti-elitism</w:t>
            </w: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3B8F37" w14:textId="77777777" w:rsidR="004354D3" w:rsidRPr="00052FCB" w:rsidRDefault="004354D3" w:rsidP="008802EE">
            <w:pPr>
              <w:spacing w:line="240" w:lineRule="auto"/>
              <w:jc w:val="center"/>
              <w:rPr>
                <w:color w:val="000000"/>
              </w:rPr>
            </w:pPr>
            <w:r w:rsidRPr="00052FCB">
              <w:rPr>
                <w:color w:val="000000"/>
              </w:rPr>
              <w:t>Previous Literature</w:t>
            </w:r>
          </w:p>
        </w:tc>
        <w:tc>
          <w:tcPr>
            <w:tcW w:w="3363" w:type="dxa"/>
            <w:tcBorders>
              <w:top w:val="nil"/>
              <w:left w:val="nil"/>
              <w:bottom w:val="single" w:sz="8" w:space="0" w:color="auto"/>
              <w:right w:val="single" w:sz="8" w:space="0" w:color="auto"/>
            </w:tcBorders>
            <w:shd w:val="clear" w:color="auto" w:fill="auto"/>
            <w:noWrap/>
            <w:vAlign w:val="center"/>
            <w:hideMark/>
          </w:tcPr>
          <w:p w14:paraId="77F1F3E3" w14:textId="77777777" w:rsidR="004354D3" w:rsidRPr="00052FCB" w:rsidRDefault="004354D3" w:rsidP="008802EE">
            <w:pPr>
              <w:spacing w:line="240" w:lineRule="auto"/>
              <w:rPr>
                <w:color w:val="000000"/>
              </w:rPr>
            </w:pPr>
            <w:proofErr w:type="spellStart"/>
            <w:r w:rsidRPr="00052FCB">
              <w:rPr>
                <w:color w:val="000000"/>
              </w:rPr>
              <w:t>antidemokratikus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826538A" w14:textId="77777777" w:rsidR="004354D3" w:rsidRPr="00052FCB" w:rsidRDefault="004354D3" w:rsidP="008802EE">
            <w:pPr>
              <w:spacing w:line="240" w:lineRule="auto"/>
              <w:rPr>
                <w:color w:val="000000"/>
              </w:rPr>
            </w:pPr>
            <w:r w:rsidRPr="00052FCB">
              <w:rPr>
                <w:color w:val="000000"/>
              </w:rPr>
              <w:t>anti-democratic*</w:t>
            </w:r>
          </w:p>
        </w:tc>
      </w:tr>
      <w:tr w:rsidR="004354D3" w:rsidRPr="00052FCB" w14:paraId="34652C2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839A3A8"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7648333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AE2380C" w14:textId="77777777" w:rsidR="004354D3" w:rsidRPr="00052FCB" w:rsidRDefault="004354D3" w:rsidP="008802EE">
            <w:pPr>
              <w:spacing w:line="240" w:lineRule="auto"/>
              <w:rPr>
                <w:color w:val="000000"/>
              </w:rPr>
            </w:pPr>
            <w:proofErr w:type="spellStart"/>
            <w:r w:rsidRPr="00052FCB">
              <w:rPr>
                <w:color w:val="000000"/>
              </w:rPr>
              <w:t>arrog</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638D077D" w14:textId="77777777" w:rsidR="004354D3" w:rsidRPr="00052FCB" w:rsidRDefault="004354D3" w:rsidP="008802EE">
            <w:pPr>
              <w:spacing w:line="240" w:lineRule="auto"/>
              <w:rPr>
                <w:color w:val="000000"/>
              </w:rPr>
            </w:pPr>
            <w:r w:rsidRPr="00052FCB">
              <w:rPr>
                <w:color w:val="000000"/>
              </w:rPr>
              <w:t>arrogant*</w:t>
            </w:r>
          </w:p>
        </w:tc>
      </w:tr>
      <w:tr w:rsidR="004354D3" w:rsidRPr="00052FCB" w14:paraId="45B03E53"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85C145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F85E3B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E7EAD16" w14:textId="77777777" w:rsidR="004354D3" w:rsidRPr="00052FCB" w:rsidRDefault="004354D3" w:rsidP="008802EE">
            <w:pPr>
              <w:spacing w:line="240" w:lineRule="auto"/>
              <w:rPr>
                <w:color w:val="000000"/>
              </w:rPr>
            </w:pPr>
            <w:proofErr w:type="spellStart"/>
            <w:r w:rsidRPr="00052FCB">
              <w:rPr>
                <w:color w:val="000000"/>
              </w:rPr>
              <w:t>árulás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5CC326B1" w14:textId="77777777" w:rsidR="004354D3" w:rsidRPr="00052FCB" w:rsidRDefault="004354D3" w:rsidP="008802EE">
            <w:pPr>
              <w:spacing w:line="240" w:lineRule="auto"/>
              <w:rPr>
                <w:color w:val="000000"/>
              </w:rPr>
            </w:pPr>
            <w:r w:rsidRPr="00052FCB">
              <w:rPr>
                <w:color w:val="000000"/>
              </w:rPr>
              <w:t>traitor*</w:t>
            </w:r>
          </w:p>
        </w:tc>
      </w:tr>
      <w:tr w:rsidR="004354D3" w:rsidRPr="00052FCB" w14:paraId="5A19901F"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553D0D2"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B7EB386"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6B9EE1A" w14:textId="77777777" w:rsidR="004354D3" w:rsidRPr="00052FCB" w:rsidRDefault="004354D3" w:rsidP="008802EE">
            <w:pPr>
              <w:spacing w:line="240" w:lineRule="auto"/>
              <w:rPr>
                <w:color w:val="000000"/>
              </w:rPr>
            </w:pPr>
            <w:proofErr w:type="spellStart"/>
            <w:r w:rsidRPr="00052FCB">
              <w:rPr>
                <w:color w:val="000000"/>
              </w:rPr>
              <w:t>áruló</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5F02DCB" w14:textId="77777777" w:rsidR="004354D3" w:rsidRPr="00052FCB" w:rsidRDefault="004354D3" w:rsidP="008802EE">
            <w:pPr>
              <w:spacing w:line="240" w:lineRule="auto"/>
              <w:rPr>
                <w:color w:val="000000"/>
              </w:rPr>
            </w:pPr>
            <w:r w:rsidRPr="00052FCB">
              <w:rPr>
                <w:color w:val="000000"/>
              </w:rPr>
              <w:t>betrayal*</w:t>
            </w:r>
          </w:p>
        </w:tc>
      </w:tr>
      <w:tr w:rsidR="004354D3" w:rsidRPr="00052FCB" w14:paraId="62657CE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1BAEB2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ADAF9C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DAC0D65" w14:textId="77777777" w:rsidR="004354D3" w:rsidRPr="00052FCB" w:rsidRDefault="004354D3" w:rsidP="008802EE">
            <w:pPr>
              <w:spacing w:line="240" w:lineRule="auto"/>
              <w:rPr>
                <w:color w:val="000000"/>
              </w:rPr>
            </w:pPr>
            <w:proofErr w:type="spellStart"/>
            <w:r w:rsidRPr="00052FCB">
              <w:rPr>
                <w:color w:val="000000"/>
              </w:rPr>
              <w:t>botrány</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C8AC2F2" w14:textId="77777777" w:rsidR="004354D3" w:rsidRPr="00052FCB" w:rsidRDefault="004354D3" w:rsidP="008802EE">
            <w:pPr>
              <w:spacing w:line="240" w:lineRule="auto"/>
              <w:rPr>
                <w:color w:val="000000"/>
              </w:rPr>
            </w:pPr>
            <w:r w:rsidRPr="00052FCB">
              <w:rPr>
                <w:color w:val="000000"/>
              </w:rPr>
              <w:t>scandal*</w:t>
            </w:r>
          </w:p>
        </w:tc>
      </w:tr>
      <w:tr w:rsidR="004354D3" w:rsidRPr="00052FCB" w14:paraId="78079E2C"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A76871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0291B8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412D1C8" w14:textId="77777777" w:rsidR="004354D3" w:rsidRPr="00052FCB" w:rsidRDefault="004354D3" w:rsidP="008802EE">
            <w:pPr>
              <w:spacing w:line="240" w:lineRule="auto"/>
              <w:rPr>
                <w:color w:val="000000"/>
              </w:rPr>
            </w:pPr>
            <w:proofErr w:type="spellStart"/>
            <w:r w:rsidRPr="00052FCB">
              <w:rPr>
                <w:color w:val="000000"/>
              </w:rPr>
              <w:t>bürokr</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0106AC2B" w14:textId="77777777" w:rsidR="004354D3" w:rsidRPr="00052FCB" w:rsidRDefault="004354D3" w:rsidP="008802EE">
            <w:pPr>
              <w:spacing w:line="240" w:lineRule="auto"/>
              <w:rPr>
                <w:color w:val="000000"/>
              </w:rPr>
            </w:pPr>
            <w:r w:rsidRPr="00052FCB">
              <w:rPr>
                <w:color w:val="000000"/>
              </w:rPr>
              <w:t>bureaucratic *</w:t>
            </w:r>
          </w:p>
        </w:tc>
      </w:tr>
      <w:tr w:rsidR="004354D3" w:rsidRPr="00052FCB" w14:paraId="6658D33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574BF2C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7AE6862"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8E73D23" w14:textId="77777777" w:rsidR="004354D3" w:rsidRPr="00052FCB" w:rsidRDefault="004354D3" w:rsidP="008802EE">
            <w:pPr>
              <w:spacing w:line="240" w:lineRule="auto"/>
              <w:rPr>
                <w:color w:val="000000"/>
              </w:rPr>
            </w:pPr>
            <w:proofErr w:type="spellStart"/>
            <w:r w:rsidRPr="00052FCB">
              <w:rPr>
                <w:color w:val="000000"/>
              </w:rPr>
              <w:t>elit</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7A2130C4" w14:textId="77777777" w:rsidR="004354D3" w:rsidRPr="00052FCB" w:rsidRDefault="004354D3" w:rsidP="008802EE">
            <w:pPr>
              <w:spacing w:line="240" w:lineRule="auto"/>
              <w:rPr>
                <w:color w:val="000000"/>
              </w:rPr>
            </w:pPr>
            <w:r w:rsidRPr="00052FCB">
              <w:rPr>
                <w:color w:val="000000"/>
              </w:rPr>
              <w:t>elite</w:t>
            </w:r>
          </w:p>
        </w:tc>
      </w:tr>
      <w:tr w:rsidR="004354D3" w:rsidRPr="00052FCB" w14:paraId="0CC23A8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8AC3401"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15405B3"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0F6B56E8" w14:textId="77777777" w:rsidR="004354D3" w:rsidRPr="00052FCB" w:rsidRDefault="004354D3" w:rsidP="008802EE">
            <w:pPr>
              <w:spacing w:line="240" w:lineRule="auto"/>
              <w:rPr>
                <w:color w:val="000000"/>
              </w:rPr>
            </w:pPr>
            <w:proofErr w:type="spellStart"/>
            <w:r w:rsidRPr="00052FCB">
              <w:rPr>
                <w:color w:val="000000"/>
              </w:rPr>
              <w:t>félrevezet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3F1C293" w14:textId="77777777" w:rsidR="004354D3" w:rsidRPr="00052FCB" w:rsidRDefault="004354D3" w:rsidP="008802EE">
            <w:pPr>
              <w:spacing w:line="240" w:lineRule="auto"/>
              <w:rPr>
                <w:color w:val="000000"/>
              </w:rPr>
            </w:pPr>
            <w:r w:rsidRPr="00052FCB">
              <w:rPr>
                <w:color w:val="000000"/>
              </w:rPr>
              <w:t>deceive*</w:t>
            </w:r>
          </w:p>
        </w:tc>
      </w:tr>
      <w:tr w:rsidR="004354D3" w:rsidRPr="00052FCB" w14:paraId="3812E0B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24C73A6"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9FD694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9BCB34E" w14:textId="77777777" w:rsidR="004354D3" w:rsidRPr="00052FCB" w:rsidRDefault="004354D3" w:rsidP="008802EE">
            <w:pPr>
              <w:spacing w:line="240" w:lineRule="auto"/>
              <w:rPr>
                <w:color w:val="000000"/>
              </w:rPr>
            </w:pPr>
            <w:proofErr w:type="spellStart"/>
            <w:r w:rsidRPr="00052FCB">
              <w:rPr>
                <w:color w:val="000000"/>
              </w:rPr>
              <w:t>gyáva</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73785C0" w14:textId="77777777" w:rsidR="004354D3" w:rsidRPr="00052FCB" w:rsidRDefault="004354D3" w:rsidP="008802EE">
            <w:pPr>
              <w:spacing w:line="240" w:lineRule="auto"/>
              <w:rPr>
                <w:color w:val="000000"/>
              </w:rPr>
            </w:pPr>
            <w:r w:rsidRPr="00052FCB">
              <w:rPr>
                <w:color w:val="000000"/>
              </w:rPr>
              <w:t>coward*</w:t>
            </w:r>
          </w:p>
        </w:tc>
      </w:tr>
      <w:tr w:rsidR="004354D3" w:rsidRPr="00052FCB" w14:paraId="3968E267"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744ADD8"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0CE02A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A476EB7" w14:textId="77777777" w:rsidR="004354D3" w:rsidRPr="00052FCB" w:rsidRDefault="004354D3" w:rsidP="008802EE">
            <w:pPr>
              <w:spacing w:line="240" w:lineRule="auto"/>
              <w:rPr>
                <w:color w:val="000000"/>
              </w:rPr>
            </w:pPr>
            <w:proofErr w:type="spellStart"/>
            <w:r w:rsidRPr="00052FCB">
              <w:rPr>
                <w:color w:val="000000"/>
              </w:rPr>
              <w:t>hatalom</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516F6455" w14:textId="77777777" w:rsidR="004354D3" w:rsidRPr="00052FCB" w:rsidRDefault="004354D3" w:rsidP="008802EE">
            <w:pPr>
              <w:spacing w:line="240" w:lineRule="auto"/>
              <w:rPr>
                <w:color w:val="000000"/>
              </w:rPr>
            </w:pPr>
            <w:r w:rsidRPr="00052FCB">
              <w:rPr>
                <w:color w:val="000000"/>
              </w:rPr>
              <w:t>rule*</w:t>
            </w:r>
          </w:p>
        </w:tc>
      </w:tr>
      <w:tr w:rsidR="004354D3" w:rsidRPr="00052FCB" w14:paraId="6C955EBB"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7C254E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53EC57B"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42ACAB1" w14:textId="77777777" w:rsidR="004354D3" w:rsidRPr="00052FCB" w:rsidRDefault="004354D3" w:rsidP="008802EE">
            <w:pPr>
              <w:spacing w:line="240" w:lineRule="auto"/>
              <w:rPr>
                <w:color w:val="000000"/>
              </w:rPr>
            </w:pPr>
            <w:proofErr w:type="spellStart"/>
            <w:r w:rsidRPr="00052FCB">
              <w:rPr>
                <w:color w:val="000000"/>
              </w:rPr>
              <w:t>hazug</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8AE94F5" w14:textId="77777777" w:rsidR="004354D3" w:rsidRPr="00052FCB" w:rsidRDefault="004354D3" w:rsidP="008802EE">
            <w:pPr>
              <w:spacing w:line="240" w:lineRule="auto"/>
              <w:rPr>
                <w:color w:val="000000"/>
              </w:rPr>
            </w:pPr>
            <w:r w:rsidRPr="00052FCB">
              <w:rPr>
                <w:color w:val="000000"/>
              </w:rPr>
              <w:t>liar*</w:t>
            </w:r>
          </w:p>
        </w:tc>
      </w:tr>
      <w:tr w:rsidR="004354D3" w:rsidRPr="00052FCB" w14:paraId="6C0D4107"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9602312"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82E3C3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0C7BE53" w14:textId="77777777" w:rsidR="004354D3" w:rsidRPr="00052FCB" w:rsidRDefault="004354D3" w:rsidP="008802EE">
            <w:pPr>
              <w:spacing w:line="240" w:lineRule="auto"/>
              <w:rPr>
                <w:color w:val="000000"/>
              </w:rPr>
            </w:pPr>
            <w:proofErr w:type="spellStart"/>
            <w:r w:rsidRPr="00052FCB">
              <w:rPr>
                <w:color w:val="000000"/>
              </w:rPr>
              <w:t>igazság</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69DD5B87" w14:textId="77777777" w:rsidR="004354D3" w:rsidRPr="00052FCB" w:rsidRDefault="004354D3" w:rsidP="008802EE">
            <w:pPr>
              <w:spacing w:line="240" w:lineRule="auto"/>
              <w:rPr>
                <w:color w:val="000000"/>
              </w:rPr>
            </w:pPr>
            <w:r w:rsidRPr="00052FCB">
              <w:rPr>
                <w:color w:val="000000"/>
              </w:rPr>
              <w:t>just</w:t>
            </w:r>
          </w:p>
        </w:tc>
      </w:tr>
      <w:tr w:rsidR="004354D3" w:rsidRPr="00052FCB" w14:paraId="582C200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53849477"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0407AD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4B63DC2" w14:textId="77777777" w:rsidR="004354D3" w:rsidRPr="00052FCB" w:rsidRDefault="004354D3" w:rsidP="008802EE">
            <w:pPr>
              <w:spacing w:line="240" w:lineRule="auto"/>
              <w:rPr>
                <w:color w:val="000000"/>
              </w:rPr>
            </w:pPr>
            <w:proofErr w:type="spellStart"/>
            <w:r w:rsidRPr="00052FCB">
              <w:rPr>
                <w:color w:val="000000"/>
              </w:rPr>
              <w:t>igazságot</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3E6C34A3" w14:textId="77777777" w:rsidR="004354D3" w:rsidRPr="00052FCB" w:rsidRDefault="004354D3" w:rsidP="008802EE">
            <w:pPr>
              <w:spacing w:line="240" w:lineRule="auto"/>
              <w:rPr>
                <w:color w:val="000000"/>
              </w:rPr>
            </w:pPr>
            <w:r w:rsidRPr="00052FCB">
              <w:rPr>
                <w:color w:val="000000"/>
              </w:rPr>
              <w:t>the just</w:t>
            </w:r>
          </w:p>
        </w:tc>
      </w:tr>
      <w:tr w:rsidR="004354D3" w:rsidRPr="00052FCB" w14:paraId="2CA9ADB8"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FD5FCC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F4EE2F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064F511" w14:textId="77777777" w:rsidR="004354D3" w:rsidRPr="00052FCB" w:rsidRDefault="004354D3" w:rsidP="008802EE">
            <w:pPr>
              <w:spacing w:line="240" w:lineRule="auto"/>
              <w:rPr>
                <w:color w:val="000000"/>
              </w:rPr>
            </w:pPr>
            <w:proofErr w:type="spellStart"/>
            <w:r w:rsidRPr="00052FCB">
              <w:rPr>
                <w:color w:val="000000"/>
              </w:rPr>
              <w:t>igazságtalan</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4C1A6BE2" w14:textId="77777777" w:rsidR="004354D3" w:rsidRPr="00052FCB" w:rsidRDefault="004354D3" w:rsidP="008802EE">
            <w:pPr>
              <w:spacing w:line="240" w:lineRule="auto"/>
              <w:rPr>
                <w:color w:val="000000"/>
              </w:rPr>
            </w:pPr>
            <w:r w:rsidRPr="00052FCB">
              <w:rPr>
                <w:color w:val="000000"/>
              </w:rPr>
              <w:t>unjust</w:t>
            </w:r>
          </w:p>
        </w:tc>
      </w:tr>
      <w:tr w:rsidR="004354D3" w:rsidRPr="00052FCB" w14:paraId="037321A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47A45E9"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1D8BBDB"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2ABB3F3" w14:textId="77777777" w:rsidR="004354D3" w:rsidRPr="00052FCB" w:rsidRDefault="004354D3" w:rsidP="008802EE">
            <w:pPr>
              <w:spacing w:line="240" w:lineRule="auto"/>
              <w:rPr>
                <w:color w:val="000000"/>
              </w:rPr>
            </w:pPr>
            <w:proofErr w:type="spellStart"/>
            <w:r w:rsidRPr="00052FCB">
              <w:rPr>
                <w:color w:val="000000"/>
              </w:rPr>
              <w:t>korrupt</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202340A1" w14:textId="77777777" w:rsidR="004354D3" w:rsidRPr="00052FCB" w:rsidRDefault="004354D3" w:rsidP="008802EE">
            <w:pPr>
              <w:spacing w:line="240" w:lineRule="auto"/>
              <w:rPr>
                <w:color w:val="000000"/>
              </w:rPr>
            </w:pPr>
            <w:r w:rsidRPr="00052FCB">
              <w:rPr>
                <w:color w:val="000000"/>
              </w:rPr>
              <w:t>corrupt</w:t>
            </w:r>
          </w:p>
        </w:tc>
      </w:tr>
      <w:tr w:rsidR="004354D3" w:rsidRPr="00052FCB" w14:paraId="1B8AA88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2DFC4B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D8B46C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327EC88" w14:textId="77777777" w:rsidR="004354D3" w:rsidRPr="00052FCB" w:rsidRDefault="004354D3" w:rsidP="008802EE">
            <w:pPr>
              <w:spacing w:line="240" w:lineRule="auto"/>
              <w:rPr>
                <w:color w:val="000000"/>
              </w:rPr>
            </w:pPr>
            <w:proofErr w:type="spellStart"/>
            <w:r w:rsidRPr="00052FCB">
              <w:rPr>
                <w:color w:val="000000"/>
              </w:rPr>
              <w:t>magánérdek</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DA9F0E1" w14:textId="77777777" w:rsidR="004354D3" w:rsidRPr="00052FCB" w:rsidRDefault="004354D3" w:rsidP="008802EE">
            <w:pPr>
              <w:spacing w:line="240" w:lineRule="auto"/>
              <w:rPr>
                <w:color w:val="000000"/>
              </w:rPr>
            </w:pPr>
            <w:r w:rsidRPr="00052FCB">
              <w:rPr>
                <w:color w:val="000000"/>
              </w:rPr>
              <w:t>private interest*</w:t>
            </w:r>
          </w:p>
        </w:tc>
      </w:tr>
      <w:tr w:rsidR="004354D3" w:rsidRPr="00052FCB" w14:paraId="74269057"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17107A2"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583EA69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689FFC4" w14:textId="77777777" w:rsidR="004354D3" w:rsidRPr="00052FCB" w:rsidRDefault="004354D3" w:rsidP="008802EE">
            <w:pPr>
              <w:spacing w:line="240" w:lineRule="auto"/>
              <w:rPr>
                <w:color w:val="000000"/>
              </w:rPr>
            </w:pPr>
            <w:proofErr w:type="spellStart"/>
            <w:r w:rsidRPr="00052FCB">
              <w:rPr>
                <w:color w:val="000000"/>
              </w:rPr>
              <w:t>meghátr</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725E749" w14:textId="77777777" w:rsidR="004354D3" w:rsidRPr="00052FCB" w:rsidRDefault="004354D3" w:rsidP="008802EE">
            <w:pPr>
              <w:spacing w:line="240" w:lineRule="auto"/>
              <w:rPr>
                <w:color w:val="000000"/>
              </w:rPr>
            </w:pPr>
            <w:r w:rsidRPr="00052FCB">
              <w:rPr>
                <w:color w:val="000000"/>
              </w:rPr>
              <w:t>retreat*</w:t>
            </w:r>
          </w:p>
        </w:tc>
      </w:tr>
      <w:tr w:rsidR="004354D3" w:rsidRPr="00052FCB" w14:paraId="3D9A0F23"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67C5BF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BE1881E"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62FE23B" w14:textId="77777777" w:rsidR="004354D3" w:rsidRPr="00052FCB" w:rsidRDefault="004354D3" w:rsidP="008802EE">
            <w:pPr>
              <w:spacing w:line="240" w:lineRule="auto"/>
              <w:rPr>
                <w:color w:val="000000"/>
              </w:rPr>
            </w:pPr>
            <w:proofErr w:type="spellStart"/>
            <w:r w:rsidRPr="00052FCB">
              <w:rPr>
                <w:color w:val="000000"/>
              </w:rPr>
              <w:t>megtéveszt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606CAAD" w14:textId="77777777" w:rsidR="004354D3" w:rsidRPr="00052FCB" w:rsidRDefault="004354D3" w:rsidP="008802EE">
            <w:pPr>
              <w:spacing w:line="240" w:lineRule="auto"/>
              <w:rPr>
                <w:color w:val="000000"/>
              </w:rPr>
            </w:pPr>
            <w:r w:rsidRPr="00052FCB">
              <w:rPr>
                <w:color w:val="000000"/>
              </w:rPr>
              <w:t>deceive*</w:t>
            </w:r>
          </w:p>
        </w:tc>
      </w:tr>
      <w:tr w:rsidR="004354D3" w:rsidRPr="00052FCB" w14:paraId="0260A0B8"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5A4385B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B6D625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E62B1E5" w14:textId="77777777" w:rsidR="004354D3" w:rsidRPr="00052FCB" w:rsidRDefault="004354D3" w:rsidP="008802EE">
            <w:pPr>
              <w:spacing w:line="240" w:lineRule="auto"/>
              <w:rPr>
                <w:color w:val="000000"/>
              </w:rPr>
            </w:pPr>
            <w:r w:rsidRPr="00052FCB">
              <w:rPr>
                <w:color w:val="000000"/>
              </w:rPr>
              <w:t>oligarch*</w:t>
            </w:r>
          </w:p>
        </w:tc>
        <w:tc>
          <w:tcPr>
            <w:tcW w:w="2281" w:type="dxa"/>
            <w:tcBorders>
              <w:top w:val="nil"/>
              <w:left w:val="nil"/>
              <w:bottom w:val="single" w:sz="8" w:space="0" w:color="auto"/>
              <w:right w:val="single" w:sz="8" w:space="0" w:color="auto"/>
            </w:tcBorders>
            <w:shd w:val="clear" w:color="auto" w:fill="auto"/>
            <w:noWrap/>
            <w:vAlign w:val="center"/>
            <w:hideMark/>
          </w:tcPr>
          <w:p w14:paraId="0B4F75A3" w14:textId="77777777" w:rsidR="004354D3" w:rsidRPr="00052FCB" w:rsidRDefault="004354D3" w:rsidP="008802EE">
            <w:pPr>
              <w:spacing w:line="240" w:lineRule="auto"/>
              <w:rPr>
                <w:color w:val="000000"/>
              </w:rPr>
            </w:pPr>
            <w:r w:rsidRPr="00052FCB">
              <w:rPr>
                <w:color w:val="000000"/>
              </w:rPr>
              <w:t>oligarch*</w:t>
            </w:r>
          </w:p>
        </w:tc>
      </w:tr>
      <w:tr w:rsidR="004354D3" w:rsidRPr="00052FCB" w14:paraId="701D3884"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500276A7"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98ECD46"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665B06D" w14:textId="77777777" w:rsidR="004354D3" w:rsidRPr="00052FCB" w:rsidRDefault="004354D3" w:rsidP="008802EE">
            <w:pPr>
              <w:spacing w:line="240" w:lineRule="auto"/>
              <w:rPr>
                <w:color w:val="000000"/>
              </w:rPr>
            </w:pPr>
            <w:proofErr w:type="spellStart"/>
            <w:r w:rsidRPr="00052FCB">
              <w:rPr>
                <w:color w:val="000000"/>
              </w:rPr>
              <w:t>propagand</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62E0FB4" w14:textId="77777777" w:rsidR="004354D3" w:rsidRPr="00052FCB" w:rsidRDefault="004354D3" w:rsidP="008802EE">
            <w:pPr>
              <w:spacing w:line="240" w:lineRule="auto"/>
              <w:rPr>
                <w:color w:val="000000"/>
              </w:rPr>
            </w:pPr>
            <w:proofErr w:type="spellStart"/>
            <w:r w:rsidRPr="00052FCB">
              <w:rPr>
                <w:color w:val="000000"/>
              </w:rPr>
              <w:t>propagand</w:t>
            </w:r>
            <w:proofErr w:type="spellEnd"/>
            <w:r w:rsidRPr="00052FCB">
              <w:rPr>
                <w:color w:val="000000"/>
              </w:rPr>
              <w:t>*</w:t>
            </w:r>
          </w:p>
        </w:tc>
      </w:tr>
      <w:tr w:rsidR="004354D3" w:rsidRPr="00052FCB" w14:paraId="2155C9F4"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C0E0EC6"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2598E4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0B43D85" w14:textId="77777777" w:rsidR="004354D3" w:rsidRPr="00052FCB" w:rsidRDefault="004354D3" w:rsidP="008802EE">
            <w:pPr>
              <w:spacing w:line="240" w:lineRule="auto"/>
              <w:rPr>
                <w:color w:val="000000"/>
              </w:rPr>
            </w:pPr>
            <w:r w:rsidRPr="00052FCB">
              <w:rPr>
                <w:color w:val="000000"/>
              </w:rPr>
              <w:t>^</w:t>
            </w:r>
            <w:proofErr w:type="spellStart"/>
            <w:r w:rsidRPr="00052FCB">
              <w:rPr>
                <w:color w:val="000000"/>
              </w:rPr>
              <w:t>rendszer</w:t>
            </w:r>
            <w:proofErr w:type="spellEnd"/>
            <w:r w:rsidRPr="00052FCB">
              <w:rPr>
                <w:color w:val="000000"/>
              </w:rPr>
              <w:t>[^(es)]+</w:t>
            </w:r>
          </w:p>
        </w:tc>
        <w:tc>
          <w:tcPr>
            <w:tcW w:w="2281" w:type="dxa"/>
            <w:tcBorders>
              <w:top w:val="nil"/>
              <w:left w:val="nil"/>
              <w:bottom w:val="single" w:sz="8" w:space="0" w:color="auto"/>
              <w:right w:val="single" w:sz="8" w:space="0" w:color="auto"/>
            </w:tcBorders>
            <w:shd w:val="clear" w:color="auto" w:fill="auto"/>
            <w:noWrap/>
            <w:vAlign w:val="center"/>
            <w:hideMark/>
          </w:tcPr>
          <w:p w14:paraId="0DA8D73C" w14:textId="77777777" w:rsidR="004354D3" w:rsidRPr="00052FCB" w:rsidRDefault="004354D3" w:rsidP="008802EE">
            <w:pPr>
              <w:spacing w:line="240" w:lineRule="auto"/>
              <w:rPr>
                <w:color w:val="000000"/>
              </w:rPr>
            </w:pPr>
            <w:r w:rsidRPr="00052FCB">
              <w:rPr>
                <w:color w:val="000000"/>
              </w:rPr>
              <w:t>“system” or order, but not “regular”</w:t>
            </w:r>
          </w:p>
        </w:tc>
      </w:tr>
      <w:tr w:rsidR="004354D3" w:rsidRPr="00052FCB" w14:paraId="718C337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3314F1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5B4CB39"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3E532D5" w14:textId="77777777" w:rsidR="004354D3" w:rsidRPr="00052FCB" w:rsidRDefault="004354D3" w:rsidP="008802EE">
            <w:pPr>
              <w:spacing w:line="240" w:lineRule="auto"/>
              <w:rPr>
                <w:color w:val="000000"/>
              </w:rPr>
            </w:pPr>
            <w:proofErr w:type="spellStart"/>
            <w:r w:rsidRPr="00052FCB">
              <w:rPr>
                <w:color w:val="000000"/>
              </w:rPr>
              <w:t>rezsim</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ADBE926" w14:textId="77777777" w:rsidR="004354D3" w:rsidRPr="00052FCB" w:rsidRDefault="004354D3" w:rsidP="008802EE">
            <w:pPr>
              <w:spacing w:line="240" w:lineRule="auto"/>
              <w:rPr>
                <w:color w:val="000000"/>
              </w:rPr>
            </w:pPr>
            <w:r w:rsidRPr="00052FCB">
              <w:rPr>
                <w:color w:val="000000"/>
              </w:rPr>
              <w:t>regime*</w:t>
            </w:r>
          </w:p>
        </w:tc>
      </w:tr>
      <w:tr w:rsidR="004354D3" w:rsidRPr="00052FCB" w14:paraId="2432183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AA036B3"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5F5F4745"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53DFE87" w14:textId="77777777" w:rsidR="004354D3" w:rsidRPr="00052FCB" w:rsidRDefault="004354D3" w:rsidP="008802EE">
            <w:pPr>
              <w:spacing w:line="240" w:lineRule="auto"/>
              <w:rPr>
                <w:color w:val="000000"/>
              </w:rPr>
            </w:pPr>
            <w:proofErr w:type="spellStart"/>
            <w:r w:rsidRPr="00052FCB">
              <w:rPr>
                <w:color w:val="000000"/>
              </w:rPr>
              <w:t>szégye</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65A606E" w14:textId="77777777" w:rsidR="004354D3" w:rsidRPr="00052FCB" w:rsidRDefault="004354D3" w:rsidP="008802EE">
            <w:pPr>
              <w:spacing w:line="240" w:lineRule="auto"/>
              <w:rPr>
                <w:color w:val="000000"/>
              </w:rPr>
            </w:pPr>
            <w:r w:rsidRPr="00052FCB">
              <w:rPr>
                <w:color w:val="000000"/>
              </w:rPr>
              <w:t>shame*</w:t>
            </w:r>
          </w:p>
        </w:tc>
      </w:tr>
      <w:tr w:rsidR="004354D3" w:rsidRPr="00052FCB" w14:paraId="27E713BF"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0D75E3B" w14:textId="77777777" w:rsidR="004354D3" w:rsidRPr="00052FCB" w:rsidRDefault="004354D3" w:rsidP="008802EE">
            <w:pPr>
              <w:spacing w:line="240" w:lineRule="auto"/>
              <w:rPr>
                <w:color w:val="000000"/>
              </w:rPr>
            </w:pP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46C105" w14:textId="77777777" w:rsidR="004354D3" w:rsidRPr="00052FCB" w:rsidRDefault="004354D3" w:rsidP="008802EE">
            <w:pPr>
              <w:spacing w:line="240" w:lineRule="auto"/>
              <w:jc w:val="center"/>
              <w:rPr>
                <w:color w:val="000000"/>
              </w:rPr>
            </w:pPr>
            <w:r w:rsidRPr="00052FCB">
              <w:rPr>
                <w:color w:val="000000"/>
              </w:rPr>
              <w:t>Manifesto</w:t>
            </w:r>
          </w:p>
        </w:tc>
        <w:tc>
          <w:tcPr>
            <w:tcW w:w="3363" w:type="dxa"/>
            <w:tcBorders>
              <w:top w:val="nil"/>
              <w:left w:val="nil"/>
              <w:bottom w:val="single" w:sz="8" w:space="0" w:color="auto"/>
              <w:right w:val="single" w:sz="8" w:space="0" w:color="auto"/>
            </w:tcBorders>
            <w:shd w:val="clear" w:color="auto" w:fill="auto"/>
            <w:noWrap/>
            <w:vAlign w:val="center"/>
            <w:hideMark/>
          </w:tcPr>
          <w:p w14:paraId="2267B083" w14:textId="77777777" w:rsidR="004354D3" w:rsidRPr="00052FCB" w:rsidRDefault="004354D3" w:rsidP="008802EE">
            <w:pPr>
              <w:spacing w:line="240" w:lineRule="auto"/>
              <w:rPr>
                <w:color w:val="000000"/>
              </w:rPr>
            </w:pPr>
            <w:proofErr w:type="spellStart"/>
            <w:r w:rsidRPr="00052FCB">
              <w:rPr>
                <w:color w:val="000000"/>
              </w:rPr>
              <w:t>csalás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7EEB674E" w14:textId="77777777" w:rsidR="004354D3" w:rsidRPr="00052FCB" w:rsidRDefault="004354D3" w:rsidP="008802EE">
            <w:pPr>
              <w:spacing w:line="240" w:lineRule="auto"/>
              <w:rPr>
                <w:color w:val="000000"/>
              </w:rPr>
            </w:pPr>
            <w:r w:rsidRPr="00052FCB">
              <w:rPr>
                <w:color w:val="000000"/>
              </w:rPr>
              <w:t>cheating*</w:t>
            </w:r>
          </w:p>
        </w:tc>
      </w:tr>
      <w:tr w:rsidR="004354D3" w:rsidRPr="00052FCB" w14:paraId="656B74DC"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6ED5C54"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AFBE97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D386A19" w14:textId="77777777" w:rsidR="004354D3" w:rsidRPr="00052FCB" w:rsidRDefault="004354D3" w:rsidP="008802EE">
            <w:pPr>
              <w:spacing w:line="240" w:lineRule="auto"/>
              <w:rPr>
                <w:color w:val="000000"/>
              </w:rPr>
            </w:pPr>
            <w:proofErr w:type="spellStart"/>
            <w:r w:rsidRPr="00052FCB">
              <w:rPr>
                <w:color w:val="000000"/>
              </w:rPr>
              <w:t>ellop</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84B2231" w14:textId="77777777" w:rsidR="004354D3" w:rsidRPr="00052FCB" w:rsidRDefault="004354D3" w:rsidP="008802EE">
            <w:pPr>
              <w:spacing w:line="240" w:lineRule="auto"/>
              <w:rPr>
                <w:color w:val="000000"/>
              </w:rPr>
            </w:pPr>
            <w:r w:rsidRPr="00052FCB">
              <w:rPr>
                <w:color w:val="000000"/>
              </w:rPr>
              <w:t>steal*</w:t>
            </w:r>
          </w:p>
        </w:tc>
      </w:tr>
      <w:tr w:rsidR="004354D3" w:rsidRPr="00052FCB" w14:paraId="50813846"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66F0B9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D1B85E1"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3EBD82A" w14:textId="77777777" w:rsidR="004354D3" w:rsidRPr="00052FCB" w:rsidRDefault="004354D3" w:rsidP="008802EE">
            <w:pPr>
              <w:spacing w:line="240" w:lineRule="auto"/>
              <w:rPr>
                <w:color w:val="000000"/>
              </w:rPr>
            </w:pPr>
            <w:proofErr w:type="spellStart"/>
            <w:r w:rsidRPr="00052FCB">
              <w:rPr>
                <w:color w:val="000000"/>
              </w:rPr>
              <w:t>elszámol</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79D08B69" w14:textId="77777777" w:rsidR="004354D3" w:rsidRPr="00052FCB" w:rsidRDefault="004354D3" w:rsidP="008802EE">
            <w:pPr>
              <w:spacing w:line="240" w:lineRule="auto"/>
              <w:rPr>
                <w:color w:val="000000"/>
              </w:rPr>
            </w:pPr>
            <w:r w:rsidRPr="00052FCB">
              <w:rPr>
                <w:color w:val="000000"/>
              </w:rPr>
              <w:t>hold to account*</w:t>
            </w:r>
          </w:p>
        </w:tc>
      </w:tr>
      <w:tr w:rsidR="004354D3" w:rsidRPr="00052FCB" w14:paraId="30F439F9"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858BC76"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F42A4F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ABFE7CE" w14:textId="77777777" w:rsidR="004354D3" w:rsidRPr="00052FCB" w:rsidRDefault="004354D3" w:rsidP="008802EE">
            <w:pPr>
              <w:spacing w:line="240" w:lineRule="auto"/>
              <w:rPr>
                <w:color w:val="000000"/>
              </w:rPr>
            </w:pPr>
            <w:r w:rsidRPr="00052FCB">
              <w:rPr>
                <w:color w:val="000000"/>
              </w:rPr>
              <w:t>lop*</w:t>
            </w:r>
          </w:p>
        </w:tc>
        <w:tc>
          <w:tcPr>
            <w:tcW w:w="2281" w:type="dxa"/>
            <w:tcBorders>
              <w:top w:val="nil"/>
              <w:left w:val="nil"/>
              <w:bottom w:val="single" w:sz="8" w:space="0" w:color="auto"/>
              <w:right w:val="single" w:sz="8" w:space="0" w:color="auto"/>
            </w:tcBorders>
            <w:shd w:val="clear" w:color="auto" w:fill="auto"/>
            <w:noWrap/>
            <w:vAlign w:val="center"/>
            <w:hideMark/>
          </w:tcPr>
          <w:p w14:paraId="3F2CB3A3" w14:textId="77777777" w:rsidR="004354D3" w:rsidRPr="00052FCB" w:rsidRDefault="004354D3" w:rsidP="008802EE">
            <w:pPr>
              <w:spacing w:line="240" w:lineRule="auto"/>
              <w:rPr>
                <w:color w:val="000000"/>
              </w:rPr>
            </w:pPr>
            <w:r w:rsidRPr="00052FCB">
              <w:rPr>
                <w:color w:val="000000"/>
              </w:rPr>
              <w:t>steal*</w:t>
            </w:r>
          </w:p>
        </w:tc>
      </w:tr>
      <w:tr w:rsidR="004354D3" w:rsidRPr="00052FCB" w14:paraId="6950750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460E36B"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401512B"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193BB89" w14:textId="77777777" w:rsidR="004354D3" w:rsidRPr="00052FCB" w:rsidRDefault="004354D3" w:rsidP="008802EE">
            <w:pPr>
              <w:spacing w:line="240" w:lineRule="auto"/>
              <w:rPr>
                <w:color w:val="000000"/>
              </w:rPr>
            </w:pPr>
            <w:proofErr w:type="spellStart"/>
            <w:r w:rsidRPr="00052FCB">
              <w:rPr>
                <w:color w:val="000000"/>
              </w:rPr>
              <w:t>mentelm</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0B8E333D" w14:textId="77777777" w:rsidR="004354D3" w:rsidRPr="00052FCB" w:rsidRDefault="004354D3" w:rsidP="008802EE">
            <w:pPr>
              <w:spacing w:line="240" w:lineRule="auto"/>
              <w:rPr>
                <w:color w:val="000000"/>
              </w:rPr>
            </w:pPr>
            <w:r w:rsidRPr="00052FCB">
              <w:rPr>
                <w:color w:val="000000"/>
              </w:rPr>
              <w:t>immunity*</w:t>
            </w:r>
          </w:p>
        </w:tc>
      </w:tr>
      <w:tr w:rsidR="004354D3" w:rsidRPr="00052FCB" w14:paraId="27804AC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EA6DE38"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72A7DF29"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D29196A" w14:textId="77777777" w:rsidR="004354D3" w:rsidRPr="00052FCB" w:rsidRDefault="004354D3" w:rsidP="008802EE">
            <w:pPr>
              <w:spacing w:line="240" w:lineRule="auto"/>
              <w:rPr>
                <w:color w:val="000000"/>
              </w:rPr>
            </w:pPr>
            <w:proofErr w:type="spellStart"/>
            <w:r w:rsidRPr="00052FCB">
              <w:rPr>
                <w:color w:val="000000"/>
              </w:rPr>
              <w:t>rendszer</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1CC0B22E" w14:textId="77777777" w:rsidR="004354D3" w:rsidRPr="00052FCB" w:rsidRDefault="004354D3" w:rsidP="008802EE">
            <w:pPr>
              <w:spacing w:line="240" w:lineRule="auto"/>
              <w:rPr>
                <w:color w:val="000000"/>
              </w:rPr>
            </w:pPr>
            <w:r w:rsidRPr="00052FCB">
              <w:rPr>
                <w:color w:val="000000"/>
              </w:rPr>
              <w:t>system</w:t>
            </w:r>
          </w:p>
        </w:tc>
      </w:tr>
      <w:tr w:rsidR="004354D3" w:rsidRPr="00052FCB" w14:paraId="524489AF"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FC28E3C" w14:textId="77777777" w:rsidR="004354D3" w:rsidRPr="00052FCB" w:rsidRDefault="004354D3" w:rsidP="008802EE">
            <w:pPr>
              <w:spacing w:line="240" w:lineRule="auto"/>
              <w:rPr>
                <w:color w:val="000000"/>
              </w:rPr>
            </w:pP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D785FC" w14:textId="77777777" w:rsidR="004354D3" w:rsidRPr="00052FCB" w:rsidRDefault="004354D3" w:rsidP="008802EE">
            <w:pPr>
              <w:spacing w:line="240" w:lineRule="auto"/>
              <w:jc w:val="center"/>
              <w:rPr>
                <w:color w:val="000000"/>
              </w:rPr>
            </w:pPr>
            <w:r w:rsidRPr="00052FCB">
              <w:rPr>
                <w:color w:val="000000"/>
              </w:rPr>
              <w:t>Context Specific</w:t>
            </w:r>
          </w:p>
        </w:tc>
        <w:tc>
          <w:tcPr>
            <w:tcW w:w="3363" w:type="dxa"/>
            <w:tcBorders>
              <w:top w:val="nil"/>
              <w:left w:val="nil"/>
              <w:bottom w:val="single" w:sz="8" w:space="0" w:color="auto"/>
              <w:right w:val="single" w:sz="8" w:space="0" w:color="auto"/>
            </w:tcBorders>
            <w:shd w:val="clear" w:color="auto" w:fill="auto"/>
            <w:noWrap/>
            <w:vAlign w:val="center"/>
            <w:hideMark/>
          </w:tcPr>
          <w:p w14:paraId="183C0DDC" w14:textId="77777777" w:rsidR="004354D3" w:rsidRPr="00052FCB" w:rsidRDefault="004354D3" w:rsidP="008802EE">
            <w:pPr>
              <w:spacing w:line="240" w:lineRule="auto"/>
              <w:rPr>
                <w:color w:val="000000"/>
              </w:rPr>
            </w:pPr>
            <w:proofErr w:type="spellStart"/>
            <w:r w:rsidRPr="00052FCB">
              <w:rPr>
                <w:color w:val="000000"/>
              </w:rPr>
              <w:t>diktát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52EC6752" w14:textId="77777777" w:rsidR="004354D3" w:rsidRPr="00052FCB" w:rsidRDefault="004354D3" w:rsidP="008802EE">
            <w:pPr>
              <w:spacing w:line="240" w:lineRule="auto"/>
              <w:rPr>
                <w:color w:val="000000"/>
              </w:rPr>
            </w:pPr>
            <w:proofErr w:type="spellStart"/>
            <w:r w:rsidRPr="00052FCB">
              <w:rPr>
                <w:color w:val="000000"/>
              </w:rPr>
              <w:t>dictat</w:t>
            </w:r>
            <w:proofErr w:type="spellEnd"/>
            <w:r w:rsidRPr="00052FCB">
              <w:rPr>
                <w:color w:val="000000"/>
              </w:rPr>
              <w:t>*</w:t>
            </w:r>
          </w:p>
        </w:tc>
      </w:tr>
      <w:tr w:rsidR="004354D3" w:rsidRPr="00052FCB" w14:paraId="07A2FC3C"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A62D0B3"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BED198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1F81F5D" w14:textId="77777777" w:rsidR="004354D3" w:rsidRPr="00052FCB" w:rsidRDefault="004354D3" w:rsidP="008802EE">
            <w:pPr>
              <w:spacing w:line="240" w:lineRule="auto"/>
              <w:rPr>
                <w:color w:val="000000"/>
              </w:rPr>
            </w:pPr>
            <w:proofErr w:type="spellStart"/>
            <w:r w:rsidRPr="00052FCB">
              <w:rPr>
                <w:color w:val="000000"/>
              </w:rPr>
              <w:t>maffiakormány</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66D800C9" w14:textId="77777777" w:rsidR="004354D3" w:rsidRPr="00052FCB" w:rsidRDefault="004354D3" w:rsidP="008802EE">
            <w:pPr>
              <w:spacing w:line="240" w:lineRule="auto"/>
              <w:rPr>
                <w:color w:val="000000"/>
              </w:rPr>
            </w:pPr>
            <w:r w:rsidRPr="00052FCB">
              <w:rPr>
                <w:color w:val="000000"/>
              </w:rPr>
              <w:t>mafia government*</w:t>
            </w:r>
          </w:p>
        </w:tc>
      </w:tr>
      <w:tr w:rsidR="004354D3" w:rsidRPr="00052FCB" w14:paraId="597FB6E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2B33BC7"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108FAB1"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0861105" w14:textId="77777777" w:rsidR="004354D3" w:rsidRPr="00052FCB" w:rsidRDefault="004354D3" w:rsidP="008802EE">
            <w:pPr>
              <w:spacing w:line="240" w:lineRule="auto"/>
              <w:rPr>
                <w:color w:val="000000"/>
              </w:rPr>
            </w:pPr>
            <w:proofErr w:type="spellStart"/>
            <w:r w:rsidRPr="00052FCB">
              <w:rPr>
                <w:color w:val="000000"/>
              </w:rPr>
              <w:t>maffiaállam</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247D9EA" w14:textId="77777777" w:rsidR="004354D3" w:rsidRPr="00052FCB" w:rsidRDefault="004354D3" w:rsidP="008802EE">
            <w:pPr>
              <w:spacing w:line="240" w:lineRule="auto"/>
              <w:rPr>
                <w:color w:val="000000"/>
              </w:rPr>
            </w:pPr>
            <w:r w:rsidRPr="00052FCB">
              <w:rPr>
                <w:color w:val="000000"/>
              </w:rPr>
              <w:t>mafia state*</w:t>
            </w:r>
          </w:p>
        </w:tc>
      </w:tr>
      <w:tr w:rsidR="004354D3" w:rsidRPr="00052FCB" w14:paraId="6078D308"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399A8E6"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8F12A4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6EF3AB6" w14:textId="77777777" w:rsidR="004354D3" w:rsidRPr="00052FCB" w:rsidRDefault="004354D3" w:rsidP="008802EE">
            <w:pPr>
              <w:spacing w:line="240" w:lineRule="auto"/>
              <w:rPr>
                <w:color w:val="000000"/>
              </w:rPr>
            </w:pPr>
            <w:proofErr w:type="spellStart"/>
            <w:r w:rsidRPr="00052FCB">
              <w:rPr>
                <w:color w:val="000000"/>
              </w:rPr>
              <w:t>megalku</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2AC20F3" w14:textId="77777777" w:rsidR="004354D3" w:rsidRPr="00052FCB" w:rsidRDefault="004354D3" w:rsidP="008802EE">
            <w:pPr>
              <w:spacing w:line="240" w:lineRule="auto"/>
              <w:rPr>
                <w:color w:val="000000"/>
              </w:rPr>
            </w:pPr>
            <w:r w:rsidRPr="00052FCB">
              <w:rPr>
                <w:color w:val="000000"/>
              </w:rPr>
              <w:t>opportunist*</w:t>
            </w:r>
          </w:p>
        </w:tc>
      </w:tr>
      <w:tr w:rsidR="004354D3" w:rsidRPr="00052FCB" w14:paraId="241D961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644C20F"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6D57F5B"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783B1F5" w14:textId="77777777" w:rsidR="004354D3" w:rsidRPr="00052FCB" w:rsidRDefault="004354D3" w:rsidP="008802EE">
            <w:pPr>
              <w:spacing w:line="240" w:lineRule="auto"/>
              <w:rPr>
                <w:color w:val="000000"/>
              </w:rPr>
            </w:pPr>
            <w:r w:rsidRPr="00052FCB">
              <w:rPr>
                <w:color w:val="000000"/>
              </w:rPr>
              <w:t>offshore*</w:t>
            </w:r>
          </w:p>
        </w:tc>
        <w:tc>
          <w:tcPr>
            <w:tcW w:w="2281" w:type="dxa"/>
            <w:tcBorders>
              <w:top w:val="nil"/>
              <w:left w:val="nil"/>
              <w:bottom w:val="single" w:sz="8" w:space="0" w:color="auto"/>
              <w:right w:val="single" w:sz="8" w:space="0" w:color="auto"/>
            </w:tcBorders>
            <w:shd w:val="clear" w:color="auto" w:fill="auto"/>
            <w:noWrap/>
            <w:vAlign w:val="center"/>
            <w:hideMark/>
          </w:tcPr>
          <w:p w14:paraId="024ECD10" w14:textId="77777777" w:rsidR="004354D3" w:rsidRPr="00052FCB" w:rsidRDefault="004354D3" w:rsidP="008802EE">
            <w:pPr>
              <w:spacing w:line="240" w:lineRule="auto"/>
              <w:rPr>
                <w:color w:val="000000"/>
              </w:rPr>
            </w:pPr>
            <w:r w:rsidRPr="00052FCB">
              <w:rPr>
                <w:color w:val="000000"/>
              </w:rPr>
              <w:t>offshore*</w:t>
            </w:r>
          </w:p>
        </w:tc>
      </w:tr>
      <w:tr w:rsidR="004354D3" w:rsidRPr="00052FCB" w14:paraId="1D5A3DF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E148BF7"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54A3A6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BAF59AF" w14:textId="77777777" w:rsidR="004354D3" w:rsidRPr="00052FCB" w:rsidRDefault="004354D3" w:rsidP="008802EE">
            <w:pPr>
              <w:spacing w:line="240" w:lineRule="auto"/>
              <w:rPr>
                <w:color w:val="000000"/>
              </w:rPr>
            </w:pPr>
            <w:proofErr w:type="spellStart"/>
            <w:r w:rsidRPr="00052FCB">
              <w:rPr>
                <w:color w:val="000000"/>
              </w:rPr>
              <w:t>politikus</w:t>
            </w:r>
            <w:proofErr w:type="spellEnd"/>
            <w:r w:rsidRPr="00052FCB">
              <w:rPr>
                <w:color w:val="000000"/>
              </w:rPr>
              <w:t xml:space="preserve"> </w:t>
            </w:r>
            <w:proofErr w:type="spellStart"/>
            <w:r w:rsidRPr="00052FCB">
              <w:rPr>
                <w:color w:val="000000"/>
              </w:rPr>
              <w:t>bűn</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7110675D" w14:textId="77777777" w:rsidR="004354D3" w:rsidRPr="00052FCB" w:rsidRDefault="004354D3" w:rsidP="008802EE">
            <w:pPr>
              <w:spacing w:line="240" w:lineRule="auto"/>
              <w:rPr>
                <w:color w:val="000000"/>
              </w:rPr>
            </w:pPr>
            <w:r w:rsidRPr="00052FCB">
              <w:rPr>
                <w:color w:val="000000"/>
              </w:rPr>
              <w:t>politician crime*</w:t>
            </w:r>
          </w:p>
        </w:tc>
      </w:tr>
      <w:tr w:rsidR="004354D3" w:rsidRPr="00052FCB" w14:paraId="0732D870"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A08FFA2"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643B2D5"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E306C12" w14:textId="77777777" w:rsidR="004354D3" w:rsidRPr="00052FCB" w:rsidRDefault="004354D3" w:rsidP="008802EE">
            <w:pPr>
              <w:spacing w:line="240" w:lineRule="auto"/>
              <w:rPr>
                <w:color w:val="000000"/>
              </w:rPr>
            </w:pPr>
            <w:proofErr w:type="spellStart"/>
            <w:r w:rsidRPr="00052FCB">
              <w:rPr>
                <w:color w:val="000000"/>
              </w:rPr>
              <w:t>politikusbűn</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02AECE74" w14:textId="77777777" w:rsidR="004354D3" w:rsidRPr="00052FCB" w:rsidRDefault="004354D3" w:rsidP="008802EE">
            <w:pPr>
              <w:spacing w:line="240" w:lineRule="auto"/>
              <w:rPr>
                <w:color w:val="000000"/>
              </w:rPr>
            </w:pPr>
            <w:r w:rsidRPr="00052FCB">
              <w:rPr>
                <w:color w:val="000000"/>
              </w:rPr>
              <w:t>politician crime*</w:t>
            </w:r>
          </w:p>
        </w:tc>
      </w:tr>
      <w:tr w:rsidR="004354D3" w:rsidRPr="00052FCB" w14:paraId="446972BF"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4A5FF2E"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F3B64E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49B2E11" w14:textId="77777777" w:rsidR="004354D3" w:rsidRPr="00052FCB" w:rsidRDefault="004354D3" w:rsidP="008802EE">
            <w:pPr>
              <w:spacing w:line="240" w:lineRule="auto"/>
              <w:rPr>
                <w:color w:val="000000"/>
              </w:rPr>
            </w:pPr>
            <w:proofErr w:type="spellStart"/>
            <w:r w:rsidRPr="00052FCB">
              <w:rPr>
                <w:color w:val="000000"/>
              </w:rPr>
              <w:t>önkény</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042F97A" w14:textId="77777777" w:rsidR="004354D3" w:rsidRPr="00052FCB" w:rsidRDefault="004354D3" w:rsidP="008802EE">
            <w:pPr>
              <w:spacing w:line="240" w:lineRule="auto"/>
              <w:rPr>
                <w:color w:val="000000"/>
              </w:rPr>
            </w:pPr>
            <w:r w:rsidRPr="00052FCB">
              <w:rPr>
                <w:color w:val="000000"/>
              </w:rPr>
              <w:t>arbitrariness*</w:t>
            </w:r>
          </w:p>
        </w:tc>
      </w:tr>
      <w:tr w:rsidR="004354D3" w:rsidRPr="00052FCB" w14:paraId="72D9FD6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C63D06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C3F7A3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A3FF4DB" w14:textId="77777777" w:rsidR="004354D3" w:rsidRPr="00052FCB" w:rsidRDefault="004354D3" w:rsidP="008802EE">
            <w:pPr>
              <w:spacing w:line="240" w:lineRule="auto"/>
              <w:rPr>
                <w:color w:val="000000"/>
              </w:rPr>
            </w:pPr>
            <w:proofErr w:type="spellStart"/>
            <w:r w:rsidRPr="00052FCB">
              <w:rPr>
                <w:color w:val="000000"/>
              </w:rPr>
              <w:t>visszaél</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2A158D7" w14:textId="77777777" w:rsidR="004354D3" w:rsidRPr="00052FCB" w:rsidRDefault="004354D3" w:rsidP="008802EE">
            <w:pPr>
              <w:spacing w:line="240" w:lineRule="auto"/>
              <w:rPr>
                <w:color w:val="000000"/>
              </w:rPr>
            </w:pPr>
            <w:r w:rsidRPr="00052FCB">
              <w:rPr>
                <w:color w:val="000000"/>
              </w:rPr>
              <w:t>misuse*</w:t>
            </w:r>
          </w:p>
        </w:tc>
      </w:tr>
      <w:tr w:rsidR="004354D3" w:rsidRPr="00052FCB" w14:paraId="4D978CDF" w14:textId="77777777" w:rsidTr="008802EE">
        <w:trPr>
          <w:trHeight w:val="300"/>
        </w:trPr>
        <w:tc>
          <w:tcPr>
            <w:tcW w:w="14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DC502F" w14:textId="77777777" w:rsidR="004354D3" w:rsidRPr="00052FCB" w:rsidRDefault="004354D3" w:rsidP="008802EE">
            <w:pPr>
              <w:spacing w:line="240" w:lineRule="auto"/>
              <w:rPr>
                <w:color w:val="000000"/>
              </w:rPr>
            </w:pPr>
            <w:r w:rsidRPr="00052FCB">
              <w:rPr>
                <w:color w:val="000000"/>
              </w:rPr>
              <w:t>People-centrism</w:t>
            </w: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FCF238" w14:textId="77777777" w:rsidR="004354D3" w:rsidRPr="00052FCB" w:rsidRDefault="004354D3" w:rsidP="008802EE">
            <w:pPr>
              <w:spacing w:line="240" w:lineRule="auto"/>
              <w:jc w:val="center"/>
              <w:rPr>
                <w:color w:val="000000"/>
              </w:rPr>
            </w:pPr>
            <w:r w:rsidRPr="00052FCB">
              <w:rPr>
                <w:color w:val="000000"/>
              </w:rPr>
              <w:t>Previous Literature</w:t>
            </w:r>
          </w:p>
        </w:tc>
        <w:tc>
          <w:tcPr>
            <w:tcW w:w="3363" w:type="dxa"/>
            <w:tcBorders>
              <w:top w:val="nil"/>
              <w:left w:val="nil"/>
              <w:bottom w:val="single" w:sz="8" w:space="0" w:color="auto"/>
              <w:right w:val="single" w:sz="8" w:space="0" w:color="auto"/>
            </w:tcBorders>
            <w:shd w:val="clear" w:color="auto" w:fill="auto"/>
            <w:noWrap/>
            <w:vAlign w:val="center"/>
            <w:hideMark/>
          </w:tcPr>
          <w:p w14:paraId="4FE50B56" w14:textId="77777777" w:rsidR="004354D3" w:rsidRPr="00052FCB" w:rsidRDefault="004354D3" w:rsidP="008802EE">
            <w:pPr>
              <w:spacing w:line="240" w:lineRule="auto"/>
              <w:rPr>
                <w:color w:val="000000"/>
              </w:rPr>
            </w:pPr>
            <w:r w:rsidRPr="00052FCB">
              <w:rPr>
                <w:color w:val="000000"/>
              </w:rPr>
              <w:t>^</w:t>
            </w:r>
            <w:proofErr w:type="spellStart"/>
            <w:r w:rsidRPr="00052FCB">
              <w:rPr>
                <w:color w:val="000000"/>
              </w:rPr>
              <w:t>nemzeti</w:t>
            </w:r>
            <w:proofErr w:type="spellEnd"/>
            <w:r w:rsidRPr="00052FCB">
              <w:rPr>
                <w:color w:val="000000"/>
              </w:rPr>
              <w:t>*$[^(</w:t>
            </w:r>
            <w:proofErr w:type="spellStart"/>
            <w:r w:rsidRPr="00052FCB">
              <w:rPr>
                <w:color w:val="000000"/>
              </w:rPr>
              <w:t>együttmuködés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0F0B68A" w14:textId="77777777" w:rsidR="004354D3" w:rsidRPr="00052FCB" w:rsidRDefault="004354D3" w:rsidP="008802EE">
            <w:pPr>
              <w:spacing w:line="240" w:lineRule="auto"/>
              <w:rPr>
                <w:color w:val="000000"/>
              </w:rPr>
            </w:pPr>
            <w:r w:rsidRPr="00052FCB">
              <w:rPr>
                <w:color w:val="000000"/>
              </w:rPr>
              <w:t>national*, but not national cooperation</w:t>
            </w:r>
          </w:p>
        </w:tc>
      </w:tr>
      <w:tr w:rsidR="004354D3" w:rsidRPr="00052FCB" w14:paraId="5B0FEAD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A041E74"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B112102"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B2C0D89" w14:textId="77777777" w:rsidR="004354D3" w:rsidRPr="00052FCB" w:rsidRDefault="004354D3" w:rsidP="008802EE">
            <w:pPr>
              <w:spacing w:line="240" w:lineRule="auto"/>
              <w:rPr>
                <w:color w:val="000000"/>
              </w:rPr>
            </w:pPr>
            <w:proofErr w:type="spellStart"/>
            <w:r w:rsidRPr="00052FCB">
              <w:rPr>
                <w:color w:val="000000"/>
              </w:rPr>
              <w:t>állampolgár</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6410295E" w14:textId="77777777" w:rsidR="004354D3" w:rsidRPr="00052FCB" w:rsidRDefault="004354D3" w:rsidP="008802EE">
            <w:pPr>
              <w:spacing w:line="240" w:lineRule="auto"/>
              <w:rPr>
                <w:color w:val="000000"/>
              </w:rPr>
            </w:pPr>
            <w:r w:rsidRPr="00052FCB">
              <w:rPr>
                <w:color w:val="000000"/>
              </w:rPr>
              <w:t>citizen*</w:t>
            </w:r>
          </w:p>
        </w:tc>
      </w:tr>
      <w:tr w:rsidR="004354D3" w:rsidRPr="00052FCB" w14:paraId="61083FE8"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CB219D3"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795589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77487C0" w14:textId="77777777" w:rsidR="004354D3" w:rsidRPr="00052FCB" w:rsidRDefault="004354D3" w:rsidP="008802EE">
            <w:pPr>
              <w:spacing w:line="240" w:lineRule="auto"/>
              <w:rPr>
                <w:color w:val="000000"/>
              </w:rPr>
            </w:pPr>
            <w:proofErr w:type="spellStart"/>
            <w:r w:rsidRPr="00052FCB">
              <w:rPr>
                <w:color w:val="000000"/>
              </w:rPr>
              <w:t>dolgozó</w:t>
            </w:r>
            <w:proofErr w:type="spellEnd"/>
            <w:r w:rsidRPr="00052FCB">
              <w:rPr>
                <w:color w:val="000000"/>
              </w:rPr>
              <w:t xml:space="preserve"> ember*</w:t>
            </w:r>
          </w:p>
        </w:tc>
        <w:tc>
          <w:tcPr>
            <w:tcW w:w="2281" w:type="dxa"/>
            <w:tcBorders>
              <w:top w:val="nil"/>
              <w:left w:val="nil"/>
              <w:bottom w:val="single" w:sz="8" w:space="0" w:color="auto"/>
              <w:right w:val="single" w:sz="8" w:space="0" w:color="auto"/>
            </w:tcBorders>
            <w:shd w:val="clear" w:color="auto" w:fill="auto"/>
            <w:noWrap/>
            <w:vAlign w:val="center"/>
            <w:hideMark/>
          </w:tcPr>
          <w:p w14:paraId="3C88A3FF" w14:textId="77777777" w:rsidR="004354D3" w:rsidRPr="00052FCB" w:rsidRDefault="004354D3" w:rsidP="008802EE">
            <w:pPr>
              <w:spacing w:line="240" w:lineRule="auto"/>
              <w:rPr>
                <w:color w:val="000000"/>
              </w:rPr>
            </w:pPr>
            <w:r w:rsidRPr="00052FCB">
              <w:rPr>
                <w:color w:val="000000"/>
              </w:rPr>
              <w:t>working people*</w:t>
            </w:r>
          </w:p>
        </w:tc>
      </w:tr>
      <w:tr w:rsidR="004354D3" w:rsidRPr="00052FCB" w14:paraId="45175366"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488920F"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5657F6B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07A04C82" w14:textId="77777777" w:rsidR="004354D3" w:rsidRPr="00052FCB" w:rsidRDefault="004354D3" w:rsidP="008802EE">
            <w:pPr>
              <w:spacing w:line="240" w:lineRule="auto"/>
              <w:rPr>
                <w:color w:val="000000"/>
              </w:rPr>
            </w:pPr>
            <w:proofErr w:type="spellStart"/>
            <w:r w:rsidRPr="00052FCB">
              <w:rPr>
                <w:color w:val="000000"/>
              </w:rPr>
              <w:t>egyszerű</w:t>
            </w:r>
            <w:proofErr w:type="spellEnd"/>
            <w:r w:rsidRPr="00052FCB">
              <w:rPr>
                <w:color w:val="000000"/>
              </w:rPr>
              <w:t xml:space="preserve"> ember*</w:t>
            </w:r>
          </w:p>
        </w:tc>
        <w:tc>
          <w:tcPr>
            <w:tcW w:w="2281" w:type="dxa"/>
            <w:tcBorders>
              <w:top w:val="nil"/>
              <w:left w:val="nil"/>
              <w:bottom w:val="single" w:sz="8" w:space="0" w:color="auto"/>
              <w:right w:val="single" w:sz="8" w:space="0" w:color="auto"/>
            </w:tcBorders>
            <w:shd w:val="clear" w:color="auto" w:fill="auto"/>
            <w:noWrap/>
            <w:vAlign w:val="center"/>
            <w:hideMark/>
          </w:tcPr>
          <w:p w14:paraId="2BA3C708" w14:textId="77777777" w:rsidR="004354D3" w:rsidRPr="00052FCB" w:rsidRDefault="004354D3" w:rsidP="008802EE">
            <w:pPr>
              <w:spacing w:line="240" w:lineRule="auto"/>
              <w:rPr>
                <w:color w:val="000000"/>
              </w:rPr>
            </w:pPr>
            <w:r w:rsidRPr="00052FCB">
              <w:rPr>
                <w:color w:val="000000"/>
              </w:rPr>
              <w:t>simple people*</w:t>
            </w:r>
          </w:p>
        </w:tc>
      </w:tr>
      <w:tr w:rsidR="004354D3" w:rsidRPr="00052FCB" w14:paraId="340F4C5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AE7539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77D772F"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351FE91" w14:textId="77777777" w:rsidR="004354D3" w:rsidRPr="00052FCB" w:rsidRDefault="004354D3" w:rsidP="008802EE">
            <w:pPr>
              <w:spacing w:line="240" w:lineRule="auto"/>
              <w:rPr>
                <w:color w:val="000000"/>
              </w:rPr>
            </w:pPr>
            <w:proofErr w:type="spellStart"/>
            <w:r w:rsidRPr="00052FCB">
              <w:rPr>
                <w:color w:val="000000"/>
              </w:rPr>
              <w:t>magyar</w:t>
            </w:r>
            <w:proofErr w:type="spellEnd"/>
            <w:r w:rsidRPr="00052FCB">
              <w:rPr>
                <w:color w:val="000000"/>
              </w:rPr>
              <w:t xml:space="preserve"> ember*</w:t>
            </w:r>
          </w:p>
        </w:tc>
        <w:tc>
          <w:tcPr>
            <w:tcW w:w="2281" w:type="dxa"/>
            <w:tcBorders>
              <w:top w:val="nil"/>
              <w:left w:val="nil"/>
              <w:bottom w:val="single" w:sz="8" w:space="0" w:color="auto"/>
              <w:right w:val="single" w:sz="8" w:space="0" w:color="auto"/>
            </w:tcBorders>
            <w:shd w:val="clear" w:color="auto" w:fill="auto"/>
            <w:noWrap/>
            <w:vAlign w:val="center"/>
            <w:hideMark/>
          </w:tcPr>
          <w:p w14:paraId="2B9FFF3B" w14:textId="77777777" w:rsidR="004354D3" w:rsidRPr="00052FCB" w:rsidRDefault="004354D3" w:rsidP="008802EE">
            <w:pPr>
              <w:spacing w:line="240" w:lineRule="auto"/>
              <w:rPr>
                <w:color w:val="000000"/>
              </w:rPr>
            </w:pPr>
            <w:r w:rsidRPr="00052FCB">
              <w:rPr>
                <w:color w:val="000000"/>
              </w:rPr>
              <w:t>Hungarian people*</w:t>
            </w:r>
          </w:p>
        </w:tc>
      </w:tr>
      <w:tr w:rsidR="004354D3" w:rsidRPr="00052FCB" w14:paraId="64ACADB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9F020CF"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C278D6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4695B7A" w14:textId="77777777" w:rsidR="004354D3" w:rsidRPr="00052FCB" w:rsidRDefault="004354D3" w:rsidP="008802EE">
            <w:pPr>
              <w:spacing w:line="240" w:lineRule="auto"/>
              <w:rPr>
                <w:color w:val="000000"/>
              </w:rPr>
            </w:pPr>
            <w:proofErr w:type="spellStart"/>
            <w:r w:rsidRPr="00052FCB">
              <w:rPr>
                <w:color w:val="000000"/>
              </w:rPr>
              <w:t>normális</w:t>
            </w:r>
            <w:proofErr w:type="spellEnd"/>
            <w:r w:rsidRPr="00052FCB">
              <w:rPr>
                <w:color w:val="000000"/>
              </w:rPr>
              <w:t xml:space="preserve"> ember*</w:t>
            </w:r>
          </w:p>
        </w:tc>
        <w:tc>
          <w:tcPr>
            <w:tcW w:w="2281" w:type="dxa"/>
            <w:tcBorders>
              <w:top w:val="nil"/>
              <w:left w:val="nil"/>
              <w:bottom w:val="single" w:sz="8" w:space="0" w:color="auto"/>
              <w:right w:val="single" w:sz="8" w:space="0" w:color="auto"/>
            </w:tcBorders>
            <w:shd w:val="clear" w:color="auto" w:fill="auto"/>
            <w:noWrap/>
            <w:vAlign w:val="center"/>
            <w:hideMark/>
          </w:tcPr>
          <w:p w14:paraId="48E718BC" w14:textId="77777777" w:rsidR="004354D3" w:rsidRPr="00052FCB" w:rsidRDefault="004354D3" w:rsidP="008802EE">
            <w:pPr>
              <w:spacing w:line="240" w:lineRule="auto"/>
              <w:rPr>
                <w:color w:val="000000"/>
              </w:rPr>
            </w:pPr>
            <w:r w:rsidRPr="00052FCB">
              <w:rPr>
                <w:color w:val="000000"/>
              </w:rPr>
              <w:t>normal people*</w:t>
            </w:r>
          </w:p>
        </w:tc>
      </w:tr>
      <w:tr w:rsidR="004354D3" w:rsidRPr="00052FCB" w14:paraId="1C3872E6"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F9192B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EB6174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AA8ADE1" w14:textId="77777777" w:rsidR="004354D3" w:rsidRPr="00052FCB" w:rsidRDefault="004354D3" w:rsidP="008802EE">
            <w:pPr>
              <w:spacing w:line="240" w:lineRule="auto"/>
              <w:rPr>
                <w:color w:val="000000"/>
              </w:rPr>
            </w:pPr>
            <w:proofErr w:type="spellStart"/>
            <w:r w:rsidRPr="00052FCB">
              <w:rPr>
                <w:color w:val="000000"/>
              </w:rPr>
              <w:t>rengeteg</w:t>
            </w:r>
            <w:proofErr w:type="spellEnd"/>
            <w:r w:rsidRPr="00052FCB">
              <w:rPr>
                <w:color w:val="000000"/>
              </w:rPr>
              <w:t xml:space="preserve"> ember*</w:t>
            </w:r>
          </w:p>
        </w:tc>
        <w:tc>
          <w:tcPr>
            <w:tcW w:w="2281" w:type="dxa"/>
            <w:tcBorders>
              <w:top w:val="nil"/>
              <w:left w:val="nil"/>
              <w:bottom w:val="single" w:sz="8" w:space="0" w:color="auto"/>
              <w:right w:val="single" w:sz="8" w:space="0" w:color="auto"/>
            </w:tcBorders>
            <w:shd w:val="clear" w:color="auto" w:fill="auto"/>
            <w:noWrap/>
            <w:vAlign w:val="center"/>
            <w:hideMark/>
          </w:tcPr>
          <w:p w14:paraId="44236076" w14:textId="77777777" w:rsidR="004354D3" w:rsidRPr="00052FCB" w:rsidRDefault="004354D3" w:rsidP="008802EE">
            <w:pPr>
              <w:spacing w:line="240" w:lineRule="auto"/>
              <w:rPr>
                <w:color w:val="000000"/>
              </w:rPr>
            </w:pPr>
            <w:r w:rsidRPr="00052FCB">
              <w:rPr>
                <w:color w:val="000000"/>
              </w:rPr>
              <w:t>multitude of people*</w:t>
            </w:r>
          </w:p>
        </w:tc>
      </w:tr>
      <w:tr w:rsidR="004354D3" w:rsidRPr="00052FCB" w14:paraId="00D35BE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C9CA7D7"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0DFA51E"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ECE4AB5" w14:textId="77777777" w:rsidR="004354D3" w:rsidRPr="00052FCB" w:rsidRDefault="004354D3" w:rsidP="008802EE">
            <w:pPr>
              <w:spacing w:line="240" w:lineRule="auto"/>
              <w:rPr>
                <w:color w:val="000000"/>
              </w:rPr>
            </w:pPr>
            <w:proofErr w:type="spellStart"/>
            <w:r w:rsidRPr="00052FCB">
              <w:rPr>
                <w:color w:val="000000"/>
              </w:rPr>
              <w:t>tisztességes</w:t>
            </w:r>
            <w:proofErr w:type="spellEnd"/>
            <w:r w:rsidRPr="00052FCB">
              <w:rPr>
                <w:color w:val="000000"/>
              </w:rPr>
              <w:t xml:space="preserve"> ember*</w:t>
            </w:r>
          </w:p>
        </w:tc>
        <w:tc>
          <w:tcPr>
            <w:tcW w:w="2281" w:type="dxa"/>
            <w:tcBorders>
              <w:top w:val="nil"/>
              <w:left w:val="nil"/>
              <w:bottom w:val="single" w:sz="8" w:space="0" w:color="auto"/>
              <w:right w:val="single" w:sz="8" w:space="0" w:color="auto"/>
            </w:tcBorders>
            <w:shd w:val="clear" w:color="auto" w:fill="auto"/>
            <w:noWrap/>
            <w:vAlign w:val="center"/>
            <w:hideMark/>
          </w:tcPr>
          <w:p w14:paraId="4B1507A7" w14:textId="77777777" w:rsidR="004354D3" w:rsidRPr="00052FCB" w:rsidRDefault="004354D3" w:rsidP="008802EE">
            <w:pPr>
              <w:spacing w:line="240" w:lineRule="auto"/>
              <w:rPr>
                <w:color w:val="000000"/>
              </w:rPr>
            </w:pPr>
            <w:r w:rsidRPr="00052FCB">
              <w:rPr>
                <w:color w:val="000000"/>
              </w:rPr>
              <w:t>honest people*</w:t>
            </w:r>
          </w:p>
        </w:tc>
      </w:tr>
      <w:tr w:rsidR="004354D3" w:rsidRPr="00052FCB" w14:paraId="0D64E117"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77A46C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8FAE6B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0C70C66E" w14:textId="77777777" w:rsidR="004354D3" w:rsidRPr="00052FCB" w:rsidRDefault="004354D3" w:rsidP="008802EE">
            <w:pPr>
              <w:spacing w:line="240" w:lineRule="auto"/>
              <w:rPr>
                <w:color w:val="000000"/>
              </w:rPr>
            </w:pPr>
            <w:proofErr w:type="spellStart"/>
            <w:r w:rsidRPr="00052FCB">
              <w:rPr>
                <w:color w:val="000000"/>
              </w:rPr>
              <w:t>nép</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5D79314B" w14:textId="77777777" w:rsidR="004354D3" w:rsidRPr="00052FCB" w:rsidRDefault="004354D3" w:rsidP="008802EE">
            <w:pPr>
              <w:spacing w:line="240" w:lineRule="auto"/>
              <w:rPr>
                <w:color w:val="000000"/>
              </w:rPr>
            </w:pPr>
            <w:r w:rsidRPr="00052FCB">
              <w:rPr>
                <w:color w:val="000000"/>
              </w:rPr>
              <w:t>folk</w:t>
            </w:r>
          </w:p>
        </w:tc>
      </w:tr>
      <w:tr w:rsidR="004354D3" w:rsidRPr="00052FCB" w14:paraId="16833B02"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21BF6D6"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5D95486"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D8C57FE" w14:textId="77777777" w:rsidR="004354D3" w:rsidRPr="00052FCB" w:rsidRDefault="004354D3" w:rsidP="008802EE">
            <w:pPr>
              <w:spacing w:line="240" w:lineRule="auto"/>
              <w:rPr>
                <w:color w:val="000000"/>
              </w:rPr>
            </w:pPr>
            <w:r w:rsidRPr="00052FCB">
              <w:rPr>
                <w:color w:val="000000"/>
              </w:rPr>
              <w:t>referend*</w:t>
            </w:r>
          </w:p>
        </w:tc>
        <w:tc>
          <w:tcPr>
            <w:tcW w:w="2281" w:type="dxa"/>
            <w:tcBorders>
              <w:top w:val="nil"/>
              <w:left w:val="nil"/>
              <w:bottom w:val="single" w:sz="8" w:space="0" w:color="auto"/>
              <w:right w:val="single" w:sz="8" w:space="0" w:color="auto"/>
            </w:tcBorders>
            <w:shd w:val="clear" w:color="auto" w:fill="auto"/>
            <w:noWrap/>
            <w:vAlign w:val="center"/>
            <w:hideMark/>
          </w:tcPr>
          <w:p w14:paraId="3C1897C5" w14:textId="77777777" w:rsidR="004354D3" w:rsidRPr="00052FCB" w:rsidRDefault="004354D3" w:rsidP="008802EE">
            <w:pPr>
              <w:spacing w:line="240" w:lineRule="auto"/>
              <w:rPr>
                <w:color w:val="000000"/>
              </w:rPr>
            </w:pPr>
            <w:r w:rsidRPr="00052FCB">
              <w:rPr>
                <w:color w:val="000000"/>
              </w:rPr>
              <w:t>referend*</w:t>
            </w:r>
          </w:p>
        </w:tc>
      </w:tr>
      <w:tr w:rsidR="004354D3" w:rsidRPr="00052FCB" w14:paraId="719F7E89"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37B786B"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72C77FA7"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A792140" w14:textId="77777777" w:rsidR="004354D3" w:rsidRPr="00052FCB" w:rsidRDefault="004354D3" w:rsidP="008802EE">
            <w:pPr>
              <w:spacing w:line="240" w:lineRule="auto"/>
              <w:rPr>
                <w:color w:val="000000"/>
              </w:rPr>
            </w:pPr>
            <w:proofErr w:type="spellStart"/>
            <w:r w:rsidRPr="00052FCB">
              <w:rPr>
                <w:color w:val="000000"/>
              </w:rPr>
              <w:t>szavazóbáz</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3FD908E" w14:textId="77777777" w:rsidR="004354D3" w:rsidRPr="00052FCB" w:rsidRDefault="004354D3" w:rsidP="008802EE">
            <w:pPr>
              <w:spacing w:line="240" w:lineRule="auto"/>
              <w:rPr>
                <w:color w:val="000000"/>
              </w:rPr>
            </w:pPr>
            <w:r w:rsidRPr="00052FCB">
              <w:rPr>
                <w:color w:val="000000"/>
              </w:rPr>
              <w:t>voter base*</w:t>
            </w:r>
          </w:p>
        </w:tc>
      </w:tr>
      <w:tr w:rsidR="004354D3" w:rsidRPr="00052FCB" w14:paraId="6B8E0FD1"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EC63DA4"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6377765"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8EC4E15" w14:textId="77777777" w:rsidR="004354D3" w:rsidRPr="00052FCB" w:rsidRDefault="004354D3" w:rsidP="008802EE">
            <w:pPr>
              <w:spacing w:line="240" w:lineRule="auto"/>
              <w:rPr>
                <w:color w:val="000000"/>
              </w:rPr>
            </w:pPr>
            <w:proofErr w:type="spellStart"/>
            <w:r w:rsidRPr="00052FCB">
              <w:rPr>
                <w:color w:val="000000"/>
              </w:rPr>
              <w:t>választóink</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C7C6727" w14:textId="77777777" w:rsidR="004354D3" w:rsidRPr="00052FCB" w:rsidRDefault="004354D3" w:rsidP="008802EE">
            <w:pPr>
              <w:spacing w:line="240" w:lineRule="auto"/>
              <w:rPr>
                <w:color w:val="000000"/>
              </w:rPr>
            </w:pPr>
            <w:r w:rsidRPr="00052FCB">
              <w:rPr>
                <w:color w:val="000000"/>
              </w:rPr>
              <w:t>our voters*</w:t>
            </w:r>
          </w:p>
        </w:tc>
      </w:tr>
      <w:tr w:rsidR="004354D3" w:rsidRPr="00052FCB" w14:paraId="46E0E8B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401BE29" w14:textId="77777777" w:rsidR="004354D3" w:rsidRPr="00052FCB" w:rsidRDefault="004354D3" w:rsidP="008802EE">
            <w:pPr>
              <w:spacing w:line="240" w:lineRule="auto"/>
              <w:rPr>
                <w:color w:val="000000"/>
              </w:rPr>
            </w:pP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E900D7" w14:textId="77777777" w:rsidR="004354D3" w:rsidRPr="00052FCB" w:rsidRDefault="004354D3" w:rsidP="008802EE">
            <w:pPr>
              <w:spacing w:line="240" w:lineRule="auto"/>
              <w:jc w:val="center"/>
              <w:rPr>
                <w:color w:val="000000"/>
              </w:rPr>
            </w:pPr>
            <w:r w:rsidRPr="00052FCB">
              <w:rPr>
                <w:color w:val="000000"/>
              </w:rPr>
              <w:t>Manifesto</w:t>
            </w:r>
          </w:p>
        </w:tc>
        <w:tc>
          <w:tcPr>
            <w:tcW w:w="3363" w:type="dxa"/>
            <w:tcBorders>
              <w:top w:val="nil"/>
              <w:left w:val="nil"/>
              <w:bottom w:val="single" w:sz="8" w:space="0" w:color="auto"/>
              <w:right w:val="single" w:sz="8" w:space="0" w:color="auto"/>
            </w:tcBorders>
            <w:shd w:val="clear" w:color="auto" w:fill="auto"/>
            <w:noWrap/>
            <w:vAlign w:val="center"/>
            <w:hideMark/>
          </w:tcPr>
          <w:p w14:paraId="32D1F8B2" w14:textId="77777777" w:rsidR="004354D3" w:rsidRPr="00052FCB" w:rsidRDefault="004354D3" w:rsidP="008802EE">
            <w:pPr>
              <w:spacing w:line="240" w:lineRule="auto"/>
              <w:rPr>
                <w:color w:val="000000"/>
              </w:rPr>
            </w:pPr>
            <w:proofErr w:type="spellStart"/>
            <w:r w:rsidRPr="00052FCB">
              <w:rPr>
                <w:color w:val="000000"/>
              </w:rPr>
              <w:t>konzultá</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C3E8E2B" w14:textId="77777777" w:rsidR="004354D3" w:rsidRPr="00052FCB" w:rsidRDefault="004354D3" w:rsidP="008802EE">
            <w:pPr>
              <w:spacing w:line="240" w:lineRule="auto"/>
              <w:rPr>
                <w:color w:val="000000"/>
              </w:rPr>
            </w:pPr>
            <w:r w:rsidRPr="00052FCB">
              <w:rPr>
                <w:color w:val="000000"/>
              </w:rPr>
              <w:t>consult*</w:t>
            </w:r>
          </w:p>
        </w:tc>
      </w:tr>
      <w:tr w:rsidR="004354D3" w:rsidRPr="00052FCB" w14:paraId="4412B12C"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D4D10FF"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5091CFE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04E23694" w14:textId="77777777" w:rsidR="004354D3" w:rsidRPr="00052FCB" w:rsidRDefault="004354D3" w:rsidP="008802EE">
            <w:pPr>
              <w:spacing w:line="240" w:lineRule="auto"/>
              <w:rPr>
                <w:color w:val="000000"/>
              </w:rPr>
            </w:pPr>
            <w:proofErr w:type="spellStart"/>
            <w:r w:rsidRPr="00052FCB">
              <w:rPr>
                <w:color w:val="000000"/>
              </w:rPr>
              <w:t>néphez</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755474D3" w14:textId="77777777" w:rsidR="004354D3" w:rsidRPr="00052FCB" w:rsidRDefault="004354D3" w:rsidP="008802EE">
            <w:pPr>
              <w:spacing w:line="240" w:lineRule="auto"/>
              <w:rPr>
                <w:color w:val="000000"/>
              </w:rPr>
            </w:pPr>
            <w:r w:rsidRPr="00052FCB">
              <w:rPr>
                <w:color w:val="000000"/>
              </w:rPr>
              <w:t>for the people*</w:t>
            </w:r>
          </w:p>
        </w:tc>
      </w:tr>
      <w:tr w:rsidR="004354D3" w:rsidRPr="00052FCB" w14:paraId="7E085732"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C23BBD4"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1E97B8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5339BEB" w14:textId="77777777" w:rsidR="004354D3" w:rsidRPr="00052FCB" w:rsidRDefault="004354D3" w:rsidP="008802EE">
            <w:pPr>
              <w:spacing w:line="240" w:lineRule="auto"/>
              <w:rPr>
                <w:color w:val="000000"/>
              </w:rPr>
            </w:pPr>
            <w:proofErr w:type="spellStart"/>
            <w:r w:rsidRPr="00052FCB">
              <w:rPr>
                <w:color w:val="000000"/>
              </w:rPr>
              <w:t>népnek</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77F1459C" w14:textId="77777777" w:rsidR="004354D3" w:rsidRPr="00052FCB" w:rsidRDefault="004354D3" w:rsidP="008802EE">
            <w:pPr>
              <w:spacing w:line="240" w:lineRule="auto"/>
              <w:rPr>
                <w:color w:val="000000"/>
              </w:rPr>
            </w:pPr>
            <w:r w:rsidRPr="00052FCB">
              <w:rPr>
                <w:color w:val="000000"/>
              </w:rPr>
              <w:t>to the people*</w:t>
            </w:r>
          </w:p>
        </w:tc>
      </w:tr>
      <w:tr w:rsidR="004354D3" w:rsidRPr="00052FCB" w14:paraId="60C61543"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1061E2A"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2BFF49F"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918368E" w14:textId="77777777" w:rsidR="004354D3" w:rsidRPr="00052FCB" w:rsidRDefault="004354D3" w:rsidP="008802EE">
            <w:pPr>
              <w:spacing w:line="240" w:lineRule="auto"/>
              <w:rPr>
                <w:color w:val="000000"/>
              </w:rPr>
            </w:pPr>
            <w:proofErr w:type="spellStart"/>
            <w:r w:rsidRPr="00052FCB">
              <w:rPr>
                <w:color w:val="000000"/>
              </w:rPr>
              <w:t>néppel</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50F1A14E" w14:textId="77777777" w:rsidR="004354D3" w:rsidRPr="00052FCB" w:rsidRDefault="004354D3" w:rsidP="008802EE">
            <w:pPr>
              <w:spacing w:line="240" w:lineRule="auto"/>
              <w:rPr>
                <w:color w:val="000000"/>
              </w:rPr>
            </w:pPr>
            <w:r w:rsidRPr="00052FCB">
              <w:rPr>
                <w:color w:val="000000"/>
              </w:rPr>
              <w:t>with the people</w:t>
            </w:r>
          </w:p>
        </w:tc>
      </w:tr>
      <w:tr w:rsidR="004354D3" w:rsidRPr="00052FCB" w14:paraId="5AA4C813"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A2A82B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BE52BA7"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1C86D99" w14:textId="77777777" w:rsidR="004354D3" w:rsidRPr="00052FCB" w:rsidRDefault="004354D3" w:rsidP="008802EE">
            <w:pPr>
              <w:spacing w:line="240" w:lineRule="auto"/>
              <w:rPr>
                <w:color w:val="000000"/>
              </w:rPr>
            </w:pPr>
            <w:proofErr w:type="spellStart"/>
            <w:r w:rsidRPr="00052FCB">
              <w:rPr>
                <w:color w:val="000000"/>
              </w:rPr>
              <w:t>népszavaz</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61216ECE" w14:textId="77777777" w:rsidR="004354D3" w:rsidRPr="00052FCB" w:rsidRDefault="004354D3" w:rsidP="008802EE">
            <w:pPr>
              <w:spacing w:line="240" w:lineRule="auto"/>
              <w:rPr>
                <w:color w:val="000000"/>
              </w:rPr>
            </w:pPr>
            <w:r w:rsidRPr="00052FCB">
              <w:rPr>
                <w:color w:val="000000"/>
              </w:rPr>
              <w:t>people's vote*</w:t>
            </w:r>
          </w:p>
        </w:tc>
      </w:tr>
      <w:tr w:rsidR="004354D3" w:rsidRPr="00052FCB" w14:paraId="3E195073"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E9C68AD"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5168A4A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68101B8" w14:textId="77777777" w:rsidR="004354D3" w:rsidRPr="00052FCB" w:rsidRDefault="004354D3" w:rsidP="008802EE">
            <w:pPr>
              <w:spacing w:line="240" w:lineRule="auto"/>
              <w:rPr>
                <w:color w:val="000000"/>
              </w:rPr>
            </w:pPr>
            <w:proofErr w:type="spellStart"/>
            <w:r w:rsidRPr="00052FCB">
              <w:rPr>
                <w:color w:val="000000"/>
              </w:rPr>
              <w:t>választók</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0E2BB707" w14:textId="77777777" w:rsidR="004354D3" w:rsidRPr="00052FCB" w:rsidRDefault="004354D3" w:rsidP="008802EE">
            <w:pPr>
              <w:spacing w:line="240" w:lineRule="auto"/>
              <w:rPr>
                <w:color w:val="000000"/>
              </w:rPr>
            </w:pPr>
            <w:r w:rsidRPr="00052FCB">
              <w:rPr>
                <w:color w:val="000000"/>
              </w:rPr>
              <w:t>voters*</w:t>
            </w:r>
          </w:p>
        </w:tc>
      </w:tr>
      <w:tr w:rsidR="004354D3" w:rsidRPr="00052FCB" w14:paraId="14FA6DC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C301B80" w14:textId="77777777" w:rsidR="004354D3" w:rsidRPr="00052FCB" w:rsidRDefault="004354D3" w:rsidP="008802EE">
            <w:pPr>
              <w:spacing w:line="240" w:lineRule="auto"/>
              <w:rPr>
                <w:color w:val="000000"/>
              </w:rPr>
            </w:pP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9BE188" w14:textId="77777777" w:rsidR="004354D3" w:rsidRPr="00052FCB" w:rsidRDefault="004354D3" w:rsidP="008802EE">
            <w:pPr>
              <w:spacing w:line="240" w:lineRule="auto"/>
              <w:jc w:val="center"/>
              <w:rPr>
                <w:color w:val="000000"/>
              </w:rPr>
            </w:pPr>
            <w:r w:rsidRPr="00052FCB">
              <w:rPr>
                <w:color w:val="000000"/>
              </w:rPr>
              <w:t>Context Specific</w:t>
            </w:r>
          </w:p>
        </w:tc>
        <w:tc>
          <w:tcPr>
            <w:tcW w:w="3363" w:type="dxa"/>
            <w:tcBorders>
              <w:top w:val="nil"/>
              <w:left w:val="nil"/>
              <w:bottom w:val="single" w:sz="8" w:space="0" w:color="auto"/>
              <w:right w:val="single" w:sz="8" w:space="0" w:color="auto"/>
            </w:tcBorders>
            <w:shd w:val="clear" w:color="auto" w:fill="auto"/>
            <w:noWrap/>
            <w:vAlign w:val="center"/>
            <w:hideMark/>
          </w:tcPr>
          <w:p w14:paraId="5327E4C3" w14:textId="77777777" w:rsidR="004354D3" w:rsidRPr="00052FCB" w:rsidRDefault="004354D3" w:rsidP="008802EE">
            <w:pPr>
              <w:spacing w:line="240" w:lineRule="auto"/>
              <w:rPr>
                <w:color w:val="000000"/>
              </w:rPr>
            </w:pPr>
            <w:proofErr w:type="spellStart"/>
            <w:r w:rsidRPr="00052FCB">
              <w:rPr>
                <w:color w:val="000000"/>
              </w:rPr>
              <w:t>népakar</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C7FFC2F" w14:textId="77777777" w:rsidR="004354D3" w:rsidRPr="00052FCB" w:rsidRDefault="004354D3" w:rsidP="008802EE">
            <w:pPr>
              <w:spacing w:line="240" w:lineRule="auto"/>
              <w:rPr>
                <w:color w:val="000000"/>
              </w:rPr>
            </w:pPr>
            <w:r w:rsidRPr="00052FCB">
              <w:rPr>
                <w:color w:val="000000"/>
              </w:rPr>
              <w:t>popular will*</w:t>
            </w:r>
          </w:p>
        </w:tc>
      </w:tr>
      <w:tr w:rsidR="004354D3" w:rsidRPr="00052FCB" w14:paraId="7C6D1B4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651D81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CDC9731"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5A117A7" w14:textId="77777777" w:rsidR="004354D3" w:rsidRPr="00052FCB" w:rsidRDefault="004354D3" w:rsidP="008802EE">
            <w:pPr>
              <w:spacing w:line="240" w:lineRule="auto"/>
              <w:rPr>
                <w:color w:val="000000"/>
              </w:rPr>
            </w:pPr>
            <w:proofErr w:type="spellStart"/>
            <w:r w:rsidRPr="00052FCB">
              <w:rPr>
                <w:color w:val="000000"/>
              </w:rPr>
              <w:t>polgárikezdemény</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70154E63" w14:textId="77777777" w:rsidR="004354D3" w:rsidRPr="00052FCB" w:rsidRDefault="004354D3" w:rsidP="008802EE">
            <w:pPr>
              <w:spacing w:line="240" w:lineRule="auto"/>
              <w:rPr>
                <w:color w:val="000000"/>
              </w:rPr>
            </w:pPr>
            <w:r w:rsidRPr="00052FCB">
              <w:rPr>
                <w:color w:val="000000"/>
              </w:rPr>
              <w:t>citizen initiative*</w:t>
            </w:r>
          </w:p>
        </w:tc>
      </w:tr>
      <w:tr w:rsidR="004354D3" w:rsidRPr="00052FCB" w14:paraId="1B7DC5D6"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0BD7C8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05FA80F"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0BEE678" w14:textId="77777777" w:rsidR="004354D3" w:rsidRPr="00052FCB" w:rsidRDefault="004354D3" w:rsidP="008802EE">
            <w:pPr>
              <w:spacing w:line="240" w:lineRule="auto"/>
              <w:rPr>
                <w:color w:val="000000"/>
              </w:rPr>
            </w:pPr>
            <w:proofErr w:type="spellStart"/>
            <w:r w:rsidRPr="00052FCB">
              <w:rPr>
                <w:color w:val="000000"/>
              </w:rPr>
              <w:t>választói</w:t>
            </w:r>
            <w:proofErr w:type="spellEnd"/>
            <w:r w:rsidRPr="00052FCB">
              <w:rPr>
                <w:color w:val="000000"/>
              </w:rPr>
              <w:t xml:space="preserve"> </w:t>
            </w:r>
            <w:proofErr w:type="spellStart"/>
            <w:r w:rsidRPr="00052FCB">
              <w:rPr>
                <w:color w:val="000000"/>
              </w:rPr>
              <w:t>akarat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669C7693" w14:textId="77777777" w:rsidR="004354D3" w:rsidRPr="00052FCB" w:rsidRDefault="004354D3" w:rsidP="008802EE">
            <w:pPr>
              <w:spacing w:line="240" w:lineRule="auto"/>
              <w:rPr>
                <w:color w:val="000000"/>
              </w:rPr>
            </w:pPr>
            <w:r w:rsidRPr="00052FCB">
              <w:rPr>
                <w:color w:val="000000"/>
              </w:rPr>
              <w:t>voters’ will*</w:t>
            </w:r>
          </w:p>
        </w:tc>
      </w:tr>
      <w:tr w:rsidR="004354D3" w:rsidRPr="00052FCB" w14:paraId="4682892B"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31B73D1"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F36E0EF"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75FF9A8" w14:textId="77777777" w:rsidR="004354D3" w:rsidRPr="00052FCB" w:rsidRDefault="004354D3" w:rsidP="008802EE">
            <w:pPr>
              <w:spacing w:line="240" w:lineRule="auto"/>
              <w:rPr>
                <w:color w:val="000000"/>
              </w:rPr>
            </w:pPr>
            <w:proofErr w:type="spellStart"/>
            <w:r w:rsidRPr="00052FCB">
              <w:rPr>
                <w:color w:val="000000"/>
              </w:rPr>
              <w:t>választók</w:t>
            </w:r>
            <w:proofErr w:type="spellEnd"/>
            <w:r w:rsidRPr="00052FCB">
              <w:rPr>
                <w:color w:val="000000"/>
              </w:rPr>
              <w:t xml:space="preserve"> </w:t>
            </w:r>
            <w:proofErr w:type="spellStart"/>
            <w:r w:rsidRPr="00052FCB">
              <w:rPr>
                <w:color w:val="000000"/>
              </w:rPr>
              <w:t>akarat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7F96AC9" w14:textId="77777777" w:rsidR="004354D3" w:rsidRPr="00052FCB" w:rsidRDefault="004354D3" w:rsidP="008802EE">
            <w:pPr>
              <w:spacing w:line="240" w:lineRule="auto"/>
              <w:rPr>
                <w:color w:val="000000"/>
              </w:rPr>
            </w:pPr>
            <w:r w:rsidRPr="00052FCB">
              <w:rPr>
                <w:color w:val="000000"/>
              </w:rPr>
              <w:t>the voters’ will*</w:t>
            </w:r>
          </w:p>
        </w:tc>
      </w:tr>
      <w:tr w:rsidR="004354D3" w:rsidRPr="00052FCB" w14:paraId="58352DCE" w14:textId="77777777" w:rsidTr="008802EE">
        <w:trPr>
          <w:trHeight w:val="300"/>
        </w:trPr>
        <w:tc>
          <w:tcPr>
            <w:tcW w:w="14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D522E5" w14:textId="77777777" w:rsidR="004354D3" w:rsidRPr="00052FCB" w:rsidRDefault="004354D3" w:rsidP="008802EE">
            <w:pPr>
              <w:spacing w:line="240" w:lineRule="auto"/>
              <w:rPr>
                <w:color w:val="000000"/>
              </w:rPr>
            </w:pPr>
            <w:r w:rsidRPr="00052FCB">
              <w:rPr>
                <w:color w:val="000000"/>
              </w:rPr>
              <w:t>Nativism</w:t>
            </w: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870BA" w14:textId="77777777" w:rsidR="004354D3" w:rsidRPr="00052FCB" w:rsidRDefault="004354D3" w:rsidP="008802EE">
            <w:pPr>
              <w:spacing w:line="240" w:lineRule="auto"/>
              <w:jc w:val="center"/>
              <w:rPr>
                <w:color w:val="000000"/>
              </w:rPr>
            </w:pPr>
            <w:r w:rsidRPr="00052FCB">
              <w:rPr>
                <w:color w:val="000000"/>
              </w:rPr>
              <w:t>Previous Literature</w:t>
            </w:r>
          </w:p>
        </w:tc>
        <w:tc>
          <w:tcPr>
            <w:tcW w:w="3363" w:type="dxa"/>
            <w:tcBorders>
              <w:top w:val="nil"/>
              <w:left w:val="nil"/>
              <w:bottom w:val="single" w:sz="8" w:space="0" w:color="auto"/>
              <w:right w:val="single" w:sz="8" w:space="0" w:color="auto"/>
            </w:tcBorders>
            <w:shd w:val="clear" w:color="auto" w:fill="auto"/>
            <w:noWrap/>
            <w:vAlign w:val="center"/>
            <w:hideMark/>
          </w:tcPr>
          <w:p w14:paraId="2FF958A0" w14:textId="77777777" w:rsidR="004354D3" w:rsidRPr="00052FCB" w:rsidRDefault="004354D3" w:rsidP="008802EE">
            <w:pPr>
              <w:spacing w:line="240" w:lineRule="auto"/>
              <w:rPr>
                <w:color w:val="000000"/>
              </w:rPr>
            </w:pPr>
            <w:proofErr w:type="spellStart"/>
            <w:r w:rsidRPr="00052FCB">
              <w:rPr>
                <w:color w:val="000000"/>
              </w:rPr>
              <w:t>anyaország</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0BC9CFCA" w14:textId="77777777" w:rsidR="004354D3" w:rsidRPr="00052FCB" w:rsidRDefault="004354D3" w:rsidP="008802EE">
            <w:pPr>
              <w:spacing w:line="240" w:lineRule="auto"/>
              <w:rPr>
                <w:color w:val="000000"/>
              </w:rPr>
            </w:pPr>
            <w:r w:rsidRPr="00052FCB">
              <w:rPr>
                <w:color w:val="000000"/>
              </w:rPr>
              <w:t>motherland*/ homeland*</w:t>
            </w:r>
          </w:p>
        </w:tc>
      </w:tr>
      <w:tr w:rsidR="004354D3" w:rsidRPr="00052FCB" w14:paraId="18B5EB3F"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B2B253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14029C5"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58F1C2B" w14:textId="77777777" w:rsidR="004354D3" w:rsidRPr="00052FCB" w:rsidRDefault="004354D3" w:rsidP="008802EE">
            <w:pPr>
              <w:spacing w:line="240" w:lineRule="auto"/>
              <w:rPr>
                <w:color w:val="000000"/>
              </w:rPr>
            </w:pPr>
            <w:proofErr w:type="spellStart"/>
            <w:r w:rsidRPr="00052FCB">
              <w:rPr>
                <w:color w:val="000000"/>
              </w:rPr>
              <w:t>arab</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E3880E7" w14:textId="77777777" w:rsidR="004354D3" w:rsidRPr="00052FCB" w:rsidRDefault="004354D3" w:rsidP="008802EE">
            <w:pPr>
              <w:spacing w:line="240" w:lineRule="auto"/>
              <w:rPr>
                <w:color w:val="000000"/>
              </w:rPr>
            </w:pPr>
            <w:proofErr w:type="spellStart"/>
            <w:r w:rsidRPr="00052FCB">
              <w:rPr>
                <w:color w:val="000000"/>
              </w:rPr>
              <w:t>arab</w:t>
            </w:r>
            <w:proofErr w:type="spellEnd"/>
            <w:r w:rsidRPr="00052FCB">
              <w:rPr>
                <w:color w:val="000000"/>
              </w:rPr>
              <w:t>*</w:t>
            </w:r>
          </w:p>
        </w:tc>
      </w:tr>
      <w:tr w:rsidR="004354D3" w:rsidRPr="00052FCB" w14:paraId="4CEB263B"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60E94C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86D3A7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1685088" w14:textId="77777777" w:rsidR="004354D3" w:rsidRPr="00052FCB" w:rsidRDefault="004354D3" w:rsidP="008802EE">
            <w:pPr>
              <w:spacing w:line="240" w:lineRule="auto"/>
              <w:rPr>
                <w:color w:val="000000"/>
              </w:rPr>
            </w:pPr>
            <w:proofErr w:type="spellStart"/>
            <w:r w:rsidRPr="00052FCB">
              <w:rPr>
                <w:color w:val="000000"/>
              </w:rPr>
              <w:t>betelepítés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9E62376" w14:textId="77777777" w:rsidR="004354D3" w:rsidRPr="00052FCB" w:rsidRDefault="004354D3" w:rsidP="008802EE">
            <w:pPr>
              <w:spacing w:line="240" w:lineRule="auto"/>
              <w:rPr>
                <w:color w:val="000000"/>
              </w:rPr>
            </w:pPr>
            <w:r w:rsidRPr="00052FCB">
              <w:rPr>
                <w:color w:val="000000"/>
              </w:rPr>
              <w:t>resettlement*</w:t>
            </w:r>
          </w:p>
        </w:tc>
      </w:tr>
      <w:tr w:rsidR="004354D3" w:rsidRPr="00052FCB" w14:paraId="5E6A694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426806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418902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D5F5D45" w14:textId="77777777" w:rsidR="004354D3" w:rsidRPr="00052FCB" w:rsidRDefault="004354D3" w:rsidP="008802EE">
            <w:pPr>
              <w:spacing w:line="240" w:lineRule="auto"/>
              <w:rPr>
                <w:color w:val="000000"/>
              </w:rPr>
            </w:pPr>
            <w:proofErr w:type="spellStart"/>
            <w:r w:rsidRPr="00052FCB">
              <w:rPr>
                <w:color w:val="000000"/>
              </w:rPr>
              <w:t>bevándorl</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0E89FAE2" w14:textId="77777777" w:rsidR="004354D3" w:rsidRPr="00052FCB" w:rsidRDefault="004354D3" w:rsidP="008802EE">
            <w:pPr>
              <w:spacing w:line="240" w:lineRule="auto"/>
              <w:rPr>
                <w:color w:val="000000"/>
              </w:rPr>
            </w:pPr>
            <w:r w:rsidRPr="00052FCB">
              <w:rPr>
                <w:color w:val="000000"/>
              </w:rPr>
              <w:t>immigrant*</w:t>
            </w:r>
          </w:p>
        </w:tc>
      </w:tr>
      <w:tr w:rsidR="004354D3" w:rsidRPr="00052FCB" w14:paraId="27EEB1E9"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3556C9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F346FC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9B09CE7" w14:textId="77777777" w:rsidR="004354D3" w:rsidRPr="00052FCB" w:rsidRDefault="004354D3" w:rsidP="008802EE">
            <w:pPr>
              <w:spacing w:line="240" w:lineRule="auto"/>
              <w:rPr>
                <w:color w:val="000000"/>
              </w:rPr>
            </w:pPr>
            <w:proofErr w:type="spellStart"/>
            <w:r w:rsidRPr="00052FCB">
              <w:rPr>
                <w:color w:val="000000"/>
              </w:rPr>
              <w:t>cigány</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7801693" w14:textId="77777777" w:rsidR="004354D3" w:rsidRPr="00052FCB" w:rsidRDefault="004354D3" w:rsidP="008802EE">
            <w:pPr>
              <w:spacing w:line="240" w:lineRule="auto"/>
              <w:rPr>
                <w:color w:val="000000"/>
              </w:rPr>
            </w:pPr>
            <w:r w:rsidRPr="00052FCB">
              <w:rPr>
                <w:color w:val="000000"/>
              </w:rPr>
              <w:t>gipsy*</w:t>
            </w:r>
          </w:p>
        </w:tc>
      </w:tr>
      <w:tr w:rsidR="004354D3" w:rsidRPr="00052FCB" w14:paraId="21EA0B02"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B2C0D71"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40C5AB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59007D23" w14:textId="77777777" w:rsidR="004354D3" w:rsidRPr="00052FCB" w:rsidRDefault="004354D3" w:rsidP="008802EE">
            <w:pPr>
              <w:spacing w:line="240" w:lineRule="auto"/>
              <w:rPr>
                <w:color w:val="000000"/>
              </w:rPr>
            </w:pPr>
            <w:proofErr w:type="spellStart"/>
            <w:r w:rsidRPr="00052FCB">
              <w:rPr>
                <w:color w:val="000000"/>
              </w:rPr>
              <w:t>elcigányos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02CD8814" w14:textId="77777777" w:rsidR="004354D3" w:rsidRPr="00052FCB" w:rsidRDefault="004354D3" w:rsidP="008802EE">
            <w:pPr>
              <w:spacing w:line="240" w:lineRule="auto"/>
              <w:rPr>
                <w:color w:val="000000"/>
              </w:rPr>
            </w:pPr>
            <w:r w:rsidRPr="00052FCB">
              <w:rPr>
                <w:color w:val="000000"/>
              </w:rPr>
              <w:t>To become populated by gypsies</w:t>
            </w:r>
          </w:p>
        </w:tc>
      </w:tr>
      <w:tr w:rsidR="004354D3" w:rsidRPr="00052FCB" w14:paraId="2A7F9930"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AB517D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0610C05"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616DF07" w14:textId="77777777" w:rsidR="004354D3" w:rsidRPr="00052FCB" w:rsidRDefault="004354D3" w:rsidP="008802EE">
            <w:pPr>
              <w:spacing w:line="240" w:lineRule="auto"/>
              <w:rPr>
                <w:color w:val="000000"/>
              </w:rPr>
            </w:pPr>
            <w:proofErr w:type="spellStart"/>
            <w:r w:rsidRPr="00052FCB">
              <w:rPr>
                <w:color w:val="000000"/>
              </w:rPr>
              <w:t>határ</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5676E6C3" w14:textId="77777777" w:rsidR="004354D3" w:rsidRPr="00052FCB" w:rsidRDefault="004354D3" w:rsidP="008802EE">
            <w:pPr>
              <w:spacing w:line="240" w:lineRule="auto"/>
              <w:rPr>
                <w:color w:val="000000"/>
              </w:rPr>
            </w:pPr>
            <w:r w:rsidRPr="00052FCB">
              <w:rPr>
                <w:color w:val="000000"/>
              </w:rPr>
              <w:t>border</w:t>
            </w:r>
          </w:p>
        </w:tc>
      </w:tr>
      <w:tr w:rsidR="004354D3" w:rsidRPr="00052FCB" w14:paraId="7A1BC55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C2491D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1FACE6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DCDFACC" w14:textId="77777777" w:rsidR="004354D3" w:rsidRPr="00052FCB" w:rsidRDefault="004354D3" w:rsidP="008802EE">
            <w:pPr>
              <w:spacing w:line="240" w:lineRule="auto"/>
              <w:rPr>
                <w:color w:val="000000"/>
              </w:rPr>
            </w:pPr>
            <w:proofErr w:type="spellStart"/>
            <w:r w:rsidRPr="00052FCB">
              <w:rPr>
                <w:color w:val="000000"/>
              </w:rPr>
              <w:t>határa</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521B3DB9" w14:textId="77777777" w:rsidR="004354D3" w:rsidRPr="00052FCB" w:rsidRDefault="004354D3" w:rsidP="008802EE">
            <w:pPr>
              <w:spacing w:line="240" w:lineRule="auto"/>
              <w:rPr>
                <w:color w:val="000000"/>
              </w:rPr>
            </w:pPr>
            <w:r w:rsidRPr="00052FCB">
              <w:rPr>
                <w:color w:val="000000"/>
              </w:rPr>
              <w:t>to the border</w:t>
            </w:r>
          </w:p>
        </w:tc>
      </w:tr>
      <w:tr w:rsidR="004354D3" w:rsidRPr="00052FCB" w14:paraId="3B6AE4EB"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66E59FF"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27F58E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0A81E0B9" w14:textId="77777777" w:rsidR="004354D3" w:rsidRPr="00052FCB" w:rsidRDefault="004354D3" w:rsidP="008802EE">
            <w:pPr>
              <w:spacing w:line="240" w:lineRule="auto"/>
              <w:rPr>
                <w:color w:val="000000"/>
              </w:rPr>
            </w:pPr>
            <w:proofErr w:type="spellStart"/>
            <w:r w:rsidRPr="00052FCB">
              <w:rPr>
                <w:color w:val="000000"/>
              </w:rPr>
              <w:t>határon</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3396CE08" w14:textId="77777777" w:rsidR="004354D3" w:rsidRPr="00052FCB" w:rsidRDefault="004354D3" w:rsidP="008802EE">
            <w:pPr>
              <w:spacing w:line="240" w:lineRule="auto"/>
              <w:rPr>
                <w:color w:val="000000"/>
              </w:rPr>
            </w:pPr>
            <w:r w:rsidRPr="00052FCB">
              <w:rPr>
                <w:color w:val="000000"/>
              </w:rPr>
              <w:t>on the border</w:t>
            </w:r>
          </w:p>
        </w:tc>
      </w:tr>
      <w:tr w:rsidR="004354D3" w:rsidRPr="00052FCB" w14:paraId="2E3BB81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EDCE75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BA296AB"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77AF736" w14:textId="77777777" w:rsidR="004354D3" w:rsidRPr="00052FCB" w:rsidRDefault="004354D3" w:rsidP="008802EE">
            <w:pPr>
              <w:spacing w:line="240" w:lineRule="auto"/>
              <w:rPr>
                <w:color w:val="000000"/>
              </w:rPr>
            </w:pPr>
            <w:proofErr w:type="spellStart"/>
            <w:r w:rsidRPr="00052FCB">
              <w:rPr>
                <w:color w:val="000000"/>
              </w:rPr>
              <w:t>határt</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036AAB56" w14:textId="77777777" w:rsidR="004354D3" w:rsidRPr="00052FCB" w:rsidRDefault="004354D3" w:rsidP="008802EE">
            <w:pPr>
              <w:spacing w:line="240" w:lineRule="auto"/>
              <w:rPr>
                <w:color w:val="000000"/>
              </w:rPr>
            </w:pPr>
            <w:r w:rsidRPr="00052FCB">
              <w:rPr>
                <w:color w:val="000000"/>
              </w:rPr>
              <w:t>border</w:t>
            </w:r>
          </w:p>
        </w:tc>
      </w:tr>
      <w:tr w:rsidR="004354D3" w:rsidRPr="00052FCB" w14:paraId="4BEEAD5B"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4132161"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CF44ED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3818EAF" w14:textId="77777777" w:rsidR="004354D3" w:rsidRPr="00052FCB" w:rsidRDefault="004354D3" w:rsidP="008802EE">
            <w:pPr>
              <w:spacing w:line="240" w:lineRule="auto"/>
              <w:rPr>
                <w:color w:val="000000"/>
              </w:rPr>
            </w:pPr>
            <w:proofErr w:type="spellStart"/>
            <w:r w:rsidRPr="00052FCB">
              <w:rPr>
                <w:color w:val="000000"/>
              </w:rPr>
              <w:t>határzár</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0C4B9DBA" w14:textId="77777777" w:rsidR="004354D3" w:rsidRPr="00052FCB" w:rsidRDefault="004354D3" w:rsidP="008802EE">
            <w:pPr>
              <w:spacing w:line="240" w:lineRule="auto"/>
              <w:rPr>
                <w:color w:val="000000"/>
              </w:rPr>
            </w:pPr>
            <w:r w:rsidRPr="00052FCB">
              <w:rPr>
                <w:color w:val="000000"/>
              </w:rPr>
              <w:t>border fence*</w:t>
            </w:r>
          </w:p>
        </w:tc>
      </w:tr>
      <w:tr w:rsidR="004354D3" w:rsidRPr="00052FCB" w14:paraId="54499B80"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E7D4C29"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7DF7B0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38006AC" w14:textId="77777777" w:rsidR="004354D3" w:rsidRPr="00052FCB" w:rsidRDefault="004354D3" w:rsidP="008802EE">
            <w:pPr>
              <w:spacing w:line="240" w:lineRule="auto"/>
              <w:rPr>
                <w:color w:val="000000"/>
              </w:rPr>
            </w:pPr>
            <w:proofErr w:type="spellStart"/>
            <w:r w:rsidRPr="00052FCB">
              <w:rPr>
                <w:color w:val="000000"/>
              </w:rPr>
              <w:t>határőr</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418CDEBC" w14:textId="77777777" w:rsidR="004354D3" w:rsidRPr="00052FCB" w:rsidRDefault="004354D3" w:rsidP="008802EE">
            <w:pPr>
              <w:spacing w:line="240" w:lineRule="auto"/>
              <w:rPr>
                <w:color w:val="000000"/>
              </w:rPr>
            </w:pPr>
            <w:r w:rsidRPr="00052FCB">
              <w:rPr>
                <w:color w:val="000000"/>
              </w:rPr>
              <w:t>border guard</w:t>
            </w:r>
          </w:p>
        </w:tc>
      </w:tr>
      <w:tr w:rsidR="004354D3" w:rsidRPr="00052FCB" w14:paraId="1A16002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6DF6919"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3CFB7A0"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2C46345" w14:textId="77777777" w:rsidR="004354D3" w:rsidRPr="00052FCB" w:rsidRDefault="004354D3" w:rsidP="008802EE">
            <w:pPr>
              <w:spacing w:line="240" w:lineRule="auto"/>
              <w:rPr>
                <w:color w:val="000000"/>
              </w:rPr>
            </w:pPr>
            <w:proofErr w:type="spellStart"/>
            <w:r w:rsidRPr="00052FCB">
              <w:rPr>
                <w:color w:val="000000"/>
              </w:rPr>
              <w:t>holokauszt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321285B" w14:textId="77777777" w:rsidR="004354D3" w:rsidRPr="00052FCB" w:rsidRDefault="004354D3" w:rsidP="008802EE">
            <w:pPr>
              <w:spacing w:line="240" w:lineRule="auto"/>
              <w:rPr>
                <w:color w:val="000000"/>
              </w:rPr>
            </w:pPr>
            <w:r w:rsidRPr="00052FCB">
              <w:rPr>
                <w:color w:val="000000"/>
              </w:rPr>
              <w:t>holocaust*</w:t>
            </w:r>
          </w:p>
        </w:tc>
      </w:tr>
      <w:tr w:rsidR="004354D3" w:rsidRPr="00052FCB" w14:paraId="1880EED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5911A55F"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502245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0E394752" w14:textId="77777777" w:rsidR="004354D3" w:rsidRPr="00052FCB" w:rsidRDefault="004354D3" w:rsidP="008802EE">
            <w:pPr>
              <w:spacing w:line="240" w:lineRule="auto"/>
              <w:rPr>
                <w:color w:val="000000"/>
              </w:rPr>
            </w:pPr>
            <w:proofErr w:type="spellStart"/>
            <w:r w:rsidRPr="00052FCB">
              <w:rPr>
                <w:color w:val="000000"/>
              </w:rPr>
              <w:t>idegen</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4671D839" w14:textId="77777777" w:rsidR="004354D3" w:rsidRPr="00052FCB" w:rsidRDefault="004354D3" w:rsidP="008802EE">
            <w:pPr>
              <w:spacing w:line="240" w:lineRule="auto"/>
              <w:rPr>
                <w:color w:val="000000"/>
              </w:rPr>
            </w:pPr>
            <w:r w:rsidRPr="00052FCB">
              <w:rPr>
                <w:color w:val="000000"/>
              </w:rPr>
              <w:t>foreign/foreigner</w:t>
            </w:r>
          </w:p>
        </w:tc>
      </w:tr>
      <w:tr w:rsidR="004354D3" w:rsidRPr="00052FCB" w14:paraId="233EB7D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55718FA"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966001F"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91F5BCE" w14:textId="77777777" w:rsidR="004354D3" w:rsidRPr="00052FCB" w:rsidRDefault="004354D3" w:rsidP="008802EE">
            <w:pPr>
              <w:spacing w:line="240" w:lineRule="auto"/>
              <w:rPr>
                <w:color w:val="000000"/>
              </w:rPr>
            </w:pPr>
            <w:proofErr w:type="spellStart"/>
            <w:r w:rsidRPr="00052FCB">
              <w:rPr>
                <w:color w:val="000000"/>
              </w:rPr>
              <w:t>idegenek</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4311F708" w14:textId="77777777" w:rsidR="004354D3" w:rsidRPr="00052FCB" w:rsidRDefault="004354D3" w:rsidP="008802EE">
            <w:pPr>
              <w:spacing w:line="240" w:lineRule="auto"/>
              <w:rPr>
                <w:color w:val="000000"/>
              </w:rPr>
            </w:pPr>
            <w:r w:rsidRPr="00052FCB">
              <w:rPr>
                <w:color w:val="000000"/>
              </w:rPr>
              <w:t>foreigners</w:t>
            </w:r>
          </w:p>
        </w:tc>
      </w:tr>
      <w:tr w:rsidR="004354D3" w:rsidRPr="00052FCB" w14:paraId="674DBCBC"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820577A"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BC8B405"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DAEEF57" w14:textId="77777777" w:rsidR="004354D3" w:rsidRPr="00052FCB" w:rsidRDefault="004354D3" w:rsidP="008802EE">
            <w:pPr>
              <w:spacing w:line="240" w:lineRule="auto"/>
              <w:rPr>
                <w:color w:val="000000"/>
              </w:rPr>
            </w:pPr>
            <w:proofErr w:type="spellStart"/>
            <w:r w:rsidRPr="00052FCB">
              <w:rPr>
                <w:color w:val="000000"/>
              </w:rPr>
              <w:t>izrael</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6B20E067" w14:textId="77777777" w:rsidR="004354D3" w:rsidRPr="00052FCB" w:rsidRDefault="004354D3" w:rsidP="008802EE">
            <w:pPr>
              <w:spacing w:line="240" w:lineRule="auto"/>
              <w:rPr>
                <w:color w:val="000000"/>
              </w:rPr>
            </w:pPr>
            <w:r w:rsidRPr="00052FCB">
              <w:rPr>
                <w:color w:val="000000"/>
              </w:rPr>
              <w:t>Israel*</w:t>
            </w:r>
          </w:p>
        </w:tc>
      </w:tr>
      <w:tr w:rsidR="004354D3" w:rsidRPr="00052FCB" w14:paraId="63E6EA26"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C4E791A"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59889723"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81AF87F" w14:textId="77777777" w:rsidR="004354D3" w:rsidRPr="00052FCB" w:rsidRDefault="004354D3" w:rsidP="008802EE">
            <w:pPr>
              <w:spacing w:line="240" w:lineRule="auto"/>
              <w:rPr>
                <w:color w:val="000000"/>
              </w:rPr>
            </w:pPr>
            <w:proofErr w:type="spellStart"/>
            <w:r w:rsidRPr="00052FCB">
              <w:rPr>
                <w:color w:val="000000"/>
              </w:rPr>
              <w:t>kóser</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6DBC17B8" w14:textId="77777777" w:rsidR="004354D3" w:rsidRPr="00052FCB" w:rsidRDefault="004354D3" w:rsidP="008802EE">
            <w:pPr>
              <w:spacing w:line="240" w:lineRule="auto"/>
              <w:rPr>
                <w:color w:val="000000"/>
              </w:rPr>
            </w:pPr>
            <w:r w:rsidRPr="00052FCB">
              <w:rPr>
                <w:color w:val="000000"/>
              </w:rPr>
              <w:t>kosher*</w:t>
            </w:r>
          </w:p>
        </w:tc>
      </w:tr>
      <w:tr w:rsidR="004354D3" w:rsidRPr="00052FCB" w14:paraId="1AFA665A"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CB19AD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48DADD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A53612F" w14:textId="77777777" w:rsidR="004354D3" w:rsidRPr="00052FCB" w:rsidRDefault="004354D3" w:rsidP="008802EE">
            <w:pPr>
              <w:spacing w:line="240" w:lineRule="auto"/>
              <w:rPr>
                <w:color w:val="000000"/>
              </w:rPr>
            </w:pPr>
            <w:proofErr w:type="spellStart"/>
            <w:r w:rsidRPr="00052FCB">
              <w:rPr>
                <w:color w:val="000000"/>
              </w:rPr>
              <w:t>menekült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BC40B83" w14:textId="77777777" w:rsidR="004354D3" w:rsidRPr="00052FCB" w:rsidRDefault="004354D3" w:rsidP="008802EE">
            <w:pPr>
              <w:spacing w:line="240" w:lineRule="auto"/>
              <w:rPr>
                <w:color w:val="000000"/>
              </w:rPr>
            </w:pPr>
            <w:r w:rsidRPr="00052FCB">
              <w:rPr>
                <w:color w:val="000000"/>
              </w:rPr>
              <w:t>refugee*</w:t>
            </w:r>
          </w:p>
        </w:tc>
      </w:tr>
      <w:tr w:rsidR="004354D3" w:rsidRPr="00052FCB" w14:paraId="22DE09EB"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335424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7D3D088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97D9969" w14:textId="77777777" w:rsidR="004354D3" w:rsidRPr="00052FCB" w:rsidRDefault="004354D3" w:rsidP="008802EE">
            <w:pPr>
              <w:spacing w:line="240" w:lineRule="auto"/>
              <w:rPr>
                <w:color w:val="000000"/>
              </w:rPr>
            </w:pPr>
            <w:proofErr w:type="spellStart"/>
            <w:r w:rsidRPr="00052FCB">
              <w:rPr>
                <w:color w:val="000000"/>
              </w:rPr>
              <w:t>migráns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52730D9C" w14:textId="77777777" w:rsidR="004354D3" w:rsidRPr="00052FCB" w:rsidRDefault="004354D3" w:rsidP="008802EE">
            <w:pPr>
              <w:spacing w:line="240" w:lineRule="auto"/>
              <w:rPr>
                <w:color w:val="000000"/>
              </w:rPr>
            </w:pPr>
            <w:r w:rsidRPr="00052FCB">
              <w:rPr>
                <w:color w:val="000000"/>
              </w:rPr>
              <w:t>migrant*</w:t>
            </w:r>
          </w:p>
        </w:tc>
      </w:tr>
      <w:tr w:rsidR="004354D3" w:rsidRPr="00052FCB" w14:paraId="7924BE4E"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B2F3398"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CDB230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DDC01CA" w14:textId="77777777" w:rsidR="004354D3" w:rsidRPr="00052FCB" w:rsidRDefault="004354D3" w:rsidP="008802EE">
            <w:pPr>
              <w:spacing w:line="240" w:lineRule="auto"/>
              <w:rPr>
                <w:color w:val="000000"/>
              </w:rPr>
            </w:pPr>
            <w:proofErr w:type="spellStart"/>
            <w:r w:rsidRPr="00052FCB">
              <w:rPr>
                <w:color w:val="000000"/>
              </w:rPr>
              <w:t>muszlim</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C3D5CFB" w14:textId="77777777" w:rsidR="004354D3" w:rsidRPr="00052FCB" w:rsidRDefault="004354D3" w:rsidP="008802EE">
            <w:pPr>
              <w:spacing w:line="240" w:lineRule="auto"/>
              <w:rPr>
                <w:color w:val="000000"/>
              </w:rPr>
            </w:pPr>
            <w:r w:rsidRPr="00052FCB">
              <w:rPr>
                <w:color w:val="000000"/>
              </w:rPr>
              <w:t>Muslim*</w:t>
            </w:r>
          </w:p>
        </w:tc>
      </w:tr>
      <w:tr w:rsidR="004354D3" w:rsidRPr="00052FCB" w14:paraId="5B927967"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1A5AE39"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C198C2A"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B22D75D" w14:textId="77777777" w:rsidR="004354D3" w:rsidRPr="00052FCB" w:rsidRDefault="004354D3" w:rsidP="008802EE">
            <w:pPr>
              <w:spacing w:line="240" w:lineRule="auto"/>
              <w:rPr>
                <w:color w:val="000000"/>
              </w:rPr>
            </w:pPr>
            <w:proofErr w:type="spellStart"/>
            <w:r w:rsidRPr="00052FCB">
              <w:rPr>
                <w:color w:val="000000"/>
              </w:rPr>
              <w:t>zsidó</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2ACD5CA" w14:textId="77777777" w:rsidR="004354D3" w:rsidRPr="00052FCB" w:rsidRDefault="004354D3" w:rsidP="008802EE">
            <w:pPr>
              <w:spacing w:line="240" w:lineRule="auto"/>
              <w:rPr>
                <w:color w:val="000000"/>
              </w:rPr>
            </w:pPr>
            <w:proofErr w:type="spellStart"/>
            <w:r w:rsidRPr="00052FCB">
              <w:rPr>
                <w:color w:val="000000"/>
              </w:rPr>
              <w:t>jew</w:t>
            </w:r>
            <w:proofErr w:type="spellEnd"/>
            <w:r w:rsidRPr="00052FCB">
              <w:rPr>
                <w:color w:val="000000"/>
              </w:rPr>
              <w:t>*</w:t>
            </w:r>
          </w:p>
        </w:tc>
      </w:tr>
      <w:tr w:rsidR="004354D3" w:rsidRPr="00052FCB" w14:paraId="1D8D9D29"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D484826" w14:textId="77777777" w:rsidR="004354D3" w:rsidRPr="00052FCB" w:rsidRDefault="004354D3" w:rsidP="008802EE">
            <w:pPr>
              <w:spacing w:line="240" w:lineRule="auto"/>
              <w:rPr>
                <w:color w:val="000000"/>
              </w:rPr>
            </w:pP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04AA93" w14:textId="77777777" w:rsidR="004354D3" w:rsidRPr="00052FCB" w:rsidRDefault="004354D3" w:rsidP="008802EE">
            <w:pPr>
              <w:spacing w:line="240" w:lineRule="auto"/>
              <w:jc w:val="center"/>
              <w:rPr>
                <w:color w:val="000000"/>
              </w:rPr>
            </w:pPr>
            <w:r w:rsidRPr="00052FCB">
              <w:rPr>
                <w:color w:val="000000"/>
              </w:rPr>
              <w:t>Manifesto</w:t>
            </w:r>
          </w:p>
        </w:tc>
        <w:tc>
          <w:tcPr>
            <w:tcW w:w="3363" w:type="dxa"/>
            <w:tcBorders>
              <w:top w:val="nil"/>
              <w:left w:val="nil"/>
              <w:bottom w:val="single" w:sz="8" w:space="0" w:color="auto"/>
              <w:right w:val="single" w:sz="8" w:space="0" w:color="auto"/>
            </w:tcBorders>
            <w:shd w:val="clear" w:color="auto" w:fill="auto"/>
            <w:noWrap/>
            <w:vAlign w:val="center"/>
            <w:hideMark/>
          </w:tcPr>
          <w:p w14:paraId="4310C243" w14:textId="77777777" w:rsidR="004354D3" w:rsidRPr="00052FCB" w:rsidRDefault="004354D3" w:rsidP="008802EE">
            <w:pPr>
              <w:spacing w:line="240" w:lineRule="auto"/>
              <w:rPr>
                <w:color w:val="000000"/>
              </w:rPr>
            </w:pPr>
            <w:proofErr w:type="spellStart"/>
            <w:r w:rsidRPr="00052FCB">
              <w:rPr>
                <w:color w:val="000000"/>
              </w:rPr>
              <w:t>demográfi</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74F95DBA" w14:textId="77777777" w:rsidR="004354D3" w:rsidRPr="00052FCB" w:rsidRDefault="004354D3" w:rsidP="008802EE">
            <w:pPr>
              <w:spacing w:line="240" w:lineRule="auto"/>
              <w:rPr>
                <w:color w:val="000000"/>
              </w:rPr>
            </w:pPr>
            <w:r w:rsidRPr="00052FCB">
              <w:rPr>
                <w:color w:val="000000"/>
              </w:rPr>
              <w:t>demography*</w:t>
            </w:r>
          </w:p>
        </w:tc>
      </w:tr>
      <w:tr w:rsidR="004354D3" w:rsidRPr="00052FCB" w14:paraId="681C19CF"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5CD2F9A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4C02149"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9C9A809" w14:textId="77777777" w:rsidR="004354D3" w:rsidRPr="00052FCB" w:rsidRDefault="004354D3" w:rsidP="008802EE">
            <w:pPr>
              <w:spacing w:line="240" w:lineRule="auto"/>
              <w:rPr>
                <w:color w:val="000000"/>
              </w:rPr>
            </w:pPr>
            <w:proofErr w:type="spellStart"/>
            <w:r w:rsidRPr="00052FCB">
              <w:rPr>
                <w:color w:val="000000"/>
              </w:rPr>
              <w:t>elcsatolt</w:t>
            </w:r>
            <w:proofErr w:type="spellEnd"/>
            <w:r w:rsidRPr="00052FCB">
              <w:rPr>
                <w:color w:val="000000"/>
              </w:rPr>
              <w:t xml:space="preserve"> </w:t>
            </w:r>
            <w:proofErr w:type="spellStart"/>
            <w:r w:rsidRPr="00052FCB">
              <w:rPr>
                <w:color w:val="000000"/>
              </w:rPr>
              <w:t>terület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8405C27" w14:textId="77777777" w:rsidR="004354D3" w:rsidRPr="00052FCB" w:rsidRDefault="004354D3" w:rsidP="008802EE">
            <w:pPr>
              <w:spacing w:line="240" w:lineRule="auto"/>
              <w:rPr>
                <w:color w:val="000000"/>
              </w:rPr>
            </w:pPr>
            <w:r w:rsidRPr="00052FCB">
              <w:rPr>
                <w:color w:val="000000"/>
              </w:rPr>
              <w:t>detached territory*</w:t>
            </w:r>
          </w:p>
        </w:tc>
      </w:tr>
      <w:tr w:rsidR="004354D3" w:rsidRPr="00052FCB" w14:paraId="766A922B"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19170BA5"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4266C92"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11FD648" w14:textId="77777777" w:rsidR="004354D3" w:rsidRPr="00052FCB" w:rsidRDefault="004354D3" w:rsidP="008802EE">
            <w:pPr>
              <w:spacing w:line="240" w:lineRule="auto"/>
              <w:rPr>
                <w:color w:val="000000"/>
              </w:rPr>
            </w:pPr>
            <w:proofErr w:type="spellStart"/>
            <w:r w:rsidRPr="00052FCB">
              <w:rPr>
                <w:color w:val="000000"/>
              </w:rPr>
              <w:t>Kárpát-medence</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6D6C7FAA" w14:textId="77777777" w:rsidR="004354D3" w:rsidRPr="00052FCB" w:rsidRDefault="004354D3" w:rsidP="008802EE">
            <w:pPr>
              <w:spacing w:line="240" w:lineRule="auto"/>
              <w:rPr>
                <w:color w:val="000000"/>
              </w:rPr>
            </w:pPr>
            <w:r w:rsidRPr="00052FCB">
              <w:rPr>
                <w:color w:val="000000"/>
              </w:rPr>
              <w:t>Carpathian Basin*</w:t>
            </w:r>
          </w:p>
        </w:tc>
      </w:tr>
      <w:tr w:rsidR="004354D3" w:rsidRPr="00052FCB" w14:paraId="2D35DBD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1766DB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75CB7B6"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B00A90A" w14:textId="77777777" w:rsidR="004354D3" w:rsidRPr="00052FCB" w:rsidRDefault="004354D3" w:rsidP="008802EE">
            <w:pPr>
              <w:spacing w:line="240" w:lineRule="auto"/>
              <w:rPr>
                <w:color w:val="000000"/>
              </w:rPr>
            </w:pPr>
            <w:proofErr w:type="spellStart"/>
            <w:r w:rsidRPr="00052FCB">
              <w:rPr>
                <w:color w:val="000000"/>
              </w:rPr>
              <w:t>magyarság</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361E25E" w14:textId="77777777" w:rsidR="004354D3" w:rsidRPr="00052FCB" w:rsidRDefault="004354D3" w:rsidP="008802EE">
            <w:pPr>
              <w:spacing w:line="240" w:lineRule="auto"/>
              <w:rPr>
                <w:color w:val="000000"/>
              </w:rPr>
            </w:pPr>
            <w:r w:rsidRPr="00052FCB">
              <w:rPr>
                <w:color w:val="000000"/>
              </w:rPr>
              <w:t>Hungarians/</w:t>
            </w:r>
            <w:proofErr w:type="spellStart"/>
            <w:r w:rsidRPr="00052FCB">
              <w:rPr>
                <w:color w:val="000000"/>
              </w:rPr>
              <w:t>Hungarianism</w:t>
            </w:r>
            <w:proofErr w:type="spellEnd"/>
            <w:r w:rsidRPr="00052FCB">
              <w:rPr>
                <w:color w:val="000000"/>
              </w:rPr>
              <w:t>*</w:t>
            </w:r>
          </w:p>
        </w:tc>
      </w:tr>
      <w:tr w:rsidR="004354D3" w:rsidRPr="00052FCB" w14:paraId="389E01DC"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63F5040"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5F660DF"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17EF18A4" w14:textId="77777777" w:rsidR="004354D3" w:rsidRPr="00052FCB" w:rsidRDefault="004354D3" w:rsidP="008802EE">
            <w:pPr>
              <w:spacing w:line="240" w:lineRule="auto"/>
              <w:rPr>
                <w:color w:val="000000"/>
              </w:rPr>
            </w:pPr>
            <w:proofErr w:type="spellStart"/>
            <w:r w:rsidRPr="00052FCB">
              <w:rPr>
                <w:color w:val="000000"/>
              </w:rPr>
              <w:t>szegreg</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A9105F2" w14:textId="77777777" w:rsidR="004354D3" w:rsidRPr="00052FCB" w:rsidRDefault="004354D3" w:rsidP="008802EE">
            <w:pPr>
              <w:spacing w:line="240" w:lineRule="auto"/>
              <w:rPr>
                <w:color w:val="000000"/>
              </w:rPr>
            </w:pPr>
            <w:r w:rsidRPr="00052FCB">
              <w:rPr>
                <w:color w:val="000000"/>
              </w:rPr>
              <w:t>segregate*</w:t>
            </w:r>
          </w:p>
        </w:tc>
      </w:tr>
      <w:tr w:rsidR="004354D3" w:rsidRPr="00052FCB" w14:paraId="28F25EF9"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0BA32CF"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23BF988"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1E09113" w14:textId="77777777" w:rsidR="004354D3" w:rsidRPr="00052FCB" w:rsidRDefault="004354D3" w:rsidP="008802EE">
            <w:pPr>
              <w:spacing w:line="240" w:lineRule="auto"/>
              <w:rPr>
                <w:color w:val="000000"/>
              </w:rPr>
            </w:pPr>
            <w:r w:rsidRPr="00052FCB">
              <w:rPr>
                <w:color w:val="000000"/>
              </w:rPr>
              <w:t>Trianon*</w:t>
            </w:r>
          </w:p>
        </w:tc>
        <w:tc>
          <w:tcPr>
            <w:tcW w:w="2281" w:type="dxa"/>
            <w:tcBorders>
              <w:top w:val="nil"/>
              <w:left w:val="nil"/>
              <w:bottom w:val="single" w:sz="8" w:space="0" w:color="auto"/>
              <w:right w:val="single" w:sz="8" w:space="0" w:color="auto"/>
            </w:tcBorders>
            <w:shd w:val="clear" w:color="auto" w:fill="auto"/>
            <w:noWrap/>
            <w:vAlign w:val="center"/>
            <w:hideMark/>
          </w:tcPr>
          <w:p w14:paraId="4F2A685C" w14:textId="77777777" w:rsidR="004354D3" w:rsidRPr="00052FCB" w:rsidRDefault="004354D3" w:rsidP="008802EE">
            <w:pPr>
              <w:spacing w:line="240" w:lineRule="auto"/>
              <w:rPr>
                <w:color w:val="000000"/>
              </w:rPr>
            </w:pPr>
            <w:r w:rsidRPr="00052FCB">
              <w:rPr>
                <w:color w:val="000000"/>
              </w:rPr>
              <w:t>Trianon*</w:t>
            </w:r>
          </w:p>
        </w:tc>
      </w:tr>
      <w:tr w:rsidR="004354D3" w:rsidRPr="00052FCB" w14:paraId="43DC0344"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5325038" w14:textId="77777777" w:rsidR="004354D3" w:rsidRPr="00052FCB" w:rsidRDefault="004354D3" w:rsidP="008802EE">
            <w:pPr>
              <w:spacing w:line="240" w:lineRule="auto"/>
              <w:rPr>
                <w:color w:val="000000"/>
              </w:rPr>
            </w:pP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3C656A" w14:textId="77777777" w:rsidR="004354D3" w:rsidRPr="00052FCB" w:rsidRDefault="004354D3" w:rsidP="008802EE">
            <w:pPr>
              <w:spacing w:line="240" w:lineRule="auto"/>
              <w:jc w:val="center"/>
              <w:rPr>
                <w:color w:val="000000"/>
              </w:rPr>
            </w:pPr>
            <w:r w:rsidRPr="00052FCB">
              <w:rPr>
                <w:color w:val="000000"/>
              </w:rPr>
              <w:t>Context Specific</w:t>
            </w:r>
          </w:p>
        </w:tc>
        <w:tc>
          <w:tcPr>
            <w:tcW w:w="3363" w:type="dxa"/>
            <w:tcBorders>
              <w:top w:val="nil"/>
              <w:left w:val="nil"/>
              <w:bottom w:val="single" w:sz="8" w:space="0" w:color="auto"/>
              <w:right w:val="single" w:sz="8" w:space="0" w:color="auto"/>
            </w:tcBorders>
            <w:shd w:val="clear" w:color="auto" w:fill="auto"/>
            <w:noWrap/>
            <w:vAlign w:val="center"/>
            <w:hideMark/>
          </w:tcPr>
          <w:p w14:paraId="760B4ABA" w14:textId="77777777" w:rsidR="004354D3" w:rsidRPr="00052FCB" w:rsidRDefault="004354D3" w:rsidP="008802EE">
            <w:pPr>
              <w:spacing w:line="240" w:lineRule="auto"/>
              <w:rPr>
                <w:color w:val="000000"/>
              </w:rPr>
            </w:pPr>
            <w:proofErr w:type="spellStart"/>
            <w:r w:rsidRPr="00052FCB">
              <w:rPr>
                <w:color w:val="000000"/>
              </w:rPr>
              <w:t>elcigányos</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2A3EBCC1" w14:textId="77777777" w:rsidR="004354D3" w:rsidRPr="00052FCB" w:rsidRDefault="004354D3" w:rsidP="008802EE">
            <w:pPr>
              <w:spacing w:line="240" w:lineRule="auto"/>
              <w:rPr>
                <w:color w:val="000000"/>
              </w:rPr>
            </w:pPr>
            <w:r w:rsidRPr="00052FCB">
              <w:rPr>
                <w:color w:val="000000"/>
              </w:rPr>
              <w:t>becomes populated by gipsies*</w:t>
            </w:r>
          </w:p>
        </w:tc>
      </w:tr>
      <w:tr w:rsidR="004354D3" w:rsidRPr="00052FCB" w14:paraId="06D48A3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A7628A8"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5202B6E2"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D2ECDA0" w14:textId="77777777" w:rsidR="004354D3" w:rsidRPr="00052FCB" w:rsidRDefault="004354D3" w:rsidP="008802EE">
            <w:pPr>
              <w:spacing w:line="240" w:lineRule="auto"/>
              <w:rPr>
                <w:color w:val="000000"/>
              </w:rPr>
            </w:pPr>
            <w:proofErr w:type="spellStart"/>
            <w:r w:rsidRPr="00052FCB">
              <w:rPr>
                <w:color w:val="000000"/>
              </w:rPr>
              <w:t>elszakított</w:t>
            </w:r>
            <w:proofErr w:type="spellEnd"/>
            <w:r w:rsidRPr="00052FCB">
              <w:rPr>
                <w:color w:val="000000"/>
              </w:rPr>
              <w:t xml:space="preserve"> </w:t>
            </w:r>
            <w:proofErr w:type="spellStart"/>
            <w:r w:rsidRPr="00052FCB">
              <w:rPr>
                <w:color w:val="000000"/>
              </w:rPr>
              <w:t>magyar</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7933E95" w14:textId="77777777" w:rsidR="004354D3" w:rsidRPr="00052FCB" w:rsidRDefault="004354D3" w:rsidP="008802EE">
            <w:pPr>
              <w:spacing w:line="240" w:lineRule="auto"/>
              <w:rPr>
                <w:color w:val="000000"/>
              </w:rPr>
            </w:pPr>
            <w:r w:rsidRPr="00052FCB">
              <w:rPr>
                <w:color w:val="000000"/>
              </w:rPr>
              <w:t xml:space="preserve">detached </w:t>
            </w:r>
            <w:proofErr w:type="spellStart"/>
            <w:r w:rsidRPr="00052FCB">
              <w:rPr>
                <w:color w:val="000000"/>
              </w:rPr>
              <w:t>Hungar</w:t>
            </w:r>
            <w:proofErr w:type="spellEnd"/>
            <w:r w:rsidRPr="00052FCB">
              <w:rPr>
                <w:color w:val="000000"/>
              </w:rPr>
              <w:t>*</w:t>
            </w:r>
          </w:p>
        </w:tc>
      </w:tr>
      <w:tr w:rsidR="004354D3" w:rsidRPr="00052FCB" w14:paraId="28811ED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2C7EACD"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6A878D7E"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6D4BFE80" w14:textId="77777777" w:rsidR="004354D3" w:rsidRPr="00052FCB" w:rsidRDefault="004354D3" w:rsidP="008802EE">
            <w:pPr>
              <w:spacing w:line="240" w:lineRule="auto"/>
              <w:rPr>
                <w:color w:val="000000"/>
              </w:rPr>
            </w:pPr>
            <w:proofErr w:type="spellStart"/>
            <w:r w:rsidRPr="00052FCB">
              <w:rPr>
                <w:color w:val="000000"/>
              </w:rPr>
              <w:t>elszakított</w:t>
            </w:r>
            <w:proofErr w:type="spellEnd"/>
            <w:r w:rsidRPr="00052FCB">
              <w:rPr>
                <w:color w:val="000000"/>
              </w:rPr>
              <w:t xml:space="preserve"> </w:t>
            </w:r>
            <w:proofErr w:type="spellStart"/>
            <w:r w:rsidRPr="00052FCB">
              <w:rPr>
                <w:color w:val="000000"/>
              </w:rPr>
              <w:t>nemzet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76F6BA4" w14:textId="77777777" w:rsidR="004354D3" w:rsidRPr="00052FCB" w:rsidRDefault="004354D3" w:rsidP="008802EE">
            <w:pPr>
              <w:spacing w:line="240" w:lineRule="auto"/>
              <w:rPr>
                <w:color w:val="000000"/>
              </w:rPr>
            </w:pPr>
            <w:r w:rsidRPr="00052FCB">
              <w:rPr>
                <w:color w:val="000000"/>
              </w:rPr>
              <w:t>detached nation*</w:t>
            </w:r>
          </w:p>
        </w:tc>
      </w:tr>
      <w:tr w:rsidR="004354D3" w:rsidRPr="00052FCB" w14:paraId="684FCAD6"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C89C52B"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4C5E0E5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F59D67B" w14:textId="77777777" w:rsidR="004354D3" w:rsidRPr="00052FCB" w:rsidRDefault="004354D3" w:rsidP="008802EE">
            <w:pPr>
              <w:spacing w:line="240" w:lineRule="auto"/>
              <w:rPr>
                <w:color w:val="000000"/>
              </w:rPr>
            </w:pPr>
            <w:proofErr w:type="spellStart"/>
            <w:r w:rsidRPr="00052FCB">
              <w:rPr>
                <w:color w:val="000000"/>
              </w:rPr>
              <w:t>elszakított</w:t>
            </w:r>
            <w:proofErr w:type="spellEnd"/>
            <w:r w:rsidRPr="00052FCB">
              <w:rPr>
                <w:color w:val="000000"/>
              </w:rPr>
              <w:t xml:space="preserve"> </w:t>
            </w:r>
            <w:proofErr w:type="spellStart"/>
            <w:r w:rsidRPr="00052FCB">
              <w:rPr>
                <w:color w:val="000000"/>
              </w:rPr>
              <w:t>ország</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44861E93" w14:textId="77777777" w:rsidR="004354D3" w:rsidRPr="00052FCB" w:rsidRDefault="004354D3" w:rsidP="008802EE">
            <w:pPr>
              <w:spacing w:line="240" w:lineRule="auto"/>
              <w:rPr>
                <w:color w:val="000000"/>
              </w:rPr>
            </w:pPr>
            <w:r w:rsidRPr="00052FCB">
              <w:rPr>
                <w:color w:val="000000"/>
              </w:rPr>
              <w:t>detached country*</w:t>
            </w:r>
          </w:p>
        </w:tc>
      </w:tr>
      <w:tr w:rsidR="004354D3" w:rsidRPr="00052FCB" w14:paraId="42D97CFD"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582560FD"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D069D4F"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71CD998B" w14:textId="77777777" w:rsidR="004354D3" w:rsidRPr="00052FCB" w:rsidRDefault="004354D3" w:rsidP="008802EE">
            <w:pPr>
              <w:spacing w:line="240" w:lineRule="auto"/>
              <w:rPr>
                <w:color w:val="000000"/>
              </w:rPr>
            </w:pPr>
            <w:proofErr w:type="spellStart"/>
            <w:r w:rsidRPr="00052FCB">
              <w:rPr>
                <w:color w:val="000000"/>
              </w:rPr>
              <w:t>elszakított</w:t>
            </w:r>
            <w:proofErr w:type="spellEnd"/>
            <w:r w:rsidRPr="00052FCB">
              <w:rPr>
                <w:color w:val="000000"/>
              </w:rPr>
              <w:t xml:space="preserve"> </w:t>
            </w:r>
            <w:proofErr w:type="spellStart"/>
            <w:r w:rsidRPr="00052FCB">
              <w:rPr>
                <w:color w:val="000000"/>
              </w:rPr>
              <w:t>terület</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77884C06" w14:textId="77777777" w:rsidR="004354D3" w:rsidRPr="00052FCB" w:rsidRDefault="004354D3" w:rsidP="008802EE">
            <w:pPr>
              <w:spacing w:line="240" w:lineRule="auto"/>
              <w:rPr>
                <w:color w:val="000000"/>
              </w:rPr>
            </w:pPr>
            <w:r w:rsidRPr="00052FCB">
              <w:rPr>
                <w:color w:val="000000"/>
              </w:rPr>
              <w:t>detached country*</w:t>
            </w:r>
          </w:p>
        </w:tc>
      </w:tr>
      <w:tr w:rsidR="004354D3" w:rsidRPr="00052FCB" w14:paraId="26F3A7D7"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2C9CC4A9"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5315D91"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1DF32CF" w14:textId="77777777" w:rsidR="004354D3" w:rsidRPr="00052FCB" w:rsidRDefault="004354D3" w:rsidP="008802EE">
            <w:pPr>
              <w:spacing w:line="240" w:lineRule="auto"/>
              <w:rPr>
                <w:color w:val="000000"/>
              </w:rPr>
            </w:pPr>
            <w:proofErr w:type="spellStart"/>
            <w:r w:rsidRPr="00052FCB">
              <w:rPr>
                <w:color w:val="000000"/>
              </w:rPr>
              <w:t>Fehér</w:t>
            </w:r>
            <w:proofErr w:type="spellEnd"/>
            <w:r w:rsidRPr="00052FCB">
              <w:rPr>
                <w:color w:val="000000"/>
              </w:rPr>
              <w:t xml:space="preserve"> ember*</w:t>
            </w:r>
          </w:p>
        </w:tc>
        <w:tc>
          <w:tcPr>
            <w:tcW w:w="2281" w:type="dxa"/>
            <w:tcBorders>
              <w:top w:val="nil"/>
              <w:left w:val="nil"/>
              <w:bottom w:val="single" w:sz="8" w:space="0" w:color="auto"/>
              <w:right w:val="single" w:sz="8" w:space="0" w:color="auto"/>
            </w:tcBorders>
            <w:shd w:val="clear" w:color="auto" w:fill="auto"/>
            <w:noWrap/>
            <w:vAlign w:val="center"/>
            <w:hideMark/>
          </w:tcPr>
          <w:p w14:paraId="0AACEC58" w14:textId="77777777" w:rsidR="004354D3" w:rsidRPr="00052FCB" w:rsidRDefault="004354D3" w:rsidP="008802EE">
            <w:pPr>
              <w:spacing w:line="240" w:lineRule="auto"/>
              <w:rPr>
                <w:color w:val="000000"/>
              </w:rPr>
            </w:pPr>
            <w:r w:rsidRPr="00052FCB">
              <w:rPr>
                <w:color w:val="000000"/>
              </w:rPr>
              <w:t>White man*</w:t>
            </w:r>
          </w:p>
        </w:tc>
      </w:tr>
      <w:tr w:rsidR="004354D3" w:rsidRPr="00052FCB" w14:paraId="427DF8F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C7A9B99"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6B03B23"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1D97F9D" w14:textId="77777777" w:rsidR="004354D3" w:rsidRPr="00052FCB" w:rsidRDefault="004354D3" w:rsidP="008802EE">
            <w:pPr>
              <w:spacing w:line="240" w:lineRule="auto"/>
              <w:rPr>
                <w:color w:val="000000"/>
              </w:rPr>
            </w:pPr>
            <w:proofErr w:type="spellStart"/>
            <w:r w:rsidRPr="00052FCB">
              <w:rPr>
                <w:color w:val="000000"/>
              </w:rPr>
              <w:t>Gárda</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300171F8" w14:textId="77777777" w:rsidR="004354D3" w:rsidRPr="00052FCB" w:rsidRDefault="004354D3" w:rsidP="008802EE">
            <w:pPr>
              <w:spacing w:line="240" w:lineRule="auto"/>
              <w:rPr>
                <w:color w:val="000000"/>
              </w:rPr>
            </w:pPr>
            <w:r w:rsidRPr="00052FCB">
              <w:rPr>
                <w:color w:val="000000"/>
              </w:rPr>
              <w:t>Guard*</w:t>
            </w:r>
          </w:p>
        </w:tc>
      </w:tr>
      <w:tr w:rsidR="004354D3" w:rsidRPr="00052FCB" w14:paraId="2065EE19"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75C49BE1"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29CEE84"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29770776" w14:textId="77777777" w:rsidR="004354D3" w:rsidRPr="00052FCB" w:rsidRDefault="004354D3" w:rsidP="008802EE">
            <w:pPr>
              <w:spacing w:line="240" w:lineRule="auto"/>
              <w:rPr>
                <w:color w:val="000000"/>
              </w:rPr>
            </w:pPr>
            <w:proofErr w:type="spellStart"/>
            <w:r w:rsidRPr="00052FCB">
              <w:rPr>
                <w:color w:val="000000"/>
              </w:rPr>
              <w:t>holokam</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5665F49C" w14:textId="77777777" w:rsidR="004354D3" w:rsidRPr="00052FCB" w:rsidRDefault="004354D3" w:rsidP="008802EE">
            <w:pPr>
              <w:spacing w:line="240" w:lineRule="auto"/>
              <w:rPr>
                <w:color w:val="000000"/>
              </w:rPr>
            </w:pPr>
            <w:proofErr w:type="spellStart"/>
            <w:r w:rsidRPr="00052FCB">
              <w:rPr>
                <w:color w:val="000000"/>
              </w:rPr>
              <w:t>holofiction</w:t>
            </w:r>
            <w:proofErr w:type="spellEnd"/>
            <w:r w:rsidRPr="00052FCB">
              <w:rPr>
                <w:color w:val="000000"/>
              </w:rPr>
              <w:t>*</w:t>
            </w:r>
          </w:p>
        </w:tc>
      </w:tr>
      <w:tr w:rsidR="004354D3" w:rsidRPr="00052FCB" w14:paraId="7FECC101"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016BFE5E"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270A01FD"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5FB1656" w14:textId="77777777" w:rsidR="004354D3" w:rsidRPr="00052FCB" w:rsidRDefault="004354D3" w:rsidP="008802EE">
            <w:pPr>
              <w:spacing w:line="240" w:lineRule="auto"/>
              <w:rPr>
                <w:color w:val="000000"/>
              </w:rPr>
            </w:pPr>
            <w:r w:rsidRPr="00052FCB">
              <w:rPr>
                <w:color w:val="000000"/>
              </w:rPr>
              <w:t>Horthy*</w:t>
            </w:r>
          </w:p>
        </w:tc>
        <w:tc>
          <w:tcPr>
            <w:tcW w:w="2281" w:type="dxa"/>
            <w:tcBorders>
              <w:top w:val="nil"/>
              <w:left w:val="nil"/>
              <w:bottom w:val="single" w:sz="8" w:space="0" w:color="auto"/>
              <w:right w:val="single" w:sz="8" w:space="0" w:color="auto"/>
            </w:tcBorders>
            <w:shd w:val="clear" w:color="auto" w:fill="auto"/>
            <w:noWrap/>
            <w:vAlign w:val="center"/>
            <w:hideMark/>
          </w:tcPr>
          <w:p w14:paraId="4C94B4E6" w14:textId="77777777" w:rsidR="004354D3" w:rsidRPr="00052FCB" w:rsidRDefault="004354D3" w:rsidP="008802EE">
            <w:pPr>
              <w:spacing w:line="240" w:lineRule="auto"/>
              <w:rPr>
                <w:color w:val="000000"/>
              </w:rPr>
            </w:pPr>
            <w:r w:rsidRPr="00052FCB">
              <w:rPr>
                <w:color w:val="000000"/>
              </w:rPr>
              <w:t>Horthy*</w:t>
            </w:r>
          </w:p>
        </w:tc>
      </w:tr>
      <w:tr w:rsidR="004354D3" w:rsidRPr="00052FCB" w14:paraId="6992E235"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38B54152"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1C97A74E"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00FA1DE0" w14:textId="77777777" w:rsidR="004354D3" w:rsidRPr="00052FCB" w:rsidRDefault="004354D3" w:rsidP="008802EE">
            <w:pPr>
              <w:spacing w:line="240" w:lineRule="auto"/>
              <w:rPr>
                <w:color w:val="000000"/>
              </w:rPr>
            </w:pPr>
            <w:proofErr w:type="spellStart"/>
            <w:r w:rsidRPr="00052FCB">
              <w:rPr>
                <w:color w:val="000000"/>
              </w:rPr>
              <w:t>néger</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658D93E" w14:textId="77777777" w:rsidR="004354D3" w:rsidRPr="00052FCB" w:rsidRDefault="004354D3" w:rsidP="008802EE">
            <w:pPr>
              <w:spacing w:line="240" w:lineRule="auto"/>
              <w:rPr>
                <w:color w:val="000000"/>
              </w:rPr>
            </w:pPr>
            <w:r w:rsidRPr="00052FCB">
              <w:rPr>
                <w:color w:val="000000"/>
              </w:rPr>
              <w:t>nigger*</w:t>
            </w:r>
          </w:p>
        </w:tc>
      </w:tr>
      <w:tr w:rsidR="004354D3" w:rsidRPr="00052FCB" w14:paraId="7B6BB0B7"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42FD09EC"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00726BDE"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40A0E1EA" w14:textId="77777777" w:rsidR="004354D3" w:rsidRPr="00052FCB" w:rsidRDefault="004354D3" w:rsidP="008802EE">
            <w:pPr>
              <w:spacing w:line="240" w:lineRule="auto"/>
              <w:rPr>
                <w:color w:val="000000"/>
              </w:rPr>
            </w:pPr>
            <w:proofErr w:type="spellStart"/>
            <w:r w:rsidRPr="00052FCB">
              <w:rPr>
                <w:color w:val="000000"/>
              </w:rPr>
              <w:t>roma</w:t>
            </w:r>
            <w:proofErr w:type="spellEnd"/>
          </w:p>
        </w:tc>
        <w:tc>
          <w:tcPr>
            <w:tcW w:w="2281" w:type="dxa"/>
            <w:tcBorders>
              <w:top w:val="nil"/>
              <w:left w:val="nil"/>
              <w:bottom w:val="single" w:sz="8" w:space="0" w:color="auto"/>
              <w:right w:val="single" w:sz="8" w:space="0" w:color="auto"/>
            </w:tcBorders>
            <w:shd w:val="clear" w:color="auto" w:fill="auto"/>
            <w:noWrap/>
            <w:vAlign w:val="center"/>
            <w:hideMark/>
          </w:tcPr>
          <w:p w14:paraId="7707A5AC" w14:textId="77777777" w:rsidR="004354D3" w:rsidRPr="00052FCB" w:rsidRDefault="004354D3" w:rsidP="008802EE">
            <w:pPr>
              <w:spacing w:line="240" w:lineRule="auto"/>
              <w:rPr>
                <w:color w:val="000000"/>
              </w:rPr>
            </w:pPr>
            <w:r w:rsidRPr="00052FCB">
              <w:rPr>
                <w:color w:val="000000"/>
              </w:rPr>
              <w:t>Roma</w:t>
            </w:r>
          </w:p>
        </w:tc>
      </w:tr>
      <w:tr w:rsidR="004354D3" w:rsidRPr="00052FCB" w14:paraId="76485D79" w14:textId="77777777" w:rsidTr="008802EE">
        <w:trPr>
          <w:trHeight w:val="300"/>
        </w:trPr>
        <w:tc>
          <w:tcPr>
            <w:tcW w:w="1438" w:type="dxa"/>
            <w:vMerge/>
            <w:tcBorders>
              <w:top w:val="nil"/>
              <w:left w:val="single" w:sz="8" w:space="0" w:color="auto"/>
              <w:bottom w:val="single" w:sz="8" w:space="0" w:color="000000"/>
              <w:right w:val="single" w:sz="8" w:space="0" w:color="auto"/>
            </w:tcBorders>
            <w:vAlign w:val="center"/>
            <w:hideMark/>
          </w:tcPr>
          <w:p w14:paraId="6D6758C9" w14:textId="77777777" w:rsidR="004354D3" w:rsidRPr="00052FCB" w:rsidRDefault="004354D3" w:rsidP="008802EE">
            <w:pPr>
              <w:spacing w:line="240" w:lineRule="auto"/>
              <w:rPr>
                <w:color w:val="000000"/>
              </w:rPr>
            </w:pPr>
          </w:p>
        </w:tc>
        <w:tc>
          <w:tcPr>
            <w:tcW w:w="1697" w:type="dxa"/>
            <w:vMerge/>
            <w:tcBorders>
              <w:top w:val="nil"/>
              <w:left w:val="single" w:sz="8" w:space="0" w:color="auto"/>
              <w:bottom w:val="single" w:sz="8" w:space="0" w:color="000000"/>
              <w:right w:val="single" w:sz="8" w:space="0" w:color="auto"/>
            </w:tcBorders>
            <w:vAlign w:val="center"/>
            <w:hideMark/>
          </w:tcPr>
          <w:p w14:paraId="30C5FE0C" w14:textId="77777777" w:rsidR="004354D3" w:rsidRPr="00052FCB" w:rsidRDefault="004354D3" w:rsidP="008802EE">
            <w:pPr>
              <w:spacing w:line="240" w:lineRule="auto"/>
              <w:rPr>
                <w:color w:val="000000"/>
              </w:rPr>
            </w:pPr>
          </w:p>
        </w:tc>
        <w:tc>
          <w:tcPr>
            <w:tcW w:w="3363" w:type="dxa"/>
            <w:tcBorders>
              <w:top w:val="nil"/>
              <w:left w:val="nil"/>
              <w:bottom w:val="single" w:sz="8" w:space="0" w:color="auto"/>
              <w:right w:val="single" w:sz="8" w:space="0" w:color="auto"/>
            </w:tcBorders>
            <w:shd w:val="clear" w:color="auto" w:fill="auto"/>
            <w:noWrap/>
            <w:vAlign w:val="center"/>
            <w:hideMark/>
          </w:tcPr>
          <w:p w14:paraId="36AFE2E8" w14:textId="77777777" w:rsidR="004354D3" w:rsidRPr="00052FCB" w:rsidRDefault="004354D3" w:rsidP="008802EE">
            <w:pPr>
              <w:spacing w:line="240" w:lineRule="auto"/>
              <w:rPr>
                <w:color w:val="000000"/>
              </w:rPr>
            </w:pPr>
            <w:proofErr w:type="spellStart"/>
            <w:r w:rsidRPr="00052FCB">
              <w:rPr>
                <w:color w:val="000000"/>
              </w:rPr>
              <w:t>turul</w:t>
            </w:r>
            <w:proofErr w:type="spellEnd"/>
            <w:r w:rsidRPr="00052FCB">
              <w:rPr>
                <w:color w:val="000000"/>
              </w:rPr>
              <w:t>*</w:t>
            </w:r>
          </w:p>
        </w:tc>
        <w:tc>
          <w:tcPr>
            <w:tcW w:w="2281" w:type="dxa"/>
            <w:tcBorders>
              <w:top w:val="nil"/>
              <w:left w:val="nil"/>
              <w:bottom w:val="single" w:sz="8" w:space="0" w:color="auto"/>
              <w:right w:val="single" w:sz="8" w:space="0" w:color="auto"/>
            </w:tcBorders>
            <w:shd w:val="clear" w:color="auto" w:fill="auto"/>
            <w:noWrap/>
            <w:vAlign w:val="center"/>
            <w:hideMark/>
          </w:tcPr>
          <w:p w14:paraId="14A0C23D" w14:textId="77777777" w:rsidR="004354D3" w:rsidRPr="00052FCB" w:rsidRDefault="004354D3" w:rsidP="008802EE">
            <w:pPr>
              <w:spacing w:line="240" w:lineRule="auto"/>
              <w:rPr>
                <w:color w:val="000000"/>
              </w:rPr>
            </w:pPr>
            <w:proofErr w:type="spellStart"/>
            <w:r w:rsidRPr="00052FCB">
              <w:rPr>
                <w:color w:val="000000"/>
              </w:rPr>
              <w:t>turul</w:t>
            </w:r>
            <w:proofErr w:type="spellEnd"/>
            <w:r w:rsidRPr="00052FCB">
              <w:rPr>
                <w:color w:val="000000"/>
              </w:rPr>
              <w:t>*</w:t>
            </w:r>
          </w:p>
        </w:tc>
      </w:tr>
      <w:bookmarkEnd w:id="4"/>
    </w:tbl>
    <w:p w14:paraId="5136D774" w14:textId="77777777" w:rsidR="004354D3" w:rsidRDefault="004354D3" w:rsidP="004354D3">
      <w:pPr>
        <w:pStyle w:val="Caption"/>
        <w:keepNext/>
        <w:spacing w:after="240" w:line="360" w:lineRule="auto"/>
        <w:rPr>
          <w:i w:val="0"/>
          <w:iCs w:val="0"/>
          <w:color w:val="000000" w:themeColor="text1"/>
          <w:sz w:val="24"/>
          <w:szCs w:val="24"/>
        </w:rPr>
      </w:pPr>
    </w:p>
    <w:p w14:paraId="3FF45794" w14:textId="77777777" w:rsidR="004354D3" w:rsidRDefault="004354D3" w:rsidP="004354D3">
      <w:pPr>
        <w:pStyle w:val="Caption"/>
        <w:keepNext/>
        <w:spacing w:after="240" w:line="360" w:lineRule="auto"/>
        <w:jc w:val="both"/>
        <w:rPr>
          <w:i w:val="0"/>
          <w:iCs w:val="0"/>
          <w:color w:val="000000" w:themeColor="text1"/>
          <w:sz w:val="24"/>
          <w:szCs w:val="24"/>
        </w:rPr>
      </w:pPr>
      <w:r>
        <w:rPr>
          <w:i w:val="0"/>
          <w:iCs w:val="0"/>
          <w:color w:val="000000" w:themeColor="text1"/>
          <w:sz w:val="24"/>
          <w:szCs w:val="24"/>
        </w:rPr>
        <w:t>In our operationalization, nativism and populism are not mutually exclusive concepts. The same document might be classified as both nativist and populist if it contains terms from the respective dictionary. Empirically, we indeed observe a certain overlap in our classification of documents, as shown by figure 1 (also see table 1, appendix B). In general, documents that are classified as both populist and nativist are included in both our nativism and populism measure.</w:t>
      </w:r>
    </w:p>
    <w:p w14:paraId="1BD0ABD3" w14:textId="77777777" w:rsidR="004354D3" w:rsidRPr="001938D2" w:rsidRDefault="004354D3" w:rsidP="004354D3">
      <w:pPr>
        <w:pStyle w:val="Caption"/>
        <w:keepNext/>
        <w:rPr>
          <w:i w:val="0"/>
          <w:iCs w:val="0"/>
          <w:color w:val="000000" w:themeColor="text1"/>
          <w:sz w:val="24"/>
          <w:szCs w:val="24"/>
        </w:rPr>
      </w:pPr>
      <w:r w:rsidRPr="001938D2">
        <w:rPr>
          <w:i w:val="0"/>
          <w:iCs w:val="0"/>
          <w:color w:val="000000" w:themeColor="text1"/>
          <w:sz w:val="24"/>
          <w:szCs w:val="24"/>
        </w:rPr>
        <w:t xml:space="preserve">Figure </w:t>
      </w:r>
      <w:r w:rsidRPr="001938D2">
        <w:rPr>
          <w:i w:val="0"/>
          <w:iCs w:val="0"/>
          <w:color w:val="000000" w:themeColor="text1"/>
          <w:sz w:val="24"/>
          <w:szCs w:val="24"/>
        </w:rPr>
        <w:fldChar w:fldCharType="begin"/>
      </w:r>
      <w:r w:rsidRPr="001938D2">
        <w:rPr>
          <w:i w:val="0"/>
          <w:iCs w:val="0"/>
          <w:color w:val="000000" w:themeColor="text1"/>
          <w:sz w:val="24"/>
          <w:szCs w:val="24"/>
        </w:rPr>
        <w:instrText xml:space="preserve"> SEQ Figure \* ARABIC </w:instrText>
      </w:r>
      <w:r w:rsidRPr="001938D2">
        <w:rPr>
          <w:i w:val="0"/>
          <w:iCs w:val="0"/>
          <w:color w:val="000000" w:themeColor="text1"/>
          <w:sz w:val="24"/>
          <w:szCs w:val="24"/>
        </w:rPr>
        <w:fldChar w:fldCharType="separate"/>
      </w:r>
      <w:r>
        <w:rPr>
          <w:i w:val="0"/>
          <w:iCs w:val="0"/>
          <w:noProof/>
          <w:color w:val="000000" w:themeColor="text1"/>
          <w:sz w:val="24"/>
          <w:szCs w:val="24"/>
        </w:rPr>
        <w:t>1</w:t>
      </w:r>
      <w:r w:rsidRPr="001938D2">
        <w:rPr>
          <w:i w:val="0"/>
          <w:iCs w:val="0"/>
          <w:color w:val="000000" w:themeColor="text1"/>
          <w:sz w:val="24"/>
          <w:szCs w:val="24"/>
        </w:rPr>
        <w:fldChar w:fldCharType="end"/>
      </w:r>
      <w:r w:rsidRPr="001938D2">
        <w:rPr>
          <w:i w:val="0"/>
          <w:iCs w:val="0"/>
          <w:color w:val="000000" w:themeColor="text1"/>
          <w:sz w:val="24"/>
          <w:szCs w:val="24"/>
        </w:rPr>
        <w:t xml:space="preserve">: </w:t>
      </w:r>
      <w:r>
        <w:rPr>
          <w:i w:val="0"/>
          <w:iCs w:val="0"/>
          <w:color w:val="000000" w:themeColor="text1"/>
          <w:sz w:val="24"/>
          <w:szCs w:val="24"/>
        </w:rPr>
        <w:t>Number</w:t>
      </w:r>
      <w:r w:rsidRPr="001938D2">
        <w:rPr>
          <w:i w:val="0"/>
          <w:iCs w:val="0"/>
          <w:color w:val="000000" w:themeColor="text1"/>
          <w:sz w:val="24"/>
          <w:szCs w:val="24"/>
        </w:rPr>
        <w:t xml:space="preserve"> of documents </w:t>
      </w:r>
      <w:r>
        <w:rPr>
          <w:i w:val="0"/>
          <w:iCs w:val="0"/>
          <w:color w:val="000000" w:themeColor="text1"/>
          <w:sz w:val="24"/>
          <w:szCs w:val="24"/>
        </w:rPr>
        <w:t xml:space="preserve">classified </w:t>
      </w:r>
      <w:r w:rsidRPr="001938D2">
        <w:rPr>
          <w:i w:val="0"/>
          <w:iCs w:val="0"/>
          <w:color w:val="000000" w:themeColor="text1"/>
          <w:sz w:val="24"/>
          <w:szCs w:val="24"/>
        </w:rPr>
        <w:t xml:space="preserve">based on the dictionaries </w:t>
      </w:r>
      <w:r>
        <w:rPr>
          <w:i w:val="0"/>
          <w:iCs w:val="0"/>
          <w:color w:val="000000" w:themeColor="text1"/>
          <w:sz w:val="24"/>
          <w:szCs w:val="24"/>
        </w:rPr>
        <w:t>(binary classification)</w:t>
      </w:r>
    </w:p>
    <w:p w14:paraId="2F5C7613" w14:textId="77777777" w:rsidR="004354D3" w:rsidRDefault="004354D3" w:rsidP="004354D3">
      <w:r>
        <w:rPr>
          <w:noProof/>
        </w:rPr>
        <w:drawing>
          <wp:inline distT="0" distB="0" distL="0" distR="0" wp14:anchorId="63673270" wp14:editId="0906D333">
            <wp:extent cx="5756275" cy="4317365"/>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6275" cy="4317365"/>
                    </a:xfrm>
                    <a:prstGeom prst="rect">
                      <a:avLst/>
                    </a:prstGeom>
                  </pic:spPr>
                </pic:pic>
              </a:graphicData>
            </a:graphic>
          </wp:inline>
        </w:drawing>
      </w:r>
    </w:p>
    <w:p w14:paraId="092A8821" w14:textId="77777777" w:rsidR="004354D3" w:rsidRPr="00052FCB" w:rsidRDefault="004354D3" w:rsidP="004354D3">
      <w:pPr>
        <w:jc w:val="both"/>
      </w:pPr>
      <w:r>
        <w:lastRenderedPageBreak/>
        <w:t xml:space="preserve">One concern relates to the possibility to empirically distinguish between nativism and populism. For </w:t>
      </w:r>
      <w:proofErr w:type="spellStart"/>
      <w:r>
        <w:t>instance</w:t>
      </w:r>
      <w:r>
        <w:rPr>
          <w:rFonts w:eastAsia="Times New Roman"/>
          <w:shd w:val="clear" w:color="auto" w:fill="FFFFFF"/>
          <w:lang w:eastAsia="en-GB"/>
        </w:rPr>
        <w:t>we</w:t>
      </w:r>
      <w:proofErr w:type="spellEnd"/>
      <w:r>
        <w:rPr>
          <w:rFonts w:eastAsia="Times New Roman"/>
          <w:shd w:val="clear" w:color="auto" w:fill="FFFFFF"/>
          <w:lang w:eastAsia="en-GB"/>
        </w:rPr>
        <w:t xml:space="preserve"> include</w:t>
      </w:r>
      <w:r w:rsidRPr="00291D1A">
        <w:rPr>
          <w:rFonts w:eastAsia="Times New Roman"/>
          <w:shd w:val="clear" w:color="auto" w:fill="FFFFFF"/>
          <w:lang w:eastAsia="en-GB"/>
        </w:rPr>
        <w:t xml:space="preserve"> the term </w:t>
      </w:r>
      <w:r>
        <w:rPr>
          <w:rFonts w:eastAsia="Times New Roman"/>
          <w:shd w:val="clear" w:color="auto" w:fill="FFFFFF"/>
          <w:lang w:eastAsia="en-GB"/>
        </w:rPr>
        <w:t>“</w:t>
      </w:r>
      <w:proofErr w:type="spellStart"/>
      <w:r w:rsidRPr="003F0606">
        <w:rPr>
          <w:rFonts w:eastAsia="Times New Roman"/>
          <w:shd w:val="clear" w:color="auto" w:fill="FFFFFF"/>
          <w:lang w:eastAsia="en-GB"/>
        </w:rPr>
        <w:t>nemzeti</w:t>
      </w:r>
      <w:proofErr w:type="spellEnd"/>
      <w:r>
        <w:rPr>
          <w:rFonts w:eastAsia="Times New Roman"/>
          <w:shd w:val="clear" w:color="auto" w:fill="FFFFFF"/>
          <w:lang w:eastAsia="en-GB"/>
        </w:rPr>
        <w:t>”</w:t>
      </w:r>
      <w:r w:rsidRPr="00291D1A">
        <w:rPr>
          <w:rFonts w:eastAsia="Times New Roman"/>
          <w:shd w:val="clear" w:color="auto" w:fill="FFFFFF"/>
          <w:lang w:eastAsia="en-GB"/>
        </w:rPr>
        <w:t xml:space="preserve"> </w:t>
      </w:r>
      <w:r>
        <w:rPr>
          <w:rFonts w:eastAsia="Times New Roman"/>
          <w:shd w:val="clear" w:color="auto" w:fill="FFFFFF"/>
          <w:lang w:eastAsia="en-GB"/>
        </w:rPr>
        <w:t>(</w:t>
      </w:r>
      <w:r w:rsidRPr="00291D1A">
        <w:rPr>
          <w:rFonts w:eastAsia="Times New Roman"/>
          <w:shd w:val="clear" w:color="auto" w:fill="FFFFFF"/>
          <w:lang w:eastAsia="en-GB"/>
        </w:rPr>
        <w:t>national</w:t>
      </w:r>
      <w:r>
        <w:rPr>
          <w:rFonts w:eastAsia="Times New Roman"/>
          <w:shd w:val="clear" w:color="auto" w:fill="FFFFFF"/>
          <w:lang w:eastAsia="en-GB"/>
        </w:rPr>
        <w:t>)</w:t>
      </w:r>
      <w:r w:rsidRPr="00291D1A">
        <w:rPr>
          <w:rFonts w:eastAsia="Times New Roman"/>
          <w:shd w:val="clear" w:color="auto" w:fill="FFFFFF"/>
          <w:lang w:eastAsia="en-GB"/>
        </w:rPr>
        <w:t xml:space="preserve"> </w:t>
      </w:r>
      <w:r>
        <w:rPr>
          <w:rFonts w:eastAsia="Times New Roman"/>
          <w:shd w:val="clear" w:color="auto" w:fill="FFFFFF"/>
          <w:lang w:eastAsia="en-GB"/>
        </w:rPr>
        <w:t>and “</w:t>
      </w:r>
      <w:proofErr w:type="spellStart"/>
      <w:r w:rsidRPr="003F0606">
        <w:rPr>
          <w:rFonts w:eastAsia="Times New Roman"/>
          <w:shd w:val="clear" w:color="auto" w:fill="FFFFFF"/>
          <w:lang w:eastAsia="en-GB"/>
        </w:rPr>
        <w:t>né</w:t>
      </w:r>
      <w:r>
        <w:rPr>
          <w:rFonts w:eastAsia="Times New Roman"/>
          <w:shd w:val="clear" w:color="auto" w:fill="FFFFFF"/>
          <w:lang w:eastAsia="en-GB"/>
        </w:rPr>
        <w:t>p</w:t>
      </w:r>
      <w:proofErr w:type="spellEnd"/>
      <w:r>
        <w:rPr>
          <w:rFonts w:eastAsia="Times New Roman"/>
          <w:shd w:val="clear" w:color="auto" w:fill="FFFFFF"/>
          <w:lang w:eastAsia="en-GB"/>
        </w:rPr>
        <w:t>” (folk) in our dictionary of</w:t>
      </w:r>
      <w:r w:rsidRPr="00291D1A">
        <w:rPr>
          <w:rFonts w:eastAsia="Times New Roman"/>
          <w:shd w:val="clear" w:color="auto" w:fill="FFFFFF"/>
          <w:lang w:eastAsia="en-GB"/>
        </w:rPr>
        <w:t xml:space="preserve"> people</w:t>
      </w:r>
      <w:r>
        <w:rPr>
          <w:rFonts w:eastAsia="Times New Roman"/>
          <w:shd w:val="clear" w:color="auto" w:fill="FFFFFF"/>
          <w:lang w:eastAsia="en-GB"/>
        </w:rPr>
        <w:t>-</w:t>
      </w:r>
      <w:r w:rsidRPr="00291D1A">
        <w:rPr>
          <w:rFonts w:eastAsia="Times New Roman"/>
          <w:shd w:val="clear" w:color="auto" w:fill="FFFFFF"/>
          <w:lang w:eastAsia="en-GB"/>
        </w:rPr>
        <w:t xml:space="preserve">centrism, even though </w:t>
      </w:r>
      <w:r>
        <w:rPr>
          <w:rFonts w:eastAsia="Times New Roman"/>
          <w:shd w:val="clear" w:color="auto" w:fill="FFFFFF"/>
          <w:lang w:eastAsia="en-GB"/>
        </w:rPr>
        <w:t>they might also be included in a dictionary</w:t>
      </w:r>
      <w:r w:rsidRPr="00291D1A">
        <w:rPr>
          <w:rFonts w:eastAsia="Times New Roman"/>
          <w:shd w:val="clear" w:color="auto" w:fill="FFFFFF"/>
          <w:lang w:eastAsia="en-GB"/>
        </w:rPr>
        <w:t xml:space="preserve"> of nativism.</w:t>
      </w:r>
      <w:r>
        <w:rPr>
          <w:rFonts w:eastAsia="Times New Roman"/>
          <w:shd w:val="clear" w:color="auto" w:fill="FFFFFF"/>
          <w:lang w:eastAsia="en-GB"/>
        </w:rPr>
        <w:t xml:space="preserve"> Although conceptually ambiguous, empirically this decision only affects the level of populism, but not the conclusions we draw about its distribution over time or across platforms. To show this, we include below figure 1 and figure 2 replicated from the paper with a dictionary where we do not include the following terms for people-centrism: “</w:t>
      </w:r>
      <w:proofErr w:type="spellStart"/>
      <w:r w:rsidRPr="003F0606">
        <w:rPr>
          <w:rFonts w:eastAsia="Times New Roman"/>
          <w:shd w:val="clear" w:color="auto" w:fill="FFFFFF"/>
          <w:lang w:eastAsia="en-GB"/>
        </w:rPr>
        <w:t>nép</w:t>
      </w:r>
      <w:proofErr w:type="spellEnd"/>
      <w:r>
        <w:rPr>
          <w:rFonts w:eastAsia="Times New Roman"/>
          <w:shd w:val="clear" w:color="auto" w:fill="FFFFFF"/>
          <w:lang w:eastAsia="en-GB"/>
        </w:rPr>
        <w:t>”, “</w:t>
      </w:r>
      <w:proofErr w:type="spellStart"/>
      <w:r w:rsidRPr="003F0606">
        <w:rPr>
          <w:rFonts w:eastAsia="Times New Roman"/>
          <w:shd w:val="clear" w:color="auto" w:fill="FFFFFF"/>
          <w:lang w:eastAsia="en-GB"/>
        </w:rPr>
        <w:t>népnek</w:t>
      </w:r>
      <w:proofErr w:type="spellEnd"/>
      <w:r>
        <w:rPr>
          <w:rFonts w:eastAsia="Times New Roman"/>
          <w:shd w:val="clear" w:color="auto" w:fill="FFFFFF"/>
          <w:lang w:eastAsia="en-GB"/>
        </w:rPr>
        <w:t>”, “</w:t>
      </w:r>
      <w:proofErr w:type="spellStart"/>
      <w:r w:rsidRPr="003F0606">
        <w:rPr>
          <w:rFonts w:eastAsia="Times New Roman"/>
          <w:shd w:val="clear" w:color="auto" w:fill="FFFFFF"/>
          <w:lang w:eastAsia="en-GB"/>
        </w:rPr>
        <w:t>néppel</w:t>
      </w:r>
      <w:proofErr w:type="spellEnd"/>
      <w:r>
        <w:rPr>
          <w:rFonts w:eastAsia="Times New Roman"/>
          <w:shd w:val="clear" w:color="auto" w:fill="FFFFFF"/>
          <w:lang w:eastAsia="en-GB"/>
        </w:rPr>
        <w:t>”, “</w:t>
      </w:r>
      <w:proofErr w:type="spellStart"/>
      <w:r w:rsidRPr="003F0606">
        <w:rPr>
          <w:rFonts w:eastAsia="Times New Roman"/>
          <w:shd w:val="clear" w:color="auto" w:fill="FFFFFF"/>
          <w:lang w:eastAsia="en-GB"/>
        </w:rPr>
        <w:t>néphez</w:t>
      </w:r>
      <w:proofErr w:type="spellEnd"/>
      <w:r>
        <w:rPr>
          <w:rFonts w:eastAsia="Times New Roman"/>
          <w:shd w:val="clear" w:color="auto" w:fill="FFFFFF"/>
          <w:lang w:eastAsia="en-GB"/>
        </w:rPr>
        <w:t>”, “</w:t>
      </w:r>
      <w:proofErr w:type="spellStart"/>
      <w:r w:rsidRPr="003F0606">
        <w:rPr>
          <w:rFonts w:eastAsia="Times New Roman"/>
          <w:shd w:val="clear" w:color="auto" w:fill="FFFFFF"/>
          <w:lang w:eastAsia="en-GB"/>
        </w:rPr>
        <w:t>népakar</w:t>
      </w:r>
      <w:proofErr w:type="spellEnd"/>
      <w:r w:rsidRPr="003F0606">
        <w:rPr>
          <w:rFonts w:eastAsia="Times New Roman"/>
          <w:shd w:val="clear" w:color="auto" w:fill="FFFFFF"/>
          <w:lang w:eastAsia="en-GB"/>
        </w:rPr>
        <w:t>*</w:t>
      </w:r>
      <w:r>
        <w:rPr>
          <w:rFonts w:eastAsia="Times New Roman"/>
          <w:shd w:val="clear" w:color="auto" w:fill="FFFFFF"/>
          <w:lang w:eastAsia="en-GB"/>
        </w:rPr>
        <w:t>”, “</w:t>
      </w:r>
      <w:proofErr w:type="spellStart"/>
      <w:r w:rsidRPr="003F0606">
        <w:rPr>
          <w:rFonts w:eastAsia="Times New Roman"/>
          <w:shd w:val="clear" w:color="auto" w:fill="FFFFFF"/>
          <w:lang w:eastAsia="en-GB"/>
        </w:rPr>
        <w:t>nép</w:t>
      </w:r>
      <w:proofErr w:type="spellEnd"/>
      <w:r w:rsidRPr="003F0606">
        <w:rPr>
          <w:rFonts w:eastAsia="Times New Roman"/>
          <w:shd w:val="clear" w:color="auto" w:fill="FFFFFF"/>
          <w:lang w:eastAsia="en-GB"/>
        </w:rPr>
        <w:t xml:space="preserve"> </w:t>
      </w:r>
      <w:proofErr w:type="spellStart"/>
      <w:r w:rsidRPr="003F0606">
        <w:rPr>
          <w:rFonts w:eastAsia="Times New Roman"/>
          <w:shd w:val="clear" w:color="auto" w:fill="FFFFFF"/>
          <w:lang w:eastAsia="en-GB"/>
        </w:rPr>
        <w:t>akar</w:t>
      </w:r>
      <w:proofErr w:type="spellEnd"/>
      <w:r w:rsidRPr="003F0606">
        <w:rPr>
          <w:rFonts w:eastAsia="Times New Roman"/>
          <w:shd w:val="clear" w:color="auto" w:fill="FFFFFF"/>
          <w:lang w:eastAsia="en-GB"/>
        </w:rPr>
        <w:t>*</w:t>
      </w:r>
      <w:r>
        <w:rPr>
          <w:rFonts w:eastAsia="Times New Roman"/>
          <w:shd w:val="clear" w:color="auto" w:fill="FFFFFF"/>
          <w:lang w:eastAsia="en-GB"/>
        </w:rPr>
        <w:t>”, “</w:t>
      </w:r>
      <w:proofErr w:type="spellStart"/>
      <w:r w:rsidRPr="003F0606">
        <w:rPr>
          <w:rFonts w:eastAsia="Times New Roman"/>
          <w:shd w:val="clear" w:color="auto" w:fill="FFFFFF"/>
          <w:lang w:eastAsia="en-GB"/>
        </w:rPr>
        <w:t>nemzeti</w:t>
      </w:r>
      <w:proofErr w:type="spellEnd"/>
      <w:r w:rsidRPr="003F0606">
        <w:rPr>
          <w:rFonts w:eastAsia="Times New Roman"/>
          <w:shd w:val="clear" w:color="auto" w:fill="FFFFFF"/>
          <w:lang w:eastAsia="en-GB"/>
        </w:rPr>
        <w:t>*</w:t>
      </w:r>
      <w:r>
        <w:rPr>
          <w:rFonts w:eastAsia="Times New Roman"/>
          <w:shd w:val="clear" w:color="auto" w:fill="FFFFFF"/>
          <w:lang w:eastAsia="en-GB"/>
        </w:rPr>
        <w:t>”</w:t>
      </w:r>
    </w:p>
    <w:p w14:paraId="3FB50991" w14:textId="77777777" w:rsidR="004354D3" w:rsidRPr="008A0C8E" w:rsidRDefault="004354D3" w:rsidP="004354D3">
      <w:pPr>
        <w:pStyle w:val="Figurecaption"/>
      </w:pPr>
      <w:r w:rsidRPr="00AE311B">
        <w:t xml:space="preserve">Figure </w:t>
      </w:r>
      <w:fldSimple w:instr=" SEQ Figure \* ARABIC ">
        <w:r>
          <w:rPr>
            <w:noProof/>
          </w:rPr>
          <w:t>2</w:t>
        </w:r>
      </w:fldSimple>
      <w:r w:rsidRPr="00AE311B">
        <w:t xml:space="preserve">: Documents with a nativist and populist appeal on the different platforms </w:t>
      </w:r>
      <w:r>
        <w:rPr>
          <w:noProof/>
          <w:lang w:val="de-CH" w:eastAsia="de-CH"/>
        </w:rPr>
        <w:drawing>
          <wp:inline distT="0" distB="0" distL="0" distR="0" wp14:anchorId="65E0FD34" wp14:editId="035E9E25">
            <wp:extent cx="5760720" cy="4322985"/>
            <wp:effectExtent l="0" t="0" r="5080" b="0"/>
            <wp:docPr id="2" name="Picture 2" descr="Chart, b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60720" cy="4322985"/>
                    </a:xfrm>
                    <a:prstGeom prst="rect">
                      <a:avLst/>
                    </a:prstGeom>
                    <a:noFill/>
                    <a:ln>
                      <a:noFill/>
                    </a:ln>
                  </pic:spPr>
                </pic:pic>
              </a:graphicData>
            </a:graphic>
          </wp:inline>
        </w:drawing>
      </w:r>
    </w:p>
    <w:p w14:paraId="1F3CE6A1" w14:textId="77777777" w:rsidR="004354D3" w:rsidRPr="008A0C8E" w:rsidRDefault="004354D3" w:rsidP="004354D3">
      <w:pPr>
        <w:spacing w:after="160" w:line="259" w:lineRule="auto"/>
      </w:pPr>
      <w:r w:rsidRPr="008A0C8E">
        <w:br w:type="page"/>
      </w:r>
    </w:p>
    <w:p w14:paraId="7E6877FD" w14:textId="77777777" w:rsidR="004354D3" w:rsidRPr="008A0C8E" w:rsidRDefault="004354D3" w:rsidP="004354D3">
      <w:pPr>
        <w:pStyle w:val="Figurecaption"/>
      </w:pPr>
      <w:r w:rsidRPr="008A0C8E">
        <w:lastRenderedPageBreak/>
        <w:t xml:space="preserve">Figure </w:t>
      </w:r>
      <w:r>
        <w:t>3</w:t>
      </w:r>
      <w:r w:rsidRPr="008A0C8E">
        <w:t>: The share of documents over time with a populist or nativist appeal on the different platforms</w:t>
      </w:r>
    </w:p>
    <w:p w14:paraId="08D02C62" w14:textId="77777777" w:rsidR="004354D3" w:rsidRPr="008A0C8E" w:rsidRDefault="004354D3" w:rsidP="004354D3">
      <w:pPr>
        <w:pStyle w:val="NoSpacing"/>
        <w:rPr>
          <w:lang w:val="en-GB"/>
        </w:rPr>
      </w:pPr>
      <w:r w:rsidRPr="008A0C8E">
        <w:rPr>
          <w:noProof/>
          <w:lang w:val="de-CH" w:eastAsia="de-CH"/>
        </w:rPr>
        <w:drawing>
          <wp:inline distT="0" distB="0" distL="0" distR="0" wp14:anchorId="5FE59448" wp14:editId="057679C2">
            <wp:extent cx="5753098" cy="707426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53098" cy="7074269"/>
                    </a:xfrm>
                    <a:prstGeom prst="rect">
                      <a:avLst/>
                    </a:prstGeom>
                    <a:noFill/>
                    <a:ln>
                      <a:noFill/>
                    </a:ln>
                  </pic:spPr>
                </pic:pic>
              </a:graphicData>
            </a:graphic>
          </wp:inline>
        </w:drawing>
      </w:r>
    </w:p>
    <w:p w14:paraId="35436EAA" w14:textId="77777777" w:rsidR="004354D3" w:rsidRPr="008A0C8E" w:rsidRDefault="004354D3" w:rsidP="004354D3">
      <w:pPr>
        <w:spacing w:line="240" w:lineRule="auto"/>
        <w:ind w:left="510" w:hanging="510"/>
        <w:jc w:val="both"/>
        <w:rPr>
          <w:sz w:val="20"/>
        </w:rPr>
      </w:pPr>
      <w:r w:rsidRPr="008A0C8E">
        <w:rPr>
          <w:rStyle w:val="Emphasis"/>
        </w:rPr>
        <w:t xml:space="preserve">Note: The coloured line represents the LOESS smoother we apply on all documents within a corpus and its associated 95 percent confidence interval. The dashed vertical reference lines represent the dates of the national parliamentary elections. </w:t>
      </w:r>
    </w:p>
    <w:p w14:paraId="76F93909" w14:textId="77777777" w:rsidR="004354D3" w:rsidRPr="00052FCB" w:rsidRDefault="004354D3" w:rsidP="004354D3">
      <w:r w:rsidRPr="00052FCB">
        <w:br w:type="page"/>
      </w:r>
    </w:p>
    <w:p w14:paraId="520E00D6" w14:textId="77777777" w:rsidR="004354D3" w:rsidRDefault="004354D3" w:rsidP="004354D3">
      <w:pPr>
        <w:pStyle w:val="Heading1"/>
      </w:pPr>
      <w:bookmarkStart w:id="5" w:name="_Toc65761303"/>
      <w:r w:rsidRPr="00052FCB">
        <w:lastRenderedPageBreak/>
        <w:t>A</w:t>
      </w:r>
      <w:r>
        <w:t>ppendix B</w:t>
      </w:r>
      <w:r w:rsidRPr="00052FCB">
        <w:t xml:space="preserve">: </w:t>
      </w:r>
      <w:r w:rsidRPr="00867AA9">
        <w:t>A</w:t>
      </w:r>
      <w:r>
        <w:t>dditional figures and tables</w:t>
      </w:r>
      <w:bookmarkEnd w:id="5"/>
    </w:p>
    <w:p w14:paraId="7E42E13D" w14:textId="77777777" w:rsidR="004354D3" w:rsidRPr="00F917E2" w:rsidRDefault="004354D3" w:rsidP="004354D3">
      <w:pPr>
        <w:pStyle w:val="Paragraph"/>
      </w:pPr>
    </w:p>
    <w:p w14:paraId="66C7D6A5" w14:textId="77777777" w:rsidR="004354D3" w:rsidRDefault="004354D3" w:rsidP="004354D3">
      <w:pPr>
        <w:pStyle w:val="Tabletitle"/>
      </w:pPr>
      <w:r w:rsidRPr="00EE7D6E">
        <w:t xml:space="preserve">Table </w:t>
      </w:r>
      <w:r>
        <w:t>1</w:t>
      </w:r>
      <w:r w:rsidRPr="00EE7D6E">
        <w:t>: Descriptive features of the five corpuses</w:t>
      </w:r>
    </w:p>
    <w:tbl>
      <w:tblPr>
        <w:tblW w:w="8669" w:type="dxa"/>
        <w:tblCellSpacing w:w="0" w:type="dxa"/>
        <w:tblCellMar>
          <w:left w:w="0" w:type="dxa"/>
          <w:right w:w="0" w:type="dxa"/>
        </w:tblCellMar>
        <w:tblLook w:val="04A0" w:firstRow="1" w:lastRow="0" w:firstColumn="1" w:lastColumn="0" w:noHBand="0" w:noVBand="1"/>
      </w:tblPr>
      <w:tblGrid>
        <w:gridCol w:w="2719"/>
        <w:gridCol w:w="999"/>
        <w:gridCol w:w="927"/>
        <w:gridCol w:w="1510"/>
        <w:gridCol w:w="1437"/>
        <w:gridCol w:w="1077"/>
      </w:tblGrid>
      <w:tr w:rsidR="004354D3" w:rsidRPr="000B2D00" w14:paraId="1FEC153C" w14:textId="77777777" w:rsidTr="008802EE">
        <w:trPr>
          <w:trHeight w:val="562"/>
          <w:tblHeader/>
          <w:tblCellSpacing w:w="0" w:type="dxa"/>
        </w:trPr>
        <w:tc>
          <w:tcPr>
            <w:tcW w:w="0" w:type="auto"/>
            <w:tcBorders>
              <w:bottom w:val="single" w:sz="4" w:space="0" w:color="auto"/>
            </w:tcBorders>
            <w:vAlign w:val="center"/>
            <w:hideMark/>
          </w:tcPr>
          <w:p w14:paraId="1B8270F4" w14:textId="77777777" w:rsidR="004354D3" w:rsidRPr="000B2D00" w:rsidRDefault="004354D3" w:rsidP="008802EE">
            <w:pPr>
              <w:spacing w:after="0" w:line="240" w:lineRule="auto"/>
              <w:jc w:val="center"/>
              <w:rPr>
                <w:rFonts w:cs="Times New Roman"/>
                <w:sz w:val="20"/>
                <w:szCs w:val="20"/>
              </w:rPr>
            </w:pPr>
            <w:r w:rsidRPr="000B2D00">
              <w:rPr>
                <w:rFonts w:cs="Times New Roman"/>
                <w:b/>
                <w:bCs/>
                <w:sz w:val="20"/>
                <w:szCs w:val="20"/>
              </w:rPr>
              <w:t>Period</w:t>
            </w:r>
          </w:p>
        </w:tc>
        <w:tc>
          <w:tcPr>
            <w:tcW w:w="0" w:type="auto"/>
            <w:tcBorders>
              <w:bottom w:val="single" w:sz="4" w:space="0" w:color="auto"/>
            </w:tcBorders>
            <w:vAlign w:val="center"/>
            <w:hideMark/>
          </w:tcPr>
          <w:p w14:paraId="76340187" w14:textId="77777777" w:rsidR="004354D3" w:rsidRPr="000B2D00" w:rsidRDefault="004354D3" w:rsidP="008802EE">
            <w:pPr>
              <w:spacing w:after="0" w:line="240" w:lineRule="auto"/>
              <w:jc w:val="center"/>
              <w:rPr>
                <w:rFonts w:cs="Times New Roman"/>
                <w:b/>
                <w:bCs/>
                <w:sz w:val="20"/>
                <w:szCs w:val="20"/>
              </w:rPr>
            </w:pPr>
            <w:r w:rsidRPr="000B2D00">
              <w:rPr>
                <w:rFonts w:cs="Times New Roman"/>
                <w:b/>
                <w:bCs/>
                <w:sz w:val="20"/>
                <w:szCs w:val="20"/>
              </w:rPr>
              <w:t>Kuruc.info</w:t>
            </w:r>
          </w:p>
        </w:tc>
        <w:tc>
          <w:tcPr>
            <w:tcW w:w="0" w:type="auto"/>
            <w:tcBorders>
              <w:bottom w:val="single" w:sz="4" w:space="0" w:color="auto"/>
            </w:tcBorders>
            <w:vAlign w:val="center"/>
            <w:hideMark/>
          </w:tcPr>
          <w:p w14:paraId="442B7D6C" w14:textId="77777777" w:rsidR="004354D3" w:rsidRPr="000B2D00" w:rsidRDefault="004354D3" w:rsidP="008802EE">
            <w:pPr>
              <w:spacing w:after="0" w:line="240" w:lineRule="auto"/>
              <w:jc w:val="center"/>
              <w:rPr>
                <w:rFonts w:cs="Times New Roman"/>
                <w:b/>
                <w:bCs/>
                <w:sz w:val="20"/>
                <w:szCs w:val="20"/>
              </w:rPr>
            </w:pPr>
            <w:r w:rsidRPr="000B2D00">
              <w:rPr>
                <w:rFonts w:cs="Times New Roman"/>
                <w:b/>
                <w:bCs/>
                <w:sz w:val="20"/>
                <w:szCs w:val="20"/>
              </w:rPr>
              <w:t>Alfahir.hu</w:t>
            </w:r>
          </w:p>
        </w:tc>
        <w:tc>
          <w:tcPr>
            <w:tcW w:w="0" w:type="auto"/>
            <w:tcBorders>
              <w:bottom w:val="single" w:sz="4" w:space="0" w:color="auto"/>
            </w:tcBorders>
            <w:vAlign w:val="center"/>
            <w:hideMark/>
          </w:tcPr>
          <w:p w14:paraId="537768EE" w14:textId="77777777" w:rsidR="004354D3" w:rsidRPr="000B2D00" w:rsidRDefault="004354D3" w:rsidP="008802EE">
            <w:pPr>
              <w:spacing w:after="0" w:line="240" w:lineRule="auto"/>
              <w:jc w:val="center"/>
              <w:rPr>
                <w:rFonts w:cs="Times New Roman"/>
                <w:b/>
                <w:bCs/>
                <w:sz w:val="20"/>
                <w:szCs w:val="20"/>
              </w:rPr>
            </w:pPr>
            <w:r w:rsidRPr="000B2D00">
              <w:rPr>
                <w:rFonts w:cs="Times New Roman"/>
                <w:b/>
                <w:bCs/>
                <w:sz w:val="20"/>
                <w:szCs w:val="20"/>
              </w:rPr>
              <w:t>Facebook - Jobbik page</w:t>
            </w:r>
          </w:p>
        </w:tc>
        <w:tc>
          <w:tcPr>
            <w:tcW w:w="0" w:type="auto"/>
            <w:tcBorders>
              <w:bottom w:val="single" w:sz="4" w:space="0" w:color="auto"/>
            </w:tcBorders>
            <w:vAlign w:val="center"/>
            <w:hideMark/>
          </w:tcPr>
          <w:p w14:paraId="2701645B" w14:textId="77777777" w:rsidR="004354D3" w:rsidRPr="000B2D00" w:rsidRDefault="004354D3" w:rsidP="008802EE">
            <w:pPr>
              <w:spacing w:after="0" w:line="240" w:lineRule="auto"/>
              <w:jc w:val="center"/>
              <w:rPr>
                <w:rFonts w:cs="Times New Roman"/>
                <w:b/>
                <w:bCs/>
                <w:sz w:val="20"/>
                <w:szCs w:val="20"/>
              </w:rPr>
            </w:pPr>
            <w:r w:rsidRPr="000B2D00">
              <w:rPr>
                <w:rFonts w:cs="Times New Roman"/>
                <w:b/>
                <w:bCs/>
                <w:sz w:val="20"/>
                <w:szCs w:val="20"/>
              </w:rPr>
              <w:t xml:space="preserve">Facebook - </w:t>
            </w:r>
            <w:proofErr w:type="spellStart"/>
            <w:r w:rsidRPr="000B2D00">
              <w:rPr>
                <w:rFonts w:cs="Times New Roman"/>
                <w:b/>
                <w:bCs/>
                <w:sz w:val="20"/>
                <w:szCs w:val="20"/>
              </w:rPr>
              <w:t>Vona</w:t>
            </w:r>
            <w:proofErr w:type="spellEnd"/>
            <w:r w:rsidRPr="000B2D00">
              <w:rPr>
                <w:rFonts w:cs="Times New Roman"/>
                <w:b/>
                <w:bCs/>
                <w:sz w:val="20"/>
                <w:szCs w:val="20"/>
              </w:rPr>
              <w:t xml:space="preserve"> page</w:t>
            </w:r>
          </w:p>
        </w:tc>
        <w:tc>
          <w:tcPr>
            <w:tcW w:w="0" w:type="auto"/>
            <w:tcBorders>
              <w:bottom w:val="single" w:sz="4" w:space="0" w:color="auto"/>
            </w:tcBorders>
            <w:vAlign w:val="center"/>
            <w:hideMark/>
          </w:tcPr>
          <w:p w14:paraId="7B73AE21" w14:textId="77777777" w:rsidR="004354D3" w:rsidRPr="000B2D00" w:rsidRDefault="004354D3" w:rsidP="008802EE">
            <w:pPr>
              <w:spacing w:after="0" w:line="240" w:lineRule="auto"/>
              <w:jc w:val="center"/>
              <w:rPr>
                <w:rFonts w:cs="Times New Roman"/>
                <w:b/>
                <w:bCs/>
                <w:sz w:val="20"/>
                <w:szCs w:val="20"/>
              </w:rPr>
            </w:pPr>
            <w:r w:rsidRPr="000B2D00">
              <w:rPr>
                <w:rFonts w:cs="Times New Roman"/>
                <w:b/>
                <w:bCs/>
                <w:sz w:val="20"/>
                <w:szCs w:val="20"/>
              </w:rPr>
              <w:t>Press Releases</w:t>
            </w:r>
          </w:p>
        </w:tc>
      </w:tr>
      <w:tr w:rsidR="004354D3" w:rsidRPr="000B2D00" w14:paraId="11E23331" w14:textId="77777777" w:rsidTr="008802EE">
        <w:trPr>
          <w:trHeight w:val="272"/>
          <w:tblCellSpacing w:w="0" w:type="dxa"/>
        </w:trPr>
        <w:tc>
          <w:tcPr>
            <w:tcW w:w="0" w:type="auto"/>
            <w:tcMar>
              <w:top w:w="15" w:type="dxa"/>
              <w:left w:w="480" w:type="dxa"/>
              <w:bottom w:w="15" w:type="dxa"/>
              <w:right w:w="15" w:type="dxa"/>
            </w:tcMar>
            <w:vAlign w:val="center"/>
            <w:hideMark/>
          </w:tcPr>
          <w:p w14:paraId="3EF77258" w14:textId="77777777" w:rsidR="004354D3" w:rsidRPr="000B2D00" w:rsidRDefault="004354D3" w:rsidP="008802EE">
            <w:pPr>
              <w:spacing w:after="0" w:line="240" w:lineRule="auto"/>
              <w:rPr>
                <w:rFonts w:cs="Times New Roman"/>
                <w:sz w:val="20"/>
                <w:szCs w:val="20"/>
              </w:rPr>
            </w:pPr>
            <w:r w:rsidRPr="000B2D00">
              <w:rPr>
                <w:rFonts w:cs="Times New Roman"/>
                <w:sz w:val="20"/>
                <w:szCs w:val="20"/>
              </w:rPr>
              <w:t xml:space="preserve">First observation </w:t>
            </w:r>
          </w:p>
        </w:tc>
        <w:tc>
          <w:tcPr>
            <w:tcW w:w="0" w:type="auto"/>
            <w:vAlign w:val="center"/>
            <w:hideMark/>
          </w:tcPr>
          <w:p w14:paraId="35EA61C0"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01.02.2006</w:t>
            </w:r>
          </w:p>
        </w:tc>
        <w:tc>
          <w:tcPr>
            <w:tcW w:w="0" w:type="auto"/>
            <w:vAlign w:val="center"/>
            <w:hideMark/>
          </w:tcPr>
          <w:p w14:paraId="7BB4DD09"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18.02.2012</w:t>
            </w:r>
          </w:p>
        </w:tc>
        <w:tc>
          <w:tcPr>
            <w:tcW w:w="0" w:type="auto"/>
            <w:vAlign w:val="center"/>
            <w:hideMark/>
          </w:tcPr>
          <w:p w14:paraId="64909DC0"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07.04.2010</w:t>
            </w:r>
          </w:p>
        </w:tc>
        <w:tc>
          <w:tcPr>
            <w:tcW w:w="0" w:type="auto"/>
            <w:vAlign w:val="center"/>
            <w:hideMark/>
          </w:tcPr>
          <w:p w14:paraId="1B00B5C7"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02.01.2010</w:t>
            </w:r>
          </w:p>
        </w:tc>
        <w:tc>
          <w:tcPr>
            <w:tcW w:w="0" w:type="auto"/>
            <w:vAlign w:val="center"/>
            <w:hideMark/>
          </w:tcPr>
          <w:p w14:paraId="054A63C5"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06.02.2006</w:t>
            </w:r>
          </w:p>
        </w:tc>
      </w:tr>
      <w:tr w:rsidR="004354D3" w:rsidRPr="000B2D00" w14:paraId="3763E214" w14:textId="77777777" w:rsidTr="008802EE">
        <w:trPr>
          <w:trHeight w:val="272"/>
          <w:tblCellSpacing w:w="0" w:type="dxa"/>
        </w:trPr>
        <w:tc>
          <w:tcPr>
            <w:tcW w:w="0" w:type="auto"/>
            <w:tcMar>
              <w:top w:w="15" w:type="dxa"/>
              <w:left w:w="480" w:type="dxa"/>
              <w:bottom w:w="15" w:type="dxa"/>
              <w:right w:w="15" w:type="dxa"/>
            </w:tcMar>
            <w:vAlign w:val="center"/>
            <w:hideMark/>
          </w:tcPr>
          <w:p w14:paraId="2DD2A23D" w14:textId="77777777" w:rsidR="004354D3" w:rsidRPr="000B2D00" w:rsidRDefault="004354D3" w:rsidP="008802EE">
            <w:pPr>
              <w:spacing w:after="0" w:line="240" w:lineRule="auto"/>
              <w:rPr>
                <w:rFonts w:cs="Times New Roman"/>
                <w:sz w:val="20"/>
                <w:szCs w:val="20"/>
              </w:rPr>
            </w:pPr>
            <w:r w:rsidRPr="000B2D00">
              <w:rPr>
                <w:rFonts w:cs="Times New Roman"/>
                <w:sz w:val="20"/>
                <w:szCs w:val="20"/>
              </w:rPr>
              <w:t xml:space="preserve">Last observation </w:t>
            </w:r>
          </w:p>
        </w:tc>
        <w:tc>
          <w:tcPr>
            <w:tcW w:w="0" w:type="auto"/>
            <w:vAlign w:val="center"/>
            <w:hideMark/>
          </w:tcPr>
          <w:p w14:paraId="04A6C3EC"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14.03.2019</w:t>
            </w:r>
          </w:p>
        </w:tc>
        <w:tc>
          <w:tcPr>
            <w:tcW w:w="0" w:type="auto"/>
            <w:vAlign w:val="center"/>
            <w:hideMark/>
          </w:tcPr>
          <w:p w14:paraId="0CB6EC56"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15.03.2019</w:t>
            </w:r>
          </w:p>
        </w:tc>
        <w:tc>
          <w:tcPr>
            <w:tcW w:w="0" w:type="auto"/>
            <w:vAlign w:val="center"/>
            <w:hideMark/>
          </w:tcPr>
          <w:p w14:paraId="60954A2D"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15.03.2019</w:t>
            </w:r>
          </w:p>
        </w:tc>
        <w:tc>
          <w:tcPr>
            <w:tcW w:w="0" w:type="auto"/>
            <w:vAlign w:val="center"/>
            <w:hideMark/>
          </w:tcPr>
          <w:p w14:paraId="5A4B7D42"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15.03.2019</w:t>
            </w:r>
          </w:p>
        </w:tc>
        <w:tc>
          <w:tcPr>
            <w:tcW w:w="0" w:type="auto"/>
            <w:vAlign w:val="center"/>
            <w:hideMark/>
          </w:tcPr>
          <w:p w14:paraId="1D112FCF"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15.03.2019</w:t>
            </w:r>
          </w:p>
        </w:tc>
      </w:tr>
      <w:tr w:rsidR="004354D3" w:rsidRPr="000B2D00" w14:paraId="23DEDE04" w14:textId="77777777" w:rsidTr="008802EE">
        <w:trPr>
          <w:trHeight w:val="285"/>
          <w:tblCellSpacing w:w="0" w:type="dxa"/>
        </w:trPr>
        <w:tc>
          <w:tcPr>
            <w:tcW w:w="0" w:type="auto"/>
            <w:gridSpan w:val="6"/>
            <w:tcBorders>
              <w:bottom w:val="single" w:sz="6" w:space="0" w:color="auto"/>
            </w:tcBorders>
            <w:vAlign w:val="center"/>
            <w:hideMark/>
          </w:tcPr>
          <w:p w14:paraId="0DE4F6DB" w14:textId="77777777" w:rsidR="004354D3" w:rsidRPr="000B2D00" w:rsidRDefault="004354D3" w:rsidP="008802EE">
            <w:pPr>
              <w:spacing w:after="0" w:line="240" w:lineRule="auto"/>
              <w:rPr>
                <w:rFonts w:cs="Times New Roman"/>
                <w:sz w:val="20"/>
                <w:szCs w:val="20"/>
              </w:rPr>
            </w:pPr>
            <w:r w:rsidRPr="000B2D00">
              <w:rPr>
                <w:rFonts w:cs="Times New Roman"/>
                <w:b/>
                <w:bCs/>
                <w:sz w:val="20"/>
                <w:szCs w:val="20"/>
              </w:rPr>
              <w:t>Corpus characteristics</w:t>
            </w:r>
          </w:p>
        </w:tc>
      </w:tr>
      <w:tr w:rsidR="004354D3" w:rsidRPr="000B2D00" w14:paraId="63AE524B" w14:textId="77777777" w:rsidTr="008802EE">
        <w:trPr>
          <w:trHeight w:val="562"/>
          <w:tblCellSpacing w:w="0" w:type="dxa"/>
        </w:trPr>
        <w:tc>
          <w:tcPr>
            <w:tcW w:w="0" w:type="auto"/>
            <w:tcMar>
              <w:top w:w="15" w:type="dxa"/>
              <w:left w:w="480" w:type="dxa"/>
              <w:bottom w:w="15" w:type="dxa"/>
              <w:right w:w="15" w:type="dxa"/>
            </w:tcMar>
            <w:vAlign w:val="center"/>
            <w:hideMark/>
          </w:tcPr>
          <w:p w14:paraId="37F80A9B" w14:textId="77777777" w:rsidR="004354D3" w:rsidRPr="000B2D00" w:rsidRDefault="004354D3" w:rsidP="008802EE">
            <w:pPr>
              <w:spacing w:after="0" w:line="240" w:lineRule="auto"/>
              <w:rPr>
                <w:rFonts w:cs="Times New Roman"/>
                <w:sz w:val="20"/>
                <w:szCs w:val="20"/>
              </w:rPr>
            </w:pPr>
            <w:r w:rsidRPr="000B2D00">
              <w:rPr>
                <w:rFonts w:cs="Times New Roman"/>
                <w:sz w:val="20"/>
                <w:szCs w:val="20"/>
              </w:rPr>
              <w:t xml:space="preserve">Total number of documents </w:t>
            </w:r>
          </w:p>
        </w:tc>
        <w:tc>
          <w:tcPr>
            <w:tcW w:w="0" w:type="auto"/>
            <w:vAlign w:val="center"/>
            <w:hideMark/>
          </w:tcPr>
          <w:p w14:paraId="41BBBD44"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21977</w:t>
            </w:r>
          </w:p>
        </w:tc>
        <w:tc>
          <w:tcPr>
            <w:tcW w:w="0" w:type="auto"/>
            <w:vAlign w:val="center"/>
            <w:hideMark/>
          </w:tcPr>
          <w:p w14:paraId="5A58B530"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17432</w:t>
            </w:r>
          </w:p>
        </w:tc>
        <w:tc>
          <w:tcPr>
            <w:tcW w:w="0" w:type="auto"/>
            <w:vAlign w:val="center"/>
            <w:hideMark/>
          </w:tcPr>
          <w:p w14:paraId="182BEA53"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7481</w:t>
            </w:r>
          </w:p>
        </w:tc>
        <w:tc>
          <w:tcPr>
            <w:tcW w:w="0" w:type="auto"/>
            <w:vAlign w:val="center"/>
            <w:hideMark/>
          </w:tcPr>
          <w:p w14:paraId="67C93D9A"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3485</w:t>
            </w:r>
          </w:p>
        </w:tc>
        <w:tc>
          <w:tcPr>
            <w:tcW w:w="0" w:type="auto"/>
            <w:vAlign w:val="center"/>
            <w:hideMark/>
          </w:tcPr>
          <w:p w14:paraId="2E4D39C7"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7582</w:t>
            </w:r>
          </w:p>
        </w:tc>
      </w:tr>
      <w:tr w:rsidR="004354D3" w:rsidRPr="000B2D00" w14:paraId="4C17E46C" w14:textId="77777777" w:rsidTr="008802EE">
        <w:trPr>
          <w:trHeight w:val="837"/>
          <w:tblCellSpacing w:w="0" w:type="dxa"/>
        </w:trPr>
        <w:tc>
          <w:tcPr>
            <w:tcW w:w="0" w:type="auto"/>
            <w:tcMar>
              <w:top w:w="15" w:type="dxa"/>
              <w:left w:w="480" w:type="dxa"/>
              <w:bottom w:w="15" w:type="dxa"/>
              <w:right w:w="15" w:type="dxa"/>
            </w:tcMar>
            <w:vAlign w:val="center"/>
            <w:hideMark/>
          </w:tcPr>
          <w:p w14:paraId="319800A2" w14:textId="77777777" w:rsidR="004354D3" w:rsidRPr="000B2D00" w:rsidRDefault="004354D3" w:rsidP="008802EE">
            <w:pPr>
              <w:spacing w:after="0" w:line="240" w:lineRule="auto"/>
              <w:rPr>
                <w:rFonts w:cs="Times New Roman"/>
                <w:sz w:val="20"/>
                <w:szCs w:val="20"/>
              </w:rPr>
            </w:pPr>
            <w:r w:rsidRPr="000B2D00">
              <w:rPr>
                <w:rFonts w:cs="Times New Roman"/>
                <w:sz w:val="20"/>
                <w:szCs w:val="20"/>
              </w:rPr>
              <w:t xml:space="preserve">Average length of document (# of words) </w:t>
            </w:r>
          </w:p>
        </w:tc>
        <w:tc>
          <w:tcPr>
            <w:tcW w:w="0" w:type="auto"/>
            <w:vAlign w:val="center"/>
            <w:hideMark/>
          </w:tcPr>
          <w:p w14:paraId="2F5D0438"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689</w:t>
            </w:r>
          </w:p>
        </w:tc>
        <w:tc>
          <w:tcPr>
            <w:tcW w:w="0" w:type="auto"/>
            <w:vAlign w:val="center"/>
            <w:hideMark/>
          </w:tcPr>
          <w:p w14:paraId="1E77A91E"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599</w:t>
            </w:r>
          </w:p>
        </w:tc>
        <w:tc>
          <w:tcPr>
            <w:tcW w:w="0" w:type="auto"/>
            <w:vAlign w:val="center"/>
            <w:hideMark/>
          </w:tcPr>
          <w:p w14:paraId="6F9FB664"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66</w:t>
            </w:r>
          </w:p>
        </w:tc>
        <w:tc>
          <w:tcPr>
            <w:tcW w:w="0" w:type="auto"/>
            <w:vAlign w:val="center"/>
            <w:hideMark/>
          </w:tcPr>
          <w:p w14:paraId="5D251A01"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92</w:t>
            </w:r>
          </w:p>
        </w:tc>
        <w:tc>
          <w:tcPr>
            <w:tcW w:w="0" w:type="auto"/>
            <w:vAlign w:val="center"/>
            <w:hideMark/>
          </w:tcPr>
          <w:p w14:paraId="736385FB" w14:textId="77777777" w:rsidR="004354D3" w:rsidRPr="000B2D00" w:rsidRDefault="004354D3" w:rsidP="008802EE">
            <w:pPr>
              <w:spacing w:after="0" w:line="240" w:lineRule="auto"/>
              <w:jc w:val="center"/>
              <w:rPr>
                <w:rFonts w:cs="Times New Roman"/>
                <w:sz w:val="20"/>
                <w:szCs w:val="20"/>
              </w:rPr>
            </w:pPr>
            <w:r w:rsidRPr="000B2D00">
              <w:rPr>
                <w:rFonts w:cs="Times New Roman"/>
                <w:sz w:val="20"/>
                <w:szCs w:val="20"/>
              </w:rPr>
              <w:t>233</w:t>
            </w:r>
          </w:p>
        </w:tc>
      </w:tr>
      <w:tr w:rsidR="004354D3" w:rsidRPr="000B2D00" w14:paraId="3FEB8BE3" w14:textId="77777777" w:rsidTr="008802EE">
        <w:trPr>
          <w:trHeight w:val="272"/>
          <w:tblCellSpacing w:w="0" w:type="dxa"/>
        </w:trPr>
        <w:tc>
          <w:tcPr>
            <w:tcW w:w="0" w:type="auto"/>
            <w:gridSpan w:val="6"/>
            <w:tcBorders>
              <w:bottom w:val="single" w:sz="6" w:space="0" w:color="auto"/>
            </w:tcBorders>
            <w:vAlign w:val="center"/>
            <w:hideMark/>
          </w:tcPr>
          <w:p w14:paraId="4BA2CEFD" w14:textId="77777777" w:rsidR="004354D3" w:rsidRPr="000B2D00" w:rsidRDefault="004354D3" w:rsidP="008802EE">
            <w:pPr>
              <w:spacing w:after="0" w:line="240" w:lineRule="auto"/>
              <w:rPr>
                <w:rFonts w:cs="Times New Roman"/>
                <w:sz w:val="20"/>
                <w:szCs w:val="20"/>
              </w:rPr>
            </w:pPr>
            <w:r w:rsidRPr="000B2D00">
              <w:rPr>
                <w:rFonts w:cs="Times New Roman"/>
                <w:b/>
                <w:bCs/>
                <w:sz w:val="20"/>
                <w:szCs w:val="20"/>
              </w:rPr>
              <w:t>Number of classified documents (share in corpus in parenthesis)</w:t>
            </w:r>
          </w:p>
        </w:tc>
      </w:tr>
      <w:tr w:rsidR="004354D3" w:rsidRPr="000B2D00" w14:paraId="0AEEE751" w14:textId="77777777" w:rsidTr="008802EE">
        <w:trPr>
          <w:trHeight w:val="562"/>
          <w:tblCellSpacing w:w="0" w:type="dxa"/>
        </w:trPr>
        <w:tc>
          <w:tcPr>
            <w:tcW w:w="0" w:type="auto"/>
            <w:tcMar>
              <w:top w:w="15" w:type="dxa"/>
              <w:left w:w="480" w:type="dxa"/>
              <w:bottom w:w="15" w:type="dxa"/>
              <w:right w:w="15" w:type="dxa"/>
            </w:tcMar>
            <w:hideMark/>
          </w:tcPr>
          <w:p w14:paraId="4A626459" w14:textId="77777777" w:rsidR="004354D3" w:rsidRPr="000B2D00" w:rsidRDefault="004354D3" w:rsidP="008802EE">
            <w:pPr>
              <w:spacing w:after="0" w:line="240" w:lineRule="auto"/>
              <w:rPr>
                <w:rFonts w:cs="Times New Roman"/>
                <w:sz w:val="20"/>
                <w:szCs w:val="20"/>
              </w:rPr>
            </w:pPr>
            <w:r w:rsidRPr="000B2D00">
              <w:rPr>
                <w:rFonts w:cs="Times New Roman"/>
                <w:color w:val="333333"/>
                <w:sz w:val="20"/>
                <w:szCs w:val="20"/>
              </w:rPr>
              <w:t>Populist</w:t>
            </w:r>
          </w:p>
        </w:tc>
        <w:tc>
          <w:tcPr>
            <w:tcW w:w="0" w:type="auto"/>
            <w:hideMark/>
          </w:tcPr>
          <w:p w14:paraId="3BB07EDA"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5521 (25%)</w:t>
            </w:r>
          </w:p>
        </w:tc>
        <w:tc>
          <w:tcPr>
            <w:tcW w:w="0" w:type="auto"/>
            <w:hideMark/>
          </w:tcPr>
          <w:p w14:paraId="7CFF46D6"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4362 (25%)</w:t>
            </w:r>
          </w:p>
        </w:tc>
        <w:tc>
          <w:tcPr>
            <w:tcW w:w="0" w:type="auto"/>
            <w:hideMark/>
          </w:tcPr>
          <w:p w14:paraId="684D712E"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293 (4%)</w:t>
            </w:r>
          </w:p>
        </w:tc>
        <w:tc>
          <w:tcPr>
            <w:tcW w:w="0" w:type="auto"/>
            <w:hideMark/>
          </w:tcPr>
          <w:p w14:paraId="7DFBF236"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113 (3%)</w:t>
            </w:r>
          </w:p>
        </w:tc>
        <w:tc>
          <w:tcPr>
            <w:tcW w:w="0" w:type="auto"/>
            <w:hideMark/>
          </w:tcPr>
          <w:p w14:paraId="4587EF2A"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1095 (14%)</w:t>
            </w:r>
          </w:p>
        </w:tc>
      </w:tr>
      <w:tr w:rsidR="004354D3" w:rsidRPr="000B2D00" w14:paraId="5DE2EFAE" w14:textId="77777777" w:rsidTr="008802EE">
        <w:trPr>
          <w:trHeight w:val="562"/>
          <w:tblCellSpacing w:w="0" w:type="dxa"/>
        </w:trPr>
        <w:tc>
          <w:tcPr>
            <w:tcW w:w="0" w:type="auto"/>
            <w:tcMar>
              <w:top w:w="15" w:type="dxa"/>
              <w:left w:w="480" w:type="dxa"/>
              <w:bottom w:w="15" w:type="dxa"/>
              <w:right w:w="15" w:type="dxa"/>
            </w:tcMar>
            <w:hideMark/>
          </w:tcPr>
          <w:p w14:paraId="0A2CC5BA" w14:textId="77777777" w:rsidR="004354D3" w:rsidRPr="000B2D00" w:rsidRDefault="004354D3" w:rsidP="008802EE">
            <w:pPr>
              <w:spacing w:after="0" w:line="240" w:lineRule="auto"/>
              <w:rPr>
                <w:rFonts w:cs="Times New Roman"/>
                <w:sz w:val="20"/>
                <w:szCs w:val="20"/>
              </w:rPr>
            </w:pPr>
            <w:r w:rsidRPr="000B2D00">
              <w:rPr>
                <w:rFonts w:cs="Times New Roman"/>
                <w:color w:val="333333"/>
                <w:sz w:val="20"/>
                <w:szCs w:val="20"/>
              </w:rPr>
              <w:t>Nativist</w:t>
            </w:r>
          </w:p>
        </w:tc>
        <w:tc>
          <w:tcPr>
            <w:tcW w:w="0" w:type="auto"/>
            <w:hideMark/>
          </w:tcPr>
          <w:p w14:paraId="72AA25FE"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10281 (47%)</w:t>
            </w:r>
          </w:p>
        </w:tc>
        <w:tc>
          <w:tcPr>
            <w:tcW w:w="0" w:type="auto"/>
            <w:hideMark/>
          </w:tcPr>
          <w:p w14:paraId="04806EAC"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5708 (33%)</w:t>
            </w:r>
          </w:p>
        </w:tc>
        <w:tc>
          <w:tcPr>
            <w:tcW w:w="0" w:type="auto"/>
            <w:hideMark/>
          </w:tcPr>
          <w:p w14:paraId="4E227774"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690 (9%)</w:t>
            </w:r>
          </w:p>
        </w:tc>
        <w:tc>
          <w:tcPr>
            <w:tcW w:w="0" w:type="auto"/>
            <w:hideMark/>
          </w:tcPr>
          <w:p w14:paraId="1B4D751C"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346 (10%)</w:t>
            </w:r>
          </w:p>
        </w:tc>
        <w:tc>
          <w:tcPr>
            <w:tcW w:w="0" w:type="auto"/>
            <w:hideMark/>
          </w:tcPr>
          <w:p w14:paraId="05927018"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1837 (24%)</w:t>
            </w:r>
          </w:p>
        </w:tc>
      </w:tr>
      <w:tr w:rsidR="004354D3" w:rsidRPr="000B2D00" w14:paraId="549C6664" w14:textId="77777777" w:rsidTr="008802EE">
        <w:trPr>
          <w:trHeight w:val="272"/>
          <w:tblCellSpacing w:w="0" w:type="dxa"/>
        </w:trPr>
        <w:tc>
          <w:tcPr>
            <w:tcW w:w="0" w:type="auto"/>
            <w:gridSpan w:val="6"/>
            <w:tcBorders>
              <w:bottom w:val="single" w:sz="6" w:space="0" w:color="auto"/>
            </w:tcBorders>
            <w:vAlign w:val="center"/>
            <w:hideMark/>
          </w:tcPr>
          <w:p w14:paraId="6611D16E" w14:textId="77777777" w:rsidR="004354D3" w:rsidRPr="00B67E7C" w:rsidRDefault="004354D3" w:rsidP="008802EE">
            <w:pPr>
              <w:spacing w:after="0" w:line="240" w:lineRule="auto"/>
              <w:rPr>
                <w:rFonts w:cs="Times New Roman"/>
                <w:sz w:val="20"/>
                <w:szCs w:val="20"/>
              </w:rPr>
            </w:pPr>
            <w:r w:rsidRPr="00B67E7C">
              <w:rPr>
                <w:rFonts w:cs="Times New Roman"/>
                <w:b/>
                <w:bCs/>
                <w:sz w:val="20"/>
                <w:szCs w:val="20"/>
              </w:rPr>
              <w:t>Co</w:t>
            </w:r>
            <w:r>
              <w:rPr>
                <w:rFonts w:cs="Times New Roman"/>
                <w:b/>
                <w:bCs/>
                <w:sz w:val="20"/>
                <w:szCs w:val="20"/>
              </w:rPr>
              <w:t>-</w:t>
            </w:r>
            <w:r w:rsidRPr="00B67E7C">
              <w:rPr>
                <w:rFonts w:cs="Times New Roman"/>
                <w:b/>
                <w:bCs/>
                <w:sz w:val="20"/>
                <w:szCs w:val="20"/>
              </w:rPr>
              <w:t>occurrence (share in corpus in parenthesis)</w:t>
            </w:r>
          </w:p>
        </w:tc>
      </w:tr>
      <w:tr w:rsidR="004354D3" w:rsidRPr="000B2D00" w14:paraId="04F4C5B3" w14:textId="77777777" w:rsidTr="008802EE">
        <w:trPr>
          <w:trHeight w:val="562"/>
          <w:tblCellSpacing w:w="0" w:type="dxa"/>
        </w:trPr>
        <w:tc>
          <w:tcPr>
            <w:tcW w:w="0" w:type="auto"/>
            <w:tcMar>
              <w:top w:w="15" w:type="dxa"/>
              <w:left w:w="480" w:type="dxa"/>
              <w:bottom w:w="15" w:type="dxa"/>
              <w:right w:w="15" w:type="dxa"/>
            </w:tcMar>
            <w:hideMark/>
          </w:tcPr>
          <w:p w14:paraId="0F10E6B8" w14:textId="77777777" w:rsidR="004354D3" w:rsidRPr="000B2D00" w:rsidRDefault="004354D3" w:rsidP="008802EE">
            <w:pPr>
              <w:spacing w:after="0" w:line="240" w:lineRule="auto"/>
              <w:rPr>
                <w:rFonts w:cs="Times New Roman"/>
                <w:sz w:val="20"/>
                <w:szCs w:val="20"/>
              </w:rPr>
            </w:pPr>
            <w:r w:rsidRPr="000B2D00">
              <w:rPr>
                <w:rFonts w:cs="Times New Roman"/>
                <w:color w:val="333333"/>
                <w:sz w:val="20"/>
                <w:szCs w:val="20"/>
              </w:rPr>
              <w:t>Populism and Nativism</w:t>
            </w:r>
          </w:p>
        </w:tc>
        <w:tc>
          <w:tcPr>
            <w:tcW w:w="0" w:type="auto"/>
            <w:hideMark/>
          </w:tcPr>
          <w:p w14:paraId="166FD2E6"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3767 (17%)</w:t>
            </w:r>
          </w:p>
        </w:tc>
        <w:tc>
          <w:tcPr>
            <w:tcW w:w="0" w:type="auto"/>
            <w:hideMark/>
          </w:tcPr>
          <w:p w14:paraId="5AFA81EB"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2014 (12%)</w:t>
            </w:r>
          </w:p>
        </w:tc>
        <w:tc>
          <w:tcPr>
            <w:tcW w:w="0" w:type="auto"/>
            <w:hideMark/>
          </w:tcPr>
          <w:p w14:paraId="5756EF55"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36 (0%)</w:t>
            </w:r>
          </w:p>
        </w:tc>
        <w:tc>
          <w:tcPr>
            <w:tcW w:w="0" w:type="auto"/>
            <w:hideMark/>
          </w:tcPr>
          <w:p w14:paraId="3D287D5A"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39 (1%)</w:t>
            </w:r>
          </w:p>
        </w:tc>
        <w:tc>
          <w:tcPr>
            <w:tcW w:w="0" w:type="auto"/>
            <w:hideMark/>
          </w:tcPr>
          <w:p w14:paraId="555DA7A2" w14:textId="77777777" w:rsidR="004354D3" w:rsidRPr="00B67E7C" w:rsidRDefault="004354D3" w:rsidP="008802EE">
            <w:pPr>
              <w:spacing w:after="0" w:line="240" w:lineRule="auto"/>
              <w:jc w:val="center"/>
              <w:rPr>
                <w:rFonts w:cs="Times New Roman"/>
                <w:sz w:val="20"/>
                <w:szCs w:val="20"/>
              </w:rPr>
            </w:pPr>
            <w:r w:rsidRPr="00B67E7C">
              <w:rPr>
                <w:rFonts w:cs="Times New Roman"/>
                <w:color w:val="333333"/>
                <w:sz w:val="20"/>
                <w:szCs w:val="20"/>
              </w:rPr>
              <w:t>355 (5%)</w:t>
            </w:r>
          </w:p>
        </w:tc>
      </w:tr>
    </w:tbl>
    <w:p w14:paraId="3D512152" w14:textId="77777777" w:rsidR="004354D3" w:rsidRDefault="004354D3" w:rsidP="004354D3">
      <w:pPr>
        <w:spacing w:before="240" w:line="360" w:lineRule="auto"/>
      </w:pPr>
    </w:p>
    <w:p w14:paraId="6C781097" w14:textId="77777777" w:rsidR="004354D3" w:rsidRPr="00EE7D6E" w:rsidRDefault="004354D3" w:rsidP="004354D3">
      <w:pPr>
        <w:spacing w:before="240" w:line="360" w:lineRule="auto"/>
      </w:pPr>
    </w:p>
    <w:p w14:paraId="55216DD6" w14:textId="77777777" w:rsidR="004354D3" w:rsidRPr="00EE7D6E" w:rsidRDefault="004354D3" w:rsidP="004354D3">
      <w:pPr>
        <w:spacing w:line="240" w:lineRule="auto"/>
        <w:jc w:val="both"/>
        <w:rPr>
          <w:rFonts w:eastAsia="Calibri" w:cs="Arial"/>
        </w:rPr>
      </w:pPr>
    </w:p>
    <w:p w14:paraId="7E7F83AE" w14:textId="77777777" w:rsidR="004354D3" w:rsidRDefault="004354D3" w:rsidP="004354D3">
      <w:pPr>
        <w:rPr>
          <w:rFonts w:cs="Arial"/>
          <w:b/>
          <w:bCs/>
          <w:kern w:val="32"/>
          <w:szCs w:val="32"/>
        </w:rPr>
      </w:pPr>
      <w:r>
        <w:rPr>
          <w:rFonts w:cs="Arial"/>
          <w:b/>
          <w:bCs/>
          <w:kern w:val="32"/>
          <w:szCs w:val="32"/>
        </w:rPr>
        <w:br w:type="page"/>
      </w:r>
    </w:p>
    <w:p w14:paraId="7CEB9B59" w14:textId="77777777" w:rsidR="004354D3" w:rsidRPr="00EE7D6E" w:rsidRDefault="004354D3" w:rsidP="004354D3">
      <w:pPr>
        <w:pStyle w:val="Figurecaption"/>
      </w:pPr>
      <w:r>
        <w:lastRenderedPageBreak/>
        <w:t>Figure 1</w:t>
      </w:r>
      <w:r w:rsidRPr="00EE7D6E">
        <w:t xml:space="preserve">: </w:t>
      </w:r>
      <w:r>
        <w:t xml:space="preserve">Marginal effects of </w:t>
      </w:r>
      <w:proofErr w:type="spellStart"/>
      <w:r>
        <w:t>Fidesz</w:t>
      </w:r>
      <w:proofErr w:type="spellEnd"/>
      <w:r>
        <w:t>’ nativism on Jobbik’s nativism</w:t>
      </w:r>
    </w:p>
    <w:p w14:paraId="75B3B052" w14:textId="77777777" w:rsidR="004354D3" w:rsidRPr="00F32255" w:rsidRDefault="004354D3" w:rsidP="004354D3">
      <w:pPr>
        <w:spacing w:line="240" w:lineRule="auto"/>
      </w:pPr>
      <w:r>
        <w:rPr>
          <w:noProof/>
          <w:lang w:val="de-CH" w:eastAsia="de-CH"/>
        </w:rPr>
        <w:drawing>
          <wp:inline distT="0" distB="0" distL="0" distR="0" wp14:anchorId="2D29B4A9" wp14:editId="34047F2D">
            <wp:extent cx="5755956" cy="3837304"/>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5755956" cy="3837304"/>
                    </a:xfrm>
                    <a:prstGeom prst="rect">
                      <a:avLst/>
                    </a:prstGeom>
                  </pic:spPr>
                </pic:pic>
              </a:graphicData>
            </a:graphic>
          </wp:inline>
        </w:drawing>
      </w:r>
    </w:p>
    <w:p w14:paraId="098037E6" w14:textId="77777777" w:rsidR="004354D3" w:rsidRPr="008A0C8E" w:rsidRDefault="004354D3" w:rsidP="004354D3">
      <w:pPr>
        <w:spacing w:line="240" w:lineRule="auto"/>
        <w:ind w:left="510" w:hanging="510"/>
        <w:jc w:val="both"/>
        <w:rPr>
          <w:sz w:val="20"/>
        </w:rPr>
      </w:pPr>
      <w:r w:rsidRPr="008A0C8E">
        <w:rPr>
          <w:rStyle w:val="Emphasis"/>
        </w:rPr>
        <w:t>Note: The marginal effects figure is estimated based on the t</w:t>
      </w:r>
      <w:r>
        <w:rPr>
          <w:rStyle w:val="Emphasis"/>
        </w:rPr>
        <w:t>wo</w:t>
      </w:r>
      <w:r w:rsidRPr="008A0C8E">
        <w:rPr>
          <w:rStyle w:val="Emphasis"/>
        </w:rPr>
        <w:t xml:space="preserve">-way interaction shown in model </w:t>
      </w:r>
      <w:r>
        <w:rPr>
          <w:rStyle w:val="Emphasis"/>
        </w:rPr>
        <w:t>2</w:t>
      </w:r>
      <w:r w:rsidRPr="008A0C8E">
        <w:rPr>
          <w:rStyle w:val="Emphasis"/>
        </w:rPr>
        <w:t xml:space="preserve"> in table 1</w:t>
      </w:r>
      <w:r>
        <w:rPr>
          <w:rStyle w:val="Emphasis"/>
        </w:rPr>
        <w:t xml:space="preserve"> in the main text</w:t>
      </w:r>
      <w:r w:rsidRPr="008A0C8E">
        <w:rPr>
          <w:rStyle w:val="Emphasis"/>
        </w:rPr>
        <w:t xml:space="preserve">. </w:t>
      </w:r>
    </w:p>
    <w:p w14:paraId="16ED1AA5" w14:textId="77777777" w:rsidR="004354D3" w:rsidRDefault="004354D3" w:rsidP="004354D3">
      <w:pPr>
        <w:spacing w:line="240" w:lineRule="auto"/>
      </w:pPr>
      <w:r>
        <w:br w:type="page"/>
      </w:r>
    </w:p>
    <w:p w14:paraId="2123E63D" w14:textId="77777777" w:rsidR="004354D3" w:rsidRPr="00EE7D6E" w:rsidRDefault="004354D3" w:rsidP="004354D3">
      <w:pPr>
        <w:pStyle w:val="Figurecaption"/>
      </w:pPr>
      <w:r>
        <w:lastRenderedPageBreak/>
        <w:t>Figure 2</w:t>
      </w:r>
      <w:r w:rsidRPr="00EE7D6E">
        <w:t xml:space="preserve">: </w:t>
      </w:r>
      <w:r>
        <w:t>Marginal effects of the share of undecided voters on Jobbik’s nativism</w:t>
      </w:r>
    </w:p>
    <w:p w14:paraId="794471C5" w14:textId="77777777" w:rsidR="004354D3" w:rsidRPr="00F32255" w:rsidRDefault="004354D3" w:rsidP="004354D3">
      <w:pPr>
        <w:spacing w:line="240" w:lineRule="auto"/>
      </w:pPr>
      <w:r>
        <w:rPr>
          <w:noProof/>
          <w:lang w:val="de-CH" w:eastAsia="de-CH"/>
        </w:rPr>
        <w:drawing>
          <wp:inline distT="0" distB="0" distL="0" distR="0" wp14:anchorId="2B8FBBA3" wp14:editId="441E3155">
            <wp:extent cx="5755956" cy="38373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extLst>
                        <a:ext uri="{28A0092B-C50C-407E-A947-70E740481C1C}">
                          <a14:useLocalDpi xmlns:a14="http://schemas.microsoft.com/office/drawing/2010/main" val="0"/>
                        </a:ext>
                      </a:extLst>
                    </a:blip>
                    <a:stretch>
                      <a:fillRect/>
                    </a:stretch>
                  </pic:blipFill>
                  <pic:spPr>
                    <a:xfrm>
                      <a:off x="0" y="0"/>
                      <a:ext cx="5755956" cy="3837304"/>
                    </a:xfrm>
                    <a:prstGeom prst="rect">
                      <a:avLst/>
                    </a:prstGeom>
                  </pic:spPr>
                </pic:pic>
              </a:graphicData>
            </a:graphic>
          </wp:inline>
        </w:drawing>
      </w:r>
    </w:p>
    <w:p w14:paraId="51CD9AEF" w14:textId="77777777" w:rsidR="004354D3" w:rsidRPr="008A0C8E" w:rsidRDefault="004354D3" w:rsidP="004354D3">
      <w:pPr>
        <w:spacing w:line="240" w:lineRule="auto"/>
        <w:ind w:left="510" w:hanging="510"/>
        <w:jc w:val="both"/>
        <w:rPr>
          <w:sz w:val="20"/>
        </w:rPr>
      </w:pPr>
      <w:r w:rsidRPr="008A0C8E">
        <w:rPr>
          <w:rStyle w:val="Emphasis"/>
        </w:rPr>
        <w:t>Note: The marginal effects figure is estimated based on the t</w:t>
      </w:r>
      <w:r>
        <w:rPr>
          <w:rStyle w:val="Emphasis"/>
        </w:rPr>
        <w:t>wo</w:t>
      </w:r>
      <w:r w:rsidRPr="008A0C8E">
        <w:rPr>
          <w:rStyle w:val="Emphasis"/>
        </w:rPr>
        <w:t xml:space="preserve">-way interaction shown in model </w:t>
      </w:r>
      <w:r>
        <w:rPr>
          <w:rStyle w:val="Emphasis"/>
        </w:rPr>
        <w:t>3</w:t>
      </w:r>
      <w:r w:rsidRPr="008A0C8E">
        <w:rPr>
          <w:rStyle w:val="Emphasis"/>
        </w:rPr>
        <w:t xml:space="preserve"> in table 1</w:t>
      </w:r>
      <w:r>
        <w:rPr>
          <w:rStyle w:val="Emphasis"/>
        </w:rPr>
        <w:t xml:space="preserve"> in the main text</w:t>
      </w:r>
      <w:r w:rsidRPr="008A0C8E">
        <w:rPr>
          <w:rStyle w:val="Emphasis"/>
        </w:rPr>
        <w:t xml:space="preserve">. </w:t>
      </w:r>
    </w:p>
    <w:p w14:paraId="57BDB324" w14:textId="77777777" w:rsidR="004354D3" w:rsidRDefault="004354D3" w:rsidP="004354D3">
      <w:pPr>
        <w:spacing w:line="240" w:lineRule="auto"/>
      </w:pPr>
      <w:r>
        <w:br w:type="page"/>
      </w:r>
    </w:p>
    <w:p w14:paraId="238E50A2" w14:textId="77777777" w:rsidR="004354D3" w:rsidRPr="007D2E69" w:rsidRDefault="004354D3" w:rsidP="004354D3">
      <w:pPr>
        <w:pStyle w:val="Figurecaption"/>
        <w:rPr>
          <w:lang w:val="en-US"/>
        </w:rPr>
      </w:pPr>
      <w:r w:rsidRPr="007D2E69">
        <w:rPr>
          <w:lang w:val="en-US"/>
        </w:rPr>
        <w:lastRenderedPageBreak/>
        <w:t>Figure</w:t>
      </w:r>
      <w:r>
        <w:rPr>
          <w:lang w:val="en-US"/>
        </w:rPr>
        <w:t xml:space="preserve"> 3</w:t>
      </w:r>
      <w:r w:rsidRPr="007D2E69">
        <w:rPr>
          <w:lang w:val="en-US"/>
        </w:rPr>
        <w:t>: Electoral share of Jobbik in public opinion polls and national elections</w:t>
      </w:r>
    </w:p>
    <w:p w14:paraId="25B8278D" w14:textId="77777777" w:rsidR="004354D3" w:rsidRPr="00616C84" w:rsidRDefault="004354D3" w:rsidP="004354D3">
      <w:pPr>
        <w:rPr>
          <w:lang w:val="en-US"/>
        </w:rPr>
      </w:pPr>
    </w:p>
    <w:p w14:paraId="24D217C1" w14:textId="77777777" w:rsidR="004354D3" w:rsidRDefault="004354D3" w:rsidP="004354D3">
      <w:r>
        <w:rPr>
          <w:noProof/>
          <w:lang w:val="de-CH" w:eastAsia="de-CH"/>
        </w:rPr>
        <w:drawing>
          <wp:inline distT="0" distB="0" distL="0" distR="0" wp14:anchorId="555770E8" wp14:editId="169344C2">
            <wp:extent cx="5756275" cy="3598545"/>
            <wp:effectExtent l="0" t="0" r="0" b="1905"/>
            <wp:docPr id="15" name="Picture 1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map&#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6275" cy="3598545"/>
                    </a:xfrm>
                    <a:prstGeom prst="rect">
                      <a:avLst/>
                    </a:prstGeom>
                  </pic:spPr>
                </pic:pic>
              </a:graphicData>
            </a:graphic>
          </wp:inline>
        </w:drawing>
      </w:r>
    </w:p>
    <w:p w14:paraId="2AE5FE30" w14:textId="77777777" w:rsidR="004354D3" w:rsidRPr="00800A65" w:rsidRDefault="004354D3" w:rsidP="004354D3">
      <w:pPr>
        <w:spacing w:line="240" w:lineRule="auto"/>
        <w:ind w:left="510" w:hanging="510"/>
        <w:rPr>
          <w:rStyle w:val="Emphasis"/>
          <w:lang w:val="en-US"/>
        </w:rPr>
      </w:pPr>
      <w:r w:rsidRPr="0059795D">
        <w:rPr>
          <w:rStyle w:val="Emphasis"/>
          <w:lang w:val="en-US"/>
        </w:rPr>
        <w:t xml:space="preserve">Note: The vertical reference lines show the four national parliamentary elections Jobbik contested (in 2006 in a coalition with MIÉP), the triangles show the vote share the party achieved. </w:t>
      </w:r>
    </w:p>
    <w:p w14:paraId="54553E52" w14:textId="77777777" w:rsidR="004354D3" w:rsidRDefault="004354D3" w:rsidP="004354D3">
      <w:pPr>
        <w:spacing w:line="240" w:lineRule="auto"/>
      </w:pPr>
      <w:r>
        <w:br w:type="page"/>
      </w:r>
    </w:p>
    <w:p w14:paraId="6544A32F" w14:textId="77777777" w:rsidR="004354D3" w:rsidRPr="00052FCB" w:rsidRDefault="004354D3" w:rsidP="004354D3">
      <w:pPr>
        <w:pStyle w:val="Heading1"/>
      </w:pPr>
      <w:bookmarkStart w:id="6" w:name="_Toc65761304"/>
      <w:r>
        <w:lastRenderedPageBreak/>
        <w:t>Appendix C</w:t>
      </w:r>
      <w:r w:rsidRPr="00052FCB">
        <w:t xml:space="preserve">: </w:t>
      </w:r>
      <w:r>
        <w:t>Content based transformation of nativism and populism</w:t>
      </w:r>
      <w:bookmarkEnd w:id="6"/>
    </w:p>
    <w:p w14:paraId="15352249" w14:textId="77777777" w:rsidR="004354D3" w:rsidRPr="00052FCB" w:rsidRDefault="004354D3" w:rsidP="004354D3">
      <w:pPr>
        <w:pStyle w:val="Figurecaption"/>
      </w:pPr>
      <w:r w:rsidRPr="00052FCB">
        <w:t xml:space="preserve">Figure </w:t>
      </w:r>
      <w:r>
        <w:t>1</w:t>
      </w:r>
      <w:r w:rsidRPr="00052FCB">
        <w:t>: Over time prevalence of the most prevalent keywords associated with anti-Roma and anti-immigration mobilization</w:t>
      </w:r>
    </w:p>
    <w:p w14:paraId="327106B0" w14:textId="77777777" w:rsidR="004354D3" w:rsidRPr="00052FCB" w:rsidRDefault="004354D3" w:rsidP="004354D3">
      <w:pPr>
        <w:keepNext/>
        <w:keepLines/>
      </w:pPr>
      <w:r w:rsidRPr="00052FCB">
        <w:rPr>
          <w:noProof/>
          <w:lang w:val="de-CH" w:eastAsia="de-CH"/>
        </w:rPr>
        <w:drawing>
          <wp:inline distT="0" distB="0" distL="0" distR="0" wp14:anchorId="2AC17D1A" wp14:editId="5BE911E1">
            <wp:extent cx="5876925" cy="723132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79015" cy="7233897"/>
                    </a:xfrm>
                    <a:prstGeom prst="rect">
                      <a:avLst/>
                    </a:prstGeom>
                  </pic:spPr>
                </pic:pic>
              </a:graphicData>
            </a:graphic>
          </wp:inline>
        </w:drawing>
      </w:r>
    </w:p>
    <w:p w14:paraId="351A624F" w14:textId="77777777" w:rsidR="004354D3" w:rsidRPr="00052FCB" w:rsidRDefault="004354D3" w:rsidP="004354D3">
      <w:pPr>
        <w:spacing w:line="240" w:lineRule="auto"/>
        <w:ind w:left="510" w:hanging="510"/>
        <w:jc w:val="both"/>
        <w:rPr>
          <w:sz w:val="20"/>
        </w:rPr>
      </w:pPr>
      <w:r w:rsidRPr="00052FCB">
        <w:rPr>
          <w:sz w:val="20"/>
        </w:rPr>
        <w:t>Note: The coloured line represents the LOESS smoother we apply on all documents within a corpus. The dashed vertical reference lines represent the dates of the national parliamentary elections.</w:t>
      </w:r>
    </w:p>
    <w:p w14:paraId="503A3868" w14:textId="77777777" w:rsidR="004354D3" w:rsidRPr="00052FCB" w:rsidRDefault="004354D3" w:rsidP="004354D3">
      <w:pPr>
        <w:pStyle w:val="Figurecaption"/>
      </w:pPr>
      <w:r w:rsidRPr="00052FCB">
        <w:lastRenderedPageBreak/>
        <w:t xml:space="preserve">Figure </w:t>
      </w:r>
      <w:r>
        <w:t>2</w:t>
      </w:r>
      <w:r w:rsidRPr="00052FCB">
        <w:t xml:space="preserve">: Over time prevalence of </w:t>
      </w:r>
      <w:r>
        <w:t>documents classified as having a people centrist or an anti-establishment appeal</w:t>
      </w:r>
    </w:p>
    <w:p w14:paraId="6492C119" w14:textId="77777777" w:rsidR="004354D3" w:rsidRPr="00052FCB" w:rsidRDefault="004354D3" w:rsidP="004354D3">
      <w:pPr>
        <w:spacing w:before="240" w:line="360" w:lineRule="auto"/>
      </w:pPr>
      <w:r>
        <w:rPr>
          <w:noProof/>
          <w:lang w:val="de-CH" w:eastAsia="de-CH"/>
        </w:rPr>
        <w:drawing>
          <wp:inline distT="0" distB="0" distL="0" distR="0" wp14:anchorId="175FD0DD" wp14:editId="51DC65E2">
            <wp:extent cx="5756208" cy="70827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6208" cy="7082790"/>
                    </a:xfrm>
                    <a:prstGeom prst="rect">
                      <a:avLst/>
                    </a:prstGeom>
                  </pic:spPr>
                </pic:pic>
              </a:graphicData>
            </a:graphic>
          </wp:inline>
        </w:drawing>
      </w:r>
    </w:p>
    <w:p w14:paraId="6D06DBAF" w14:textId="77777777" w:rsidR="004354D3" w:rsidRDefault="004354D3" w:rsidP="004354D3">
      <w:pPr>
        <w:spacing w:line="240" w:lineRule="auto"/>
        <w:ind w:left="510" w:hanging="510"/>
        <w:jc w:val="both"/>
        <w:rPr>
          <w:rStyle w:val="Emphasis"/>
          <w:lang w:val="en-US"/>
        </w:rPr>
      </w:pPr>
      <w:r w:rsidRPr="0059795D">
        <w:rPr>
          <w:rStyle w:val="Emphasis"/>
          <w:lang w:val="en-US"/>
        </w:rPr>
        <w:t xml:space="preserve">Note: The </w:t>
      </w:r>
      <w:proofErr w:type="spellStart"/>
      <w:r w:rsidRPr="0059795D">
        <w:rPr>
          <w:rStyle w:val="Emphasis"/>
          <w:lang w:val="en-US"/>
        </w:rPr>
        <w:t>colo</w:t>
      </w:r>
      <w:r>
        <w:rPr>
          <w:rStyle w:val="Emphasis"/>
          <w:lang w:val="en-US"/>
        </w:rPr>
        <w:t>u</w:t>
      </w:r>
      <w:r w:rsidRPr="0059795D">
        <w:rPr>
          <w:rStyle w:val="Emphasis"/>
          <w:lang w:val="en-US"/>
        </w:rPr>
        <w:t>red</w:t>
      </w:r>
      <w:proofErr w:type="spellEnd"/>
      <w:r w:rsidRPr="0059795D">
        <w:rPr>
          <w:rStyle w:val="Emphasis"/>
          <w:lang w:val="en-US"/>
        </w:rPr>
        <w:t xml:space="preserve"> line represents the LOESS smoother we apply on all documents within a corpus and its associated 95 percent confidence interval. The dashed vertical reference lines represent the dates of the national parliamentary elections. </w:t>
      </w:r>
    </w:p>
    <w:p w14:paraId="3B26AF3A" w14:textId="77777777" w:rsidR="004354D3" w:rsidRDefault="004354D3" w:rsidP="004354D3">
      <w:pPr>
        <w:spacing w:after="160" w:line="259" w:lineRule="auto"/>
        <w:rPr>
          <w:rStyle w:val="Emphasis"/>
          <w:lang w:val="en-US"/>
        </w:rPr>
      </w:pPr>
      <w:r>
        <w:rPr>
          <w:rStyle w:val="Emphasis"/>
          <w:lang w:val="en-US"/>
        </w:rPr>
        <w:br w:type="page"/>
      </w:r>
    </w:p>
    <w:p w14:paraId="561D1837" w14:textId="77777777" w:rsidR="004354D3" w:rsidRPr="00052FCB" w:rsidRDefault="004354D3" w:rsidP="004354D3">
      <w:pPr>
        <w:pStyle w:val="Heading1"/>
      </w:pPr>
      <w:bookmarkStart w:id="7" w:name="_Toc65761305"/>
      <w:r>
        <w:lastRenderedPageBreak/>
        <w:t>Appendix D</w:t>
      </w:r>
      <w:r w:rsidRPr="00052FCB">
        <w:t xml:space="preserve">: </w:t>
      </w:r>
      <w:r>
        <w:t>Distribution of documents classified with a proportional measure</w:t>
      </w:r>
      <w:bookmarkEnd w:id="7"/>
    </w:p>
    <w:p w14:paraId="3536CF25" w14:textId="77777777" w:rsidR="004354D3" w:rsidRPr="008A0C8E" w:rsidRDefault="004354D3" w:rsidP="004354D3">
      <w:pPr>
        <w:pStyle w:val="Figurecaption"/>
      </w:pPr>
      <w:r w:rsidRPr="00AE311B">
        <w:t xml:space="preserve">Figure </w:t>
      </w:r>
      <w:r>
        <w:t>1</w:t>
      </w:r>
      <w:r w:rsidRPr="00AE311B">
        <w:t xml:space="preserve">: Documents with a nativist and populist appeal on the different platforms </w:t>
      </w:r>
      <w:r>
        <w:rPr>
          <w:noProof/>
          <w:lang w:val="de-CH" w:eastAsia="de-CH"/>
        </w:rPr>
        <w:drawing>
          <wp:inline distT="0" distB="0" distL="0" distR="0" wp14:anchorId="0F3D6067" wp14:editId="40A805F7">
            <wp:extent cx="5762538" cy="4324350"/>
            <wp:effectExtent l="0" t="0" r="381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
                    <pic:cNvPicPr>
                      <a:picLocks/>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2538" cy="4324350"/>
                    </a:xfrm>
                    <a:prstGeom prst="rect">
                      <a:avLst/>
                    </a:prstGeom>
                    <a:noFill/>
                    <a:ln>
                      <a:noFill/>
                    </a:ln>
                  </pic:spPr>
                </pic:pic>
              </a:graphicData>
            </a:graphic>
          </wp:inline>
        </w:drawing>
      </w:r>
    </w:p>
    <w:p w14:paraId="12B59E21" w14:textId="77777777" w:rsidR="004354D3" w:rsidRPr="008A0C8E" w:rsidRDefault="004354D3" w:rsidP="004354D3">
      <w:pPr>
        <w:spacing w:after="160" w:line="259" w:lineRule="auto"/>
      </w:pPr>
      <w:r w:rsidRPr="008A0C8E">
        <w:br w:type="page"/>
      </w:r>
    </w:p>
    <w:p w14:paraId="5C8009BD" w14:textId="77777777" w:rsidR="004354D3" w:rsidRPr="008A0C8E" w:rsidRDefault="004354D3" w:rsidP="004354D3">
      <w:pPr>
        <w:pStyle w:val="Figurecaption"/>
      </w:pPr>
      <w:r w:rsidRPr="008A0C8E">
        <w:lastRenderedPageBreak/>
        <w:t>Figure 2: The share of documents over time with a populist or nativist appeal on the different platforms</w:t>
      </w:r>
    </w:p>
    <w:p w14:paraId="370288E1" w14:textId="77777777" w:rsidR="004354D3" w:rsidRPr="008A0C8E" w:rsidRDefault="004354D3" w:rsidP="004354D3">
      <w:pPr>
        <w:pStyle w:val="NoSpacing"/>
        <w:rPr>
          <w:lang w:val="en-GB"/>
        </w:rPr>
      </w:pPr>
      <w:r w:rsidRPr="008A0C8E">
        <w:rPr>
          <w:noProof/>
          <w:lang w:val="de-CH" w:eastAsia="de-CH"/>
        </w:rPr>
        <w:drawing>
          <wp:inline distT="0" distB="0" distL="0" distR="0" wp14:anchorId="08F9B791" wp14:editId="6F03D930">
            <wp:extent cx="5753099" cy="707426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53099" cy="7074269"/>
                    </a:xfrm>
                    <a:prstGeom prst="rect">
                      <a:avLst/>
                    </a:prstGeom>
                    <a:noFill/>
                    <a:ln>
                      <a:noFill/>
                    </a:ln>
                  </pic:spPr>
                </pic:pic>
              </a:graphicData>
            </a:graphic>
          </wp:inline>
        </w:drawing>
      </w:r>
    </w:p>
    <w:p w14:paraId="7749E4D2" w14:textId="77777777" w:rsidR="004354D3" w:rsidRPr="008A0C8E" w:rsidRDefault="004354D3" w:rsidP="004354D3">
      <w:pPr>
        <w:spacing w:line="240" w:lineRule="auto"/>
        <w:ind w:left="510" w:hanging="510"/>
        <w:jc w:val="both"/>
        <w:rPr>
          <w:sz w:val="20"/>
        </w:rPr>
      </w:pPr>
      <w:r w:rsidRPr="008A0C8E">
        <w:rPr>
          <w:rStyle w:val="Emphasis"/>
        </w:rPr>
        <w:t xml:space="preserve">Note: The coloured line represents the LOESS smoother we apply on all documents within a corpus and its associated 95 percent confidence interval. The dashed vertical reference lines represent the dates of the national parliamentary elections. </w:t>
      </w:r>
    </w:p>
    <w:p w14:paraId="68DC3842" w14:textId="77777777" w:rsidR="004354D3" w:rsidRPr="00C8152B" w:rsidRDefault="004354D3" w:rsidP="004354D3">
      <w:pPr>
        <w:pStyle w:val="Figurecaption"/>
        <w:keepNext/>
        <w:keepLines/>
        <w:rPr>
          <w:sz w:val="20"/>
        </w:rPr>
      </w:pPr>
    </w:p>
    <w:bookmarkEnd w:id="0"/>
    <w:p w14:paraId="0C42532F" w14:textId="387A2AD6" w:rsidR="003F1130" w:rsidRPr="008A0C8E" w:rsidRDefault="003F1130" w:rsidP="00104376">
      <w:pPr>
        <w:keepNext/>
        <w:keepLines/>
        <w:spacing w:before="120"/>
        <w:outlineLvl w:val="0"/>
      </w:pPr>
    </w:p>
    <w:sectPr w:rsidR="003F1130" w:rsidRPr="008A0C8E" w:rsidSect="00BA2880">
      <w:footerReference w:type="default" r:id="rId19"/>
      <w:pgSz w:w="11901"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29ADB" w14:textId="77777777" w:rsidR="005E0536" w:rsidRDefault="005E0536" w:rsidP="00EF7613">
      <w:pPr>
        <w:spacing w:after="0" w:line="240" w:lineRule="auto"/>
      </w:pPr>
      <w:r>
        <w:separator/>
      </w:r>
    </w:p>
  </w:endnote>
  <w:endnote w:type="continuationSeparator" w:id="0">
    <w:p w14:paraId="4BED62E5" w14:textId="77777777" w:rsidR="005E0536" w:rsidRDefault="005E0536" w:rsidP="00EF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3192833"/>
      <w:docPartObj>
        <w:docPartGallery w:val="Page Numbers (Bottom of Page)"/>
        <w:docPartUnique/>
      </w:docPartObj>
    </w:sdtPr>
    <w:sdtEndPr>
      <w:rPr>
        <w:noProof/>
      </w:rPr>
    </w:sdtEndPr>
    <w:sdtContent>
      <w:p w14:paraId="46F21784" w14:textId="73955ECC" w:rsidR="00346C3D" w:rsidRDefault="00346C3D" w:rsidP="00BA2880">
        <w:pPr>
          <w:pStyle w:val="Footer"/>
          <w:jc w:val="right"/>
        </w:pPr>
        <w:r>
          <w:fldChar w:fldCharType="begin"/>
        </w:r>
        <w:r>
          <w:instrText xml:space="preserve"> PAGE   \* MERGEFORMAT </w:instrText>
        </w:r>
        <w:r>
          <w:fldChar w:fldCharType="separate"/>
        </w:r>
        <w:r w:rsidR="002221E9">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0DEC7" w14:textId="77777777" w:rsidR="005E0536" w:rsidRDefault="005E0536" w:rsidP="00EF7613">
      <w:pPr>
        <w:spacing w:after="0" w:line="240" w:lineRule="auto"/>
      </w:pPr>
      <w:r>
        <w:separator/>
      </w:r>
    </w:p>
  </w:footnote>
  <w:footnote w:type="continuationSeparator" w:id="0">
    <w:p w14:paraId="6B8479EA" w14:textId="77777777" w:rsidR="005E0536" w:rsidRDefault="005E0536" w:rsidP="00EF7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96C7D"/>
    <w:multiLevelType w:val="hybridMultilevel"/>
    <w:tmpl w:val="05561B98"/>
    <w:lvl w:ilvl="0" w:tplc="A832067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MDY2NbEwMDcyNrBQ0lEKTi0uzszPAykwNKgFABn8+kAtAAAA"/>
  </w:docVars>
  <w:rsids>
    <w:rsidRoot w:val="00EF7613"/>
    <w:rsid w:val="000029C3"/>
    <w:rsid w:val="000063FB"/>
    <w:rsid w:val="0002212E"/>
    <w:rsid w:val="00032CBF"/>
    <w:rsid w:val="00041CC8"/>
    <w:rsid w:val="00041F02"/>
    <w:rsid w:val="0004669A"/>
    <w:rsid w:val="00047F7A"/>
    <w:rsid w:val="000557BB"/>
    <w:rsid w:val="00055D17"/>
    <w:rsid w:val="00066643"/>
    <w:rsid w:val="00073F57"/>
    <w:rsid w:val="00074060"/>
    <w:rsid w:val="00076ABE"/>
    <w:rsid w:val="0008688A"/>
    <w:rsid w:val="00086C6C"/>
    <w:rsid w:val="000A360F"/>
    <w:rsid w:val="000A5616"/>
    <w:rsid w:val="000B49AD"/>
    <w:rsid w:val="000B51D1"/>
    <w:rsid w:val="000C06EB"/>
    <w:rsid w:val="000C5F34"/>
    <w:rsid w:val="000C6993"/>
    <w:rsid w:val="000C780B"/>
    <w:rsid w:val="000D28CA"/>
    <w:rsid w:val="000D46E8"/>
    <w:rsid w:val="000E0AD7"/>
    <w:rsid w:val="000E5856"/>
    <w:rsid w:val="000E76B1"/>
    <w:rsid w:val="000F397F"/>
    <w:rsid w:val="000F7438"/>
    <w:rsid w:val="00104376"/>
    <w:rsid w:val="00104A08"/>
    <w:rsid w:val="00112C91"/>
    <w:rsid w:val="00121D28"/>
    <w:rsid w:val="00126768"/>
    <w:rsid w:val="00132047"/>
    <w:rsid w:val="00140C92"/>
    <w:rsid w:val="001421AD"/>
    <w:rsid w:val="00162BBD"/>
    <w:rsid w:val="00170334"/>
    <w:rsid w:val="00170B7C"/>
    <w:rsid w:val="00183A27"/>
    <w:rsid w:val="00191813"/>
    <w:rsid w:val="001929EA"/>
    <w:rsid w:val="001A0AB7"/>
    <w:rsid w:val="001A47CD"/>
    <w:rsid w:val="001A6E13"/>
    <w:rsid w:val="001C0CCF"/>
    <w:rsid w:val="001C1FA1"/>
    <w:rsid w:val="001C513D"/>
    <w:rsid w:val="001C5599"/>
    <w:rsid w:val="001C73FA"/>
    <w:rsid w:val="001D6AF3"/>
    <w:rsid w:val="001F07ED"/>
    <w:rsid w:val="00204DE2"/>
    <w:rsid w:val="00204E57"/>
    <w:rsid w:val="00210420"/>
    <w:rsid w:val="00213F7C"/>
    <w:rsid w:val="0021519E"/>
    <w:rsid w:val="00220DBB"/>
    <w:rsid w:val="002221E9"/>
    <w:rsid w:val="0022386D"/>
    <w:rsid w:val="00225F7B"/>
    <w:rsid w:val="00236F49"/>
    <w:rsid w:val="00241AF8"/>
    <w:rsid w:val="00250CC7"/>
    <w:rsid w:val="00251C2C"/>
    <w:rsid w:val="00254927"/>
    <w:rsid w:val="00257534"/>
    <w:rsid w:val="002724BB"/>
    <w:rsid w:val="00272E70"/>
    <w:rsid w:val="00277F03"/>
    <w:rsid w:val="002805B2"/>
    <w:rsid w:val="00284ED9"/>
    <w:rsid w:val="002B2532"/>
    <w:rsid w:val="002B3FC5"/>
    <w:rsid w:val="002B5560"/>
    <w:rsid w:val="002B6911"/>
    <w:rsid w:val="002C0410"/>
    <w:rsid w:val="002C5AF5"/>
    <w:rsid w:val="002C7D61"/>
    <w:rsid w:val="002D20A2"/>
    <w:rsid w:val="002E2A2A"/>
    <w:rsid w:val="002E2F25"/>
    <w:rsid w:val="002F6AC2"/>
    <w:rsid w:val="002F7458"/>
    <w:rsid w:val="00315378"/>
    <w:rsid w:val="003245F5"/>
    <w:rsid w:val="00324859"/>
    <w:rsid w:val="00324C83"/>
    <w:rsid w:val="00326285"/>
    <w:rsid w:val="003265B3"/>
    <w:rsid w:val="00332FF4"/>
    <w:rsid w:val="003364BA"/>
    <w:rsid w:val="003379A8"/>
    <w:rsid w:val="00344AB4"/>
    <w:rsid w:val="00346C3D"/>
    <w:rsid w:val="00352729"/>
    <w:rsid w:val="00357DFA"/>
    <w:rsid w:val="0036485A"/>
    <w:rsid w:val="00372A35"/>
    <w:rsid w:val="003730F6"/>
    <w:rsid w:val="00377574"/>
    <w:rsid w:val="0039285A"/>
    <w:rsid w:val="00395A26"/>
    <w:rsid w:val="00395D9B"/>
    <w:rsid w:val="00396A99"/>
    <w:rsid w:val="003A3453"/>
    <w:rsid w:val="003A486B"/>
    <w:rsid w:val="003A73A3"/>
    <w:rsid w:val="003B5D83"/>
    <w:rsid w:val="003C6219"/>
    <w:rsid w:val="003C7DA6"/>
    <w:rsid w:val="003D0210"/>
    <w:rsid w:val="003D0A2C"/>
    <w:rsid w:val="003D3FF7"/>
    <w:rsid w:val="003D693E"/>
    <w:rsid w:val="003E09D9"/>
    <w:rsid w:val="003E459D"/>
    <w:rsid w:val="003E6500"/>
    <w:rsid w:val="003F1130"/>
    <w:rsid w:val="003F4E56"/>
    <w:rsid w:val="003F7474"/>
    <w:rsid w:val="00401354"/>
    <w:rsid w:val="00402719"/>
    <w:rsid w:val="004047F2"/>
    <w:rsid w:val="00413D63"/>
    <w:rsid w:val="00421C8C"/>
    <w:rsid w:val="00422287"/>
    <w:rsid w:val="00425C68"/>
    <w:rsid w:val="004315F8"/>
    <w:rsid w:val="004354D3"/>
    <w:rsid w:val="00442DEF"/>
    <w:rsid w:val="00446DC4"/>
    <w:rsid w:val="004475B8"/>
    <w:rsid w:val="0045546C"/>
    <w:rsid w:val="004713F8"/>
    <w:rsid w:val="00472CFC"/>
    <w:rsid w:val="00490191"/>
    <w:rsid w:val="00490FDC"/>
    <w:rsid w:val="004A1305"/>
    <w:rsid w:val="004B0090"/>
    <w:rsid w:val="004B1048"/>
    <w:rsid w:val="004B15FE"/>
    <w:rsid w:val="004B2901"/>
    <w:rsid w:val="004B3D0A"/>
    <w:rsid w:val="004B6030"/>
    <w:rsid w:val="004B7F2D"/>
    <w:rsid w:val="004C22E6"/>
    <w:rsid w:val="004C7E0C"/>
    <w:rsid w:val="004D4932"/>
    <w:rsid w:val="004E657C"/>
    <w:rsid w:val="004E6E25"/>
    <w:rsid w:val="004E7C50"/>
    <w:rsid w:val="004F015D"/>
    <w:rsid w:val="0050275E"/>
    <w:rsid w:val="0050389A"/>
    <w:rsid w:val="005129E8"/>
    <w:rsid w:val="005176DF"/>
    <w:rsid w:val="005210BF"/>
    <w:rsid w:val="005457BA"/>
    <w:rsid w:val="005559F7"/>
    <w:rsid w:val="00561217"/>
    <w:rsid w:val="005646CF"/>
    <w:rsid w:val="0057509B"/>
    <w:rsid w:val="00580975"/>
    <w:rsid w:val="00586002"/>
    <w:rsid w:val="005A1503"/>
    <w:rsid w:val="005A4EF0"/>
    <w:rsid w:val="005C4874"/>
    <w:rsid w:val="005C6355"/>
    <w:rsid w:val="005C6A04"/>
    <w:rsid w:val="005C7C07"/>
    <w:rsid w:val="005E0536"/>
    <w:rsid w:val="005E0752"/>
    <w:rsid w:val="005E1E62"/>
    <w:rsid w:val="005E2472"/>
    <w:rsid w:val="005E2A95"/>
    <w:rsid w:val="005F2865"/>
    <w:rsid w:val="005F4110"/>
    <w:rsid w:val="005F5A03"/>
    <w:rsid w:val="00614647"/>
    <w:rsid w:val="00634BDB"/>
    <w:rsid w:val="00651A47"/>
    <w:rsid w:val="00655F5D"/>
    <w:rsid w:val="00657296"/>
    <w:rsid w:val="00661145"/>
    <w:rsid w:val="006625DF"/>
    <w:rsid w:val="00666CDF"/>
    <w:rsid w:val="0067173D"/>
    <w:rsid w:val="00674875"/>
    <w:rsid w:val="00675D24"/>
    <w:rsid w:val="00676DC0"/>
    <w:rsid w:val="00682D62"/>
    <w:rsid w:val="0068381D"/>
    <w:rsid w:val="006841DB"/>
    <w:rsid w:val="00686443"/>
    <w:rsid w:val="00690C05"/>
    <w:rsid w:val="00690CE0"/>
    <w:rsid w:val="00691662"/>
    <w:rsid w:val="00696DA3"/>
    <w:rsid w:val="006A137A"/>
    <w:rsid w:val="006A1EC6"/>
    <w:rsid w:val="006B3008"/>
    <w:rsid w:val="006C0908"/>
    <w:rsid w:val="006C7D12"/>
    <w:rsid w:val="006D23A4"/>
    <w:rsid w:val="006D39C5"/>
    <w:rsid w:val="006D56E7"/>
    <w:rsid w:val="006E07F4"/>
    <w:rsid w:val="006E2FD6"/>
    <w:rsid w:val="006E6CF6"/>
    <w:rsid w:val="006F49B4"/>
    <w:rsid w:val="007049A6"/>
    <w:rsid w:val="00717AC6"/>
    <w:rsid w:val="0073012D"/>
    <w:rsid w:val="0073221E"/>
    <w:rsid w:val="0074462E"/>
    <w:rsid w:val="007504C3"/>
    <w:rsid w:val="00751850"/>
    <w:rsid w:val="007643D0"/>
    <w:rsid w:val="00776E38"/>
    <w:rsid w:val="0078595C"/>
    <w:rsid w:val="00790198"/>
    <w:rsid w:val="0079465E"/>
    <w:rsid w:val="00797144"/>
    <w:rsid w:val="007A180E"/>
    <w:rsid w:val="007A4FEC"/>
    <w:rsid w:val="007A55BC"/>
    <w:rsid w:val="007C7FCC"/>
    <w:rsid w:val="007D44A8"/>
    <w:rsid w:val="007D49A8"/>
    <w:rsid w:val="007D5457"/>
    <w:rsid w:val="007F1EB3"/>
    <w:rsid w:val="007F38E9"/>
    <w:rsid w:val="007F74D2"/>
    <w:rsid w:val="00803529"/>
    <w:rsid w:val="00806E51"/>
    <w:rsid w:val="00807B33"/>
    <w:rsid w:val="00817B10"/>
    <w:rsid w:val="00844319"/>
    <w:rsid w:val="0085049A"/>
    <w:rsid w:val="008536D4"/>
    <w:rsid w:val="008556ED"/>
    <w:rsid w:val="00862150"/>
    <w:rsid w:val="008716FA"/>
    <w:rsid w:val="00873EDA"/>
    <w:rsid w:val="00877C1D"/>
    <w:rsid w:val="00883F3E"/>
    <w:rsid w:val="008941AD"/>
    <w:rsid w:val="00895562"/>
    <w:rsid w:val="00897452"/>
    <w:rsid w:val="00897E6F"/>
    <w:rsid w:val="008A0C8E"/>
    <w:rsid w:val="008A172B"/>
    <w:rsid w:val="008A7FC7"/>
    <w:rsid w:val="008B666F"/>
    <w:rsid w:val="008B6A37"/>
    <w:rsid w:val="008B77A9"/>
    <w:rsid w:val="008C10D1"/>
    <w:rsid w:val="008C18FF"/>
    <w:rsid w:val="008C4B7F"/>
    <w:rsid w:val="008E1521"/>
    <w:rsid w:val="008F1DF3"/>
    <w:rsid w:val="008F4FD6"/>
    <w:rsid w:val="00910F7D"/>
    <w:rsid w:val="0092085F"/>
    <w:rsid w:val="00922C52"/>
    <w:rsid w:val="00923101"/>
    <w:rsid w:val="009274AD"/>
    <w:rsid w:val="00927B04"/>
    <w:rsid w:val="00933F41"/>
    <w:rsid w:val="00942894"/>
    <w:rsid w:val="00943034"/>
    <w:rsid w:val="00952AB8"/>
    <w:rsid w:val="00964210"/>
    <w:rsid w:val="009765A5"/>
    <w:rsid w:val="00976F46"/>
    <w:rsid w:val="009817CE"/>
    <w:rsid w:val="00982F2D"/>
    <w:rsid w:val="009835B6"/>
    <w:rsid w:val="00991DC3"/>
    <w:rsid w:val="00995B1C"/>
    <w:rsid w:val="009A7D05"/>
    <w:rsid w:val="009B6734"/>
    <w:rsid w:val="009C115A"/>
    <w:rsid w:val="009C7D59"/>
    <w:rsid w:val="009D62BF"/>
    <w:rsid w:val="009D6762"/>
    <w:rsid w:val="009E5489"/>
    <w:rsid w:val="009E63C2"/>
    <w:rsid w:val="009F1BFD"/>
    <w:rsid w:val="009F3818"/>
    <w:rsid w:val="009F4639"/>
    <w:rsid w:val="00A0580F"/>
    <w:rsid w:val="00A06B84"/>
    <w:rsid w:val="00A07E0E"/>
    <w:rsid w:val="00A13589"/>
    <w:rsid w:val="00A227D9"/>
    <w:rsid w:val="00A251AD"/>
    <w:rsid w:val="00A3608B"/>
    <w:rsid w:val="00A36FEE"/>
    <w:rsid w:val="00A40DCE"/>
    <w:rsid w:val="00A5386C"/>
    <w:rsid w:val="00A55897"/>
    <w:rsid w:val="00A60050"/>
    <w:rsid w:val="00A613BF"/>
    <w:rsid w:val="00A62E2F"/>
    <w:rsid w:val="00A67168"/>
    <w:rsid w:val="00A762B5"/>
    <w:rsid w:val="00A80B24"/>
    <w:rsid w:val="00A84FC4"/>
    <w:rsid w:val="00A86D30"/>
    <w:rsid w:val="00A871CD"/>
    <w:rsid w:val="00A90593"/>
    <w:rsid w:val="00A97F83"/>
    <w:rsid w:val="00AA37D8"/>
    <w:rsid w:val="00AA5557"/>
    <w:rsid w:val="00AB1946"/>
    <w:rsid w:val="00AC3BCD"/>
    <w:rsid w:val="00AC550E"/>
    <w:rsid w:val="00AC6142"/>
    <w:rsid w:val="00AC70A2"/>
    <w:rsid w:val="00AE2D8C"/>
    <w:rsid w:val="00AE3107"/>
    <w:rsid w:val="00AE311B"/>
    <w:rsid w:val="00AF04A5"/>
    <w:rsid w:val="00AF11FA"/>
    <w:rsid w:val="00AF229F"/>
    <w:rsid w:val="00AF41EC"/>
    <w:rsid w:val="00AF494A"/>
    <w:rsid w:val="00B05650"/>
    <w:rsid w:val="00B15D02"/>
    <w:rsid w:val="00B21008"/>
    <w:rsid w:val="00B218AC"/>
    <w:rsid w:val="00B22BA3"/>
    <w:rsid w:val="00B30C68"/>
    <w:rsid w:val="00B319BF"/>
    <w:rsid w:val="00B33501"/>
    <w:rsid w:val="00B51E7B"/>
    <w:rsid w:val="00B569C2"/>
    <w:rsid w:val="00B72760"/>
    <w:rsid w:val="00B74E41"/>
    <w:rsid w:val="00B812D0"/>
    <w:rsid w:val="00B83ABF"/>
    <w:rsid w:val="00B91C7E"/>
    <w:rsid w:val="00B9577D"/>
    <w:rsid w:val="00B96541"/>
    <w:rsid w:val="00B9698F"/>
    <w:rsid w:val="00BA2880"/>
    <w:rsid w:val="00BB42BF"/>
    <w:rsid w:val="00BB5ADE"/>
    <w:rsid w:val="00BC0E3E"/>
    <w:rsid w:val="00BC7086"/>
    <w:rsid w:val="00BD42C5"/>
    <w:rsid w:val="00BD7A04"/>
    <w:rsid w:val="00BE38D2"/>
    <w:rsid w:val="00BE3CAC"/>
    <w:rsid w:val="00BE454E"/>
    <w:rsid w:val="00BF4D16"/>
    <w:rsid w:val="00BF77D6"/>
    <w:rsid w:val="00C04E64"/>
    <w:rsid w:val="00C053EB"/>
    <w:rsid w:val="00C0635B"/>
    <w:rsid w:val="00C11B81"/>
    <w:rsid w:val="00C337B6"/>
    <w:rsid w:val="00C33E76"/>
    <w:rsid w:val="00C46648"/>
    <w:rsid w:val="00C50C05"/>
    <w:rsid w:val="00C70368"/>
    <w:rsid w:val="00C7582E"/>
    <w:rsid w:val="00C82573"/>
    <w:rsid w:val="00CA397F"/>
    <w:rsid w:val="00CA4231"/>
    <w:rsid w:val="00CB5E33"/>
    <w:rsid w:val="00CC6FAA"/>
    <w:rsid w:val="00CD006A"/>
    <w:rsid w:val="00CD14FB"/>
    <w:rsid w:val="00CD53D5"/>
    <w:rsid w:val="00CF2C1E"/>
    <w:rsid w:val="00CF2E75"/>
    <w:rsid w:val="00CF4C50"/>
    <w:rsid w:val="00D1242C"/>
    <w:rsid w:val="00D20E6C"/>
    <w:rsid w:val="00D357FF"/>
    <w:rsid w:val="00D43591"/>
    <w:rsid w:val="00D505D5"/>
    <w:rsid w:val="00D54D6C"/>
    <w:rsid w:val="00D55D5C"/>
    <w:rsid w:val="00D620E0"/>
    <w:rsid w:val="00D7057A"/>
    <w:rsid w:val="00D82EDE"/>
    <w:rsid w:val="00D83F08"/>
    <w:rsid w:val="00D95110"/>
    <w:rsid w:val="00DA3693"/>
    <w:rsid w:val="00DC127B"/>
    <w:rsid w:val="00DC129D"/>
    <w:rsid w:val="00DC2E98"/>
    <w:rsid w:val="00DD3EF1"/>
    <w:rsid w:val="00DE470D"/>
    <w:rsid w:val="00DF0127"/>
    <w:rsid w:val="00E015AE"/>
    <w:rsid w:val="00E02223"/>
    <w:rsid w:val="00E06110"/>
    <w:rsid w:val="00E063B4"/>
    <w:rsid w:val="00E1416E"/>
    <w:rsid w:val="00E14B8B"/>
    <w:rsid w:val="00E14E6D"/>
    <w:rsid w:val="00E15058"/>
    <w:rsid w:val="00E30463"/>
    <w:rsid w:val="00E327E4"/>
    <w:rsid w:val="00E5060E"/>
    <w:rsid w:val="00E5162C"/>
    <w:rsid w:val="00E55225"/>
    <w:rsid w:val="00E64366"/>
    <w:rsid w:val="00E7628B"/>
    <w:rsid w:val="00E77B07"/>
    <w:rsid w:val="00E8514F"/>
    <w:rsid w:val="00E920BC"/>
    <w:rsid w:val="00E957E9"/>
    <w:rsid w:val="00E96BC0"/>
    <w:rsid w:val="00E97276"/>
    <w:rsid w:val="00EA0D8F"/>
    <w:rsid w:val="00EA0FAC"/>
    <w:rsid w:val="00EA12C4"/>
    <w:rsid w:val="00EC7266"/>
    <w:rsid w:val="00ED5CD8"/>
    <w:rsid w:val="00EE44A2"/>
    <w:rsid w:val="00EF63E4"/>
    <w:rsid w:val="00EF7613"/>
    <w:rsid w:val="00F12E2B"/>
    <w:rsid w:val="00F253F9"/>
    <w:rsid w:val="00F26BC3"/>
    <w:rsid w:val="00F27037"/>
    <w:rsid w:val="00F3367A"/>
    <w:rsid w:val="00F3602F"/>
    <w:rsid w:val="00F4469C"/>
    <w:rsid w:val="00F4602A"/>
    <w:rsid w:val="00F54749"/>
    <w:rsid w:val="00F60321"/>
    <w:rsid w:val="00F60488"/>
    <w:rsid w:val="00F625C5"/>
    <w:rsid w:val="00F6296C"/>
    <w:rsid w:val="00F70B5E"/>
    <w:rsid w:val="00F73498"/>
    <w:rsid w:val="00F77CF9"/>
    <w:rsid w:val="00F86062"/>
    <w:rsid w:val="00F86F62"/>
    <w:rsid w:val="00FA41F3"/>
    <w:rsid w:val="00FA604A"/>
    <w:rsid w:val="00FB4779"/>
    <w:rsid w:val="00FC72A7"/>
    <w:rsid w:val="00FD5B87"/>
    <w:rsid w:val="00FE3936"/>
    <w:rsid w:val="00FE4224"/>
    <w:rsid w:val="00FF2956"/>
    <w:rsid w:val="00FF2E71"/>
    <w:rsid w:val="01090601"/>
    <w:rsid w:val="0298237F"/>
    <w:rsid w:val="0383F8EC"/>
    <w:rsid w:val="044D58AB"/>
    <w:rsid w:val="048675B8"/>
    <w:rsid w:val="04C6D5FB"/>
    <w:rsid w:val="06C4EF74"/>
    <w:rsid w:val="0783ADB9"/>
    <w:rsid w:val="0784F96D"/>
    <w:rsid w:val="08F785E9"/>
    <w:rsid w:val="08F7FB2C"/>
    <w:rsid w:val="099D5A2E"/>
    <w:rsid w:val="0B85BD80"/>
    <w:rsid w:val="0C61C8E5"/>
    <w:rsid w:val="0C9B7AC8"/>
    <w:rsid w:val="0D218DE1"/>
    <w:rsid w:val="0DA7DA50"/>
    <w:rsid w:val="0F3B3B4D"/>
    <w:rsid w:val="0F721DDD"/>
    <w:rsid w:val="123C2B9A"/>
    <w:rsid w:val="12BA262F"/>
    <w:rsid w:val="12C7AC14"/>
    <w:rsid w:val="13D7FBFB"/>
    <w:rsid w:val="157238C5"/>
    <w:rsid w:val="16146124"/>
    <w:rsid w:val="16209FA9"/>
    <w:rsid w:val="179B1D37"/>
    <w:rsid w:val="17A30ABD"/>
    <w:rsid w:val="18644088"/>
    <w:rsid w:val="19F82363"/>
    <w:rsid w:val="1D189E54"/>
    <w:rsid w:val="1D1E4990"/>
    <w:rsid w:val="1D205A4E"/>
    <w:rsid w:val="1D2FC425"/>
    <w:rsid w:val="1DD3DEE4"/>
    <w:rsid w:val="1E124C41"/>
    <w:rsid w:val="1FAE1CA2"/>
    <w:rsid w:val="206764E7"/>
    <w:rsid w:val="2141FF7D"/>
    <w:rsid w:val="22033548"/>
    <w:rsid w:val="22A3C665"/>
    <w:rsid w:val="238399FF"/>
    <w:rsid w:val="2479A03F"/>
    <w:rsid w:val="25A9BBAA"/>
    <w:rsid w:val="261570A0"/>
    <w:rsid w:val="269B3B31"/>
    <w:rsid w:val="282F4645"/>
    <w:rsid w:val="2861D53C"/>
    <w:rsid w:val="294D1162"/>
    <w:rsid w:val="2C152B22"/>
    <w:rsid w:val="2D4DD575"/>
    <w:rsid w:val="2D673A40"/>
    <w:rsid w:val="2E0829A1"/>
    <w:rsid w:val="2E5C7073"/>
    <w:rsid w:val="2E6F9CA1"/>
    <w:rsid w:val="30B015D9"/>
    <w:rsid w:val="30E51435"/>
    <w:rsid w:val="30F86EC4"/>
    <w:rsid w:val="32FBE12E"/>
    <w:rsid w:val="33266CC0"/>
    <w:rsid w:val="3497B18F"/>
    <w:rsid w:val="352AEE67"/>
    <w:rsid w:val="37B7FAF4"/>
    <w:rsid w:val="391DFF2D"/>
    <w:rsid w:val="397C5D89"/>
    <w:rsid w:val="3B182DEA"/>
    <w:rsid w:val="3B3192B5"/>
    <w:rsid w:val="3BD10188"/>
    <w:rsid w:val="3CB3FE4B"/>
    <w:rsid w:val="3E1430A1"/>
    <w:rsid w:val="3EA6EB47"/>
    <w:rsid w:val="3FDA6436"/>
    <w:rsid w:val="427B3261"/>
    <w:rsid w:val="4299655E"/>
    <w:rsid w:val="430A1772"/>
    <w:rsid w:val="43547116"/>
    <w:rsid w:val="43EA4A29"/>
    <w:rsid w:val="44E3C718"/>
    <w:rsid w:val="45E6291D"/>
    <w:rsid w:val="47CC4DBE"/>
    <w:rsid w:val="48950030"/>
    <w:rsid w:val="4A05C403"/>
    <w:rsid w:val="4B529457"/>
    <w:rsid w:val="4C08EC4A"/>
    <w:rsid w:val="4D3506E3"/>
    <w:rsid w:val="4E3B8F42"/>
    <w:rsid w:val="4F408D0C"/>
    <w:rsid w:val="4F487A92"/>
    <w:rsid w:val="507A844C"/>
    <w:rsid w:val="50A0F233"/>
    <w:rsid w:val="515F0B60"/>
    <w:rsid w:val="55D14B70"/>
    <w:rsid w:val="55EDADD5"/>
    <w:rsid w:val="56557D92"/>
    <w:rsid w:val="585C2B46"/>
    <w:rsid w:val="5A60CA05"/>
    <w:rsid w:val="5CE86FD3"/>
    <w:rsid w:val="5DA9A59E"/>
    <w:rsid w:val="5F34C48C"/>
    <w:rsid w:val="5F360C28"/>
    <w:rsid w:val="605E3BA3"/>
    <w:rsid w:val="6260F331"/>
    <w:rsid w:val="62B30880"/>
    <w:rsid w:val="62FDED7B"/>
    <w:rsid w:val="6444CA2E"/>
    <w:rsid w:val="66888AE2"/>
    <w:rsid w:val="673F4D0D"/>
    <w:rsid w:val="675A1399"/>
    <w:rsid w:val="68DB1D6E"/>
    <w:rsid w:val="694A8C1D"/>
    <w:rsid w:val="6ABE1A65"/>
    <w:rsid w:val="6C3D2164"/>
    <w:rsid w:val="6CD3F3FB"/>
    <w:rsid w:val="6D774EAC"/>
    <w:rsid w:val="6DFABFA1"/>
    <w:rsid w:val="6FB78B41"/>
    <w:rsid w:val="720C98C7"/>
    <w:rsid w:val="726AA857"/>
    <w:rsid w:val="7307CA45"/>
    <w:rsid w:val="74F86AAB"/>
    <w:rsid w:val="75470086"/>
    <w:rsid w:val="76C585F2"/>
    <w:rsid w:val="7AD277C7"/>
    <w:rsid w:val="7AED1DA3"/>
    <w:rsid w:val="7D0B6A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84594"/>
  <w15:chartTrackingRefBased/>
  <w15:docId w15:val="{57CC6E0E-71FC-4CD3-9954-929A7707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13"/>
    <w:pPr>
      <w:spacing w:after="240" w:line="480" w:lineRule="auto"/>
    </w:pPr>
    <w:rPr>
      <w:rFonts w:ascii="Times New Roman" w:hAnsi="Times New Roman"/>
      <w:sz w:val="24"/>
    </w:rPr>
  </w:style>
  <w:style w:type="paragraph" w:styleId="Heading1">
    <w:name w:val="heading 1"/>
    <w:basedOn w:val="Normal"/>
    <w:next w:val="Normal"/>
    <w:link w:val="Heading1Char"/>
    <w:autoRedefine/>
    <w:qFormat/>
    <w:rsid w:val="00EF7613"/>
    <w:pPr>
      <w:keepNext/>
      <w:keepLines/>
      <w:spacing w:before="120"/>
      <w:outlineLvl w:val="0"/>
    </w:pPr>
    <w:rPr>
      <w:rFonts w:eastAsiaTheme="majorEastAsia" w:cstheme="majorBidi"/>
      <w:b/>
      <w:szCs w:val="32"/>
    </w:rPr>
  </w:style>
  <w:style w:type="paragraph" w:styleId="Heading2">
    <w:name w:val="heading 2"/>
    <w:basedOn w:val="Normal"/>
    <w:next w:val="Paragraph"/>
    <w:link w:val="Heading2Char"/>
    <w:qFormat/>
    <w:rsid w:val="00EF7613"/>
    <w:pPr>
      <w:keepNext/>
      <w:spacing w:before="360" w:after="60" w:line="360" w:lineRule="auto"/>
      <w:ind w:right="567"/>
      <w:contextualSpacing/>
      <w:outlineLvl w:val="1"/>
    </w:pPr>
    <w:rPr>
      <w:rFonts w:eastAsia="Times New Roman" w:cs="Arial"/>
      <w:b/>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A6E13"/>
    <w:pPr>
      <w:spacing w:after="360"/>
      <w:contextualSpacing/>
      <w:jc w:val="center"/>
    </w:pPr>
    <w:rPr>
      <w:rFonts w:eastAsiaTheme="majorEastAsia" w:cstheme="majorBidi"/>
      <w:b/>
      <w:color w:val="000000" w:themeColor="text1"/>
      <w:kern w:val="28"/>
      <w:sz w:val="28"/>
      <w:szCs w:val="56"/>
    </w:rPr>
  </w:style>
  <w:style w:type="character" w:customStyle="1" w:styleId="TitleChar">
    <w:name w:val="Title Char"/>
    <w:basedOn w:val="DefaultParagraphFont"/>
    <w:link w:val="Title"/>
    <w:uiPriority w:val="10"/>
    <w:rsid w:val="001A6E13"/>
    <w:rPr>
      <w:rFonts w:ascii="Times New Roman" w:eastAsiaTheme="majorEastAsia" w:hAnsi="Times New Roman" w:cstheme="majorBidi"/>
      <w:b/>
      <w:color w:val="000000" w:themeColor="text1"/>
      <w:kern w:val="28"/>
      <w:sz w:val="28"/>
      <w:szCs w:val="56"/>
    </w:rPr>
  </w:style>
  <w:style w:type="character" w:customStyle="1" w:styleId="Heading1Char">
    <w:name w:val="Heading 1 Char"/>
    <w:basedOn w:val="DefaultParagraphFont"/>
    <w:link w:val="Heading1"/>
    <w:rsid w:val="00EF7613"/>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EF7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13"/>
    <w:rPr>
      <w:rFonts w:ascii="Segoe UI" w:hAnsi="Segoe UI" w:cs="Segoe UI"/>
      <w:sz w:val="18"/>
      <w:szCs w:val="18"/>
    </w:rPr>
  </w:style>
  <w:style w:type="character" w:customStyle="1" w:styleId="Heading2Char">
    <w:name w:val="Heading 2 Char"/>
    <w:basedOn w:val="DefaultParagraphFont"/>
    <w:link w:val="Heading2"/>
    <w:rsid w:val="00EF7613"/>
    <w:rPr>
      <w:rFonts w:ascii="Times New Roman" w:eastAsia="Times New Roman" w:hAnsi="Times New Roman" w:cs="Arial"/>
      <w:b/>
      <w:bCs/>
      <w:i/>
      <w:iCs/>
      <w:sz w:val="24"/>
      <w:szCs w:val="28"/>
      <w:lang w:eastAsia="en-GB"/>
    </w:rPr>
  </w:style>
  <w:style w:type="paragraph" w:customStyle="1" w:styleId="Paragraph">
    <w:name w:val="Paragraph"/>
    <w:basedOn w:val="Normal"/>
    <w:next w:val="Newparagraph"/>
    <w:qFormat/>
    <w:rsid w:val="00EF7613"/>
    <w:pPr>
      <w:widowControl w:val="0"/>
      <w:spacing w:before="240" w:after="0"/>
    </w:pPr>
    <w:rPr>
      <w:rFonts w:eastAsia="Times New Roman" w:cs="Times New Roman"/>
      <w:szCs w:val="24"/>
      <w:lang w:eastAsia="en-GB"/>
    </w:rPr>
  </w:style>
  <w:style w:type="paragraph" w:customStyle="1" w:styleId="Newparagraph">
    <w:name w:val="New paragraph"/>
    <w:basedOn w:val="Normal"/>
    <w:qFormat/>
    <w:rsid w:val="00EF7613"/>
    <w:pPr>
      <w:spacing w:after="0"/>
      <w:ind w:firstLine="720"/>
    </w:pPr>
    <w:rPr>
      <w:rFonts w:eastAsia="Times New Roman" w:cs="Times New Roman"/>
      <w:szCs w:val="24"/>
      <w:lang w:eastAsia="en-GB"/>
    </w:rPr>
  </w:style>
  <w:style w:type="paragraph" w:customStyle="1" w:styleId="Footnotes">
    <w:name w:val="Footnotes"/>
    <w:basedOn w:val="Normal"/>
    <w:qFormat/>
    <w:rsid w:val="00EF7613"/>
    <w:pPr>
      <w:spacing w:before="120" w:after="0" w:line="360" w:lineRule="auto"/>
      <w:ind w:left="482" w:hanging="482"/>
      <w:contextualSpacing/>
    </w:pPr>
    <w:rPr>
      <w:rFonts w:eastAsia="Times New Roman" w:cs="Times New Roman"/>
      <w:sz w:val="22"/>
      <w:szCs w:val="24"/>
      <w:lang w:eastAsia="en-GB"/>
    </w:rPr>
  </w:style>
  <w:style w:type="paragraph" w:styleId="FootnoteText">
    <w:name w:val="footnote text"/>
    <w:basedOn w:val="Normal"/>
    <w:link w:val="FootnoteTextChar"/>
    <w:autoRedefine/>
    <w:rsid w:val="00EF7613"/>
    <w:pPr>
      <w:spacing w:after="0"/>
      <w:ind w:left="284" w:hanging="284"/>
    </w:pPr>
    <w:rPr>
      <w:rFonts w:eastAsia="Times New Roman" w:cs="Times New Roman"/>
      <w:sz w:val="22"/>
      <w:szCs w:val="20"/>
      <w:lang w:eastAsia="en-GB"/>
    </w:rPr>
  </w:style>
  <w:style w:type="character" w:customStyle="1" w:styleId="FootnoteTextChar">
    <w:name w:val="Footnote Text Char"/>
    <w:basedOn w:val="DefaultParagraphFont"/>
    <w:link w:val="FootnoteText"/>
    <w:rsid w:val="00EF7613"/>
    <w:rPr>
      <w:rFonts w:ascii="Times New Roman" w:eastAsia="Times New Roman" w:hAnsi="Times New Roman" w:cs="Times New Roman"/>
      <w:szCs w:val="20"/>
      <w:lang w:eastAsia="en-GB"/>
    </w:rPr>
  </w:style>
  <w:style w:type="character" w:styleId="FootnoteReference">
    <w:name w:val="footnote reference"/>
    <w:basedOn w:val="DefaultParagraphFont"/>
    <w:rsid w:val="00EF7613"/>
    <w:rPr>
      <w:vertAlign w:val="superscript"/>
    </w:rPr>
  </w:style>
  <w:style w:type="character" w:styleId="CommentReference">
    <w:name w:val="annotation reference"/>
    <w:basedOn w:val="DefaultParagraphFont"/>
    <w:uiPriority w:val="99"/>
    <w:semiHidden/>
    <w:unhideWhenUsed/>
    <w:rsid w:val="00EF7613"/>
    <w:rPr>
      <w:sz w:val="16"/>
      <w:szCs w:val="16"/>
    </w:rPr>
  </w:style>
  <w:style w:type="paragraph" w:styleId="CommentText">
    <w:name w:val="annotation text"/>
    <w:basedOn w:val="Normal"/>
    <w:link w:val="CommentTextChar"/>
    <w:uiPriority w:val="99"/>
    <w:unhideWhenUsed/>
    <w:rsid w:val="00EF7613"/>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EF7613"/>
    <w:rPr>
      <w:rFonts w:ascii="Times New Roman" w:eastAsia="Times New Roman" w:hAnsi="Times New Roman" w:cs="Times New Roman"/>
      <w:sz w:val="20"/>
      <w:szCs w:val="20"/>
      <w:lang w:eastAsia="en-GB"/>
    </w:rPr>
  </w:style>
  <w:style w:type="character" w:customStyle="1" w:styleId="st">
    <w:name w:val="st"/>
    <w:basedOn w:val="DefaultParagraphFont"/>
    <w:rsid w:val="00EF7613"/>
  </w:style>
  <w:style w:type="paragraph" w:styleId="Header">
    <w:name w:val="header"/>
    <w:basedOn w:val="Normal"/>
    <w:link w:val="HeaderChar"/>
    <w:uiPriority w:val="99"/>
    <w:unhideWhenUsed/>
    <w:rsid w:val="00EF76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613"/>
    <w:rPr>
      <w:rFonts w:ascii="Times New Roman" w:hAnsi="Times New Roman"/>
      <w:sz w:val="24"/>
    </w:rPr>
  </w:style>
  <w:style w:type="paragraph" w:styleId="Footer">
    <w:name w:val="footer"/>
    <w:basedOn w:val="Normal"/>
    <w:link w:val="FooterChar"/>
    <w:unhideWhenUsed/>
    <w:rsid w:val="00EF7613"/>
    <w:pPr>
      <w:tabs>
        <w:tab w:val="center" w:pos="4536"/>
        <w:tab w:val="right" w:pos="9072"/>
      </w:tabs>
      <w:spacing w:after="0" w:line="240" w:lineRule="auto"/>
    </w:pPr>
  </w:style>
  <w:style w:type="character" w:customStyle="1" w:styleId="FooterChar">
    <w:name w:val="Footer Char"/>
    <w:basedOn w:val="DefaultParagraphFont"/>
    <w:link w:val="Footer"/>
    <w:rsid w:val="00EF7613"/>
    <w:rPr>
      <w:rFonts w:ascii="Times New Roman" w:hAnsi="Times New Roman"/>
      <w:sz w:val="24"/>
    </w:rPr>
  </w:style>
  <w:style w:type="paragraph" w:customStyle="1" w:styleId="Articletitle">
    <w:name w:val="Article title"/>
    <w:basedOn w:val="Normal"/>
    <w:next w:val="Normal"/>
    <w:qFormat/>
    <w:rsid w:val="00EF7613"/>
    <w:pPr>
      <w:spacing w:after="120" w:line="360" w:lineRule="auto"/>
    </w:pPr>
    <w:rPr>
      <w:rFonts w:eastAsia="Times New Roman" w:cs="Times New Roman"/>
      <w:b/>
      <w:sz w:val="28"/>
      <w:szCs w:val="24"/>
      <w:lang w:eastAsia="en-GB"/>
    </w:rPr>
  </w:style>
  <w:style w:type="paragraph" w:styleId="CommentSubject">
    <w:name w:val="annotation subject"/>
    <w:basedOn w:val="CommentText"/>
    <w:next w:val="CommentText"/>
    <w:link w:val="CommentSubjectChar"/>
    <w:uiPriority w:val="99"/>
    <w:semiHidden/>
    <w:unhideWhenUsed/>
    <w:rsid w:val="00FA604A"/>
    <w:pPr>
      <w:spacing w:after="24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FA604A"/>
    <w:rPr>
      <w:rFonts w:ascii="Times New Roman" w:eastAsia="Times New Roman" w:hAnsi="Times New Roman" w:cs="Times New Roman"/>
      <w:b/>
      <w:bCs/>
      <w:sz w:val="20"/>
      <w:szCs w:val="20"/>
      <w:lang w:eastAsia="en-GB"/>
    </w:rPr>
  </w:style>
  <w:style w:type="paragraph" w:customStyle="1" w:styleId="Abstract">
    <w:name w:val="Abstract"/>
    <w:basedOn w:val="Normal"/>
    <w:next w:val="Keywords"/>
    <w:qFormat/>
    <w:rsid w:val="00D1242C"/>
    <w:pPr>
      <w:spacing w:before="360" w:after="300" w:line="360" w:lineRule="auto"/>
      <w:ind w:left="720" w:right="567"/>
    </w:pPr>
    <w:rPr>
      <w:rFonts w:eastAsia="Times New Roman" w:cs="Times New Roman"/>
      <w:sz w:val="22"/>
      <w:szCs w:val="24"/>
      <w:lang w:eastAsia="en-GB"/>
    </w:rPr>
  </w:style>
  <w:style w:type="paragraph" w:customStyle="1" w:styleId="Keywords">
    <w:name w:val="Keywords"/>
    <w:basedOn w:val="Normal"/>
    <w:next w:val="Paragraph"/>
    <w:qFormat/>
    <w:rsid w:val="00D1242C"/>
    <w:pPr>
      <w:spacing w:before="240" w:line="360" w:lineRule="auto"/>
      <w:ind w:left="720" w:right="567"/>
    </w:pPr>
    <w:rPr>
      <w:rFonts w:eastAsia="Times New Roman" w:cs="Times New Roman"/>
      <w:sz w:val="22"/>
      <w:szCs w:val="24"/>
      <w:lang w:eastAsia="en-GB"/>
    </w:rPr>
  </w:style>
  <w:style w:type="paragraph" w:customStyle="1" w:styleId="Figurecaption">
    <w:name w:val="Figure caption"/>
    <w:basedOn w:val="Normal"/>
    <w:next w:val="Normal"/>
    <w:qFormat/>
    <w:rsid w:val="003F1130"/>
    <w:pPr>
      <w:spacing w:before="240" w:after="0" w:line="360" w:lineRule="auto"/>
    </w:pPr>
    <w:rPr>
      <w:rFonts w:eastAsia="Times New Roman" w:cs="Times New Roman"/>
      <w:szCs w:val="24"/>
      <w:lang w:eastAsia="en-GB"/>
    </w:rPr>
  </w:style>
  <w:style w:type="character" w:styleId="Emphasis">
    <w:name w:val="Emphasis"/>
    <w:aliases w:val="Notes"/>
    <w:basedOn w:val="DefaultParagraphFont"/>
    <w:uiPriority w:val="20"/>
    <w:qFormat/>
    <w:rsid w:val="003F1130"/>
    <w:rPr>
      <w:sz w:val="20"/>
      <w:szCs w:val="24"/>
    </w:rPr>
  </w:style>
  <w:style w:type="paragraph" w:styleId="NoSpacing">
    <w:name w:val="No Spacing"/>
    <w:autoRedefine/>
    <w:uiPriority w:val="1"/>
    <w:qFormat/>
    <w:rsid w:val="003F1130"/>
    <w:pPr>
      <w:spacing w:after="240" w:line="240" w:lineRule="auto"/>
      <w:jc w:val="both"/>
    </w:pPr>
    <w:rPr>
      <w:rFonts w:ascii="Times New Roman" w:hAnsi="Times New Roman"/>
      <w:sz w:val="24"/>
      <w:lang w:val="en-US"/>
    </w:rPr>
  </w:style>
  <w:style w:type="paragraph" w:styleId="Bibliography">
    <w:name w:val="Bibliography"/>
    <w:basedOn w:val="Normal"/>
    <w:next w:val="Normal"/>
    <w:uiPriority w:val="37"/>
    <w:unhideWhenUsed/>
    <w:rsid w:val="009E63C2"/>
    <w:pPr>
      <w:spacing w:after="0"/>
      <w:ind w:left="720" w:hanging="720"/>
    </w:pPr>
  </w:style>
  <w:style w:type="paragraph" w:styleId="Revision">
    <w:name w:val="Revision"/>
    <w:hidden/>
    <w:uiPriority w:val="99"/>
    <w:semiHidden/>
    <w:rsid w:val="000063FB"/>
    <w:pPr>
      <w:spacing w:after="0" w:line="240" w:lineRule="auto"/>
    </w:pPr>
    <w:rPr>
      <w:rFonts w:ascii="Times New Roman" w:hAnsi="Times New Roman"/>
      <w:sz w:val="24"/>
    </w:rPr>
  </w:style>
  <w:style w:type="paragraph" w:customStyle="1" w:styleId="Tabletitle">
    <w:name w:val="Table title"/>
    <w:basedOn w:val="Normal"/>
    <w:next w:val="Normal"/>
    <w:qFormat/>
    <w:rsid w:val="00580975"/>
    <w:pPr>
      <w:spacing w:before="240" w:after="0" w:line="360" w:lineRule="auto"/>
    </w:pPr>
    <w:rPr>
      <w:rFonts w:eastAsia="Times New Roman" w:cs="Times New Roman"/>
      <w:szCs w:val="24"/>
      <w:lang w:eastAsia="en-GB"/>
    </w:rPr>
  </w:style>
  <w:style w:type="character" w:styleId="Hyperlink">
    <w:name w:val="Hyperlink"/>
    <w:basedOn w:val="DefaultParagraphFont"/>
    <w:uiPriority w:val="99"/>
    <w:unhideWhenUsed/>
    <w:rsid w:val="00580975"/>
    <w:rPr>
      <w:color w:val="0563C1" w:themeColor="hyperlink"/>
      <w:u w:val="single"/>
    </w:rPr>
  </w:style>
  <w:style w:type="paragraph" w:styleId="TOC1">
    <w:name w:val="toc 1"/>
    <w:basedOn w:val="Normal"/>
    <w:next w:val="Normal"/>
    <w:autoRedefine/>
    <w:uiPriority w:val="39"/>
    <w:unhideWhenUsed/>
    <w:rsid w:val="00580975"/>
    <w:pPr>
      <w:spacing w:after="100" w:line="259" w:lineRule="auto"/>
    </w:pPr>
    <w:rPr>
      <w:rFonts w:cs="Times New Roman"/>
      <w:lang w:val="en-US"/>
    </w:rPr>
  </w:style>
  <w:style w:type="paragraph" w:customStyle="1" w:styleId="Authornames">
    <w:name w:val="Author names"/>
    <w:basedOn w:val="Normal"/>
    <w:next w:val="Normal"/>
    <w:qFormat/>
    <w:rsid w:val="00F253F9"/>
    <w:pPr>
      <w:spacing w:before="240" w:after="0" w:line="360" w:lineRule="auto"/>
    </w:pPr>
    <w:rPr>
      <w:rFonts w:eastAsia="Times New Roman" w:cs="Times New Roman"/>
      <w:sz w:val="28"/>
      <w:szCs w:val="24"/>
      <w:lang w:eastAsia="en-GB"/>
    </w:rPr>
  </w:style>
  <w:style w:type="paragraph" w:customStyle="1" w:styleId="Affiliation">
    <w:name w:val="Affiliation"/>
    <w:basedOn w:val="Normal"/>
    <w:qFormat/>
    <w:rsid w:val="00F253F9"/>
    <w:pPr>
      <w:spacing w:before="240" w:after="0" w:line="360" w:lineRule="auto"/>
    </w:pPr>
    <w:rPr>
      <w:rFonts w:eastAsia="Times New Roman" w:cs="Times New Roman"/>
      <w:i/>
      <w:szCs w:val="24"/>
      <w:lang w:eastAsia="en-GB"/>
    </w:rPr>
  </w:style>
  <w:style w:type="paragraph" w:customStyle="1" w:styleId="Correspondencedetails">
    <w:name w:val="Correspondence details"/>
    <w:basedOn w:val="Normal"/>
    <w:qFormat/>
    <w:rsid w:val="00F253F9"/>
    <w:pPr>
      <w:spacing w:before="240" w:after="0" w:line="360" w:lineRule="auto"/>
    </w:pPr>
    <w:rPr>
      <w:rFonts w:eastAsia="Times New Roman" w:cs="Times New Roman"/>
      <w:szCs w:val="24"/>
      <w:lang w:eastAsia="en-GB"/>
    </w:rPr>
  </w:style>
  <w:style w:type="paragraph" w:customStyle="1" w:styleId="Notesoncontributors">
    <w:name w:val="Notes on contributors"/>
    <w:basedOn w:val="Normal"/>
    <w:qFormat/>
    <w:rsid w:val="00F253F9"/>
    <w:pPr>
      <w:spacing w:before="240" w:after="0" w:line="360" w:lineRule="auto"/>
    </w:pPr>
    <w:rPr>
      <w:rFonts w:eastAsia="Times New Roman" w:cs="Times New Roman"/>
      <w:sz w:val="22"/>
      <w:szCs w:val="24"/>
      <w:lang w:eastAsia="en-GB"/>
    </w:rPr>
  </w:style>
  <w:style w:type="character" w:customStyle="1" w:styleId="UnresolvedMention1">
    <w:name w:val="Unresolved Mention1"/>
    <w:basedOn w:val="DefaultParagraphFont"/>
    <w:uiPriority w:val="99"/>
    <w:semiHidden/>
    <w:unhideWhenUsed/>
    <w:rsid w:val="000E5856"/>
    <w:rPr>
      <w:color w:val="605E5C"/>
      <w:shd w:val="clear" w:color="auto" w:fill="E1DFDD"/>
    </w:rPr>
  </w:style>
  <w:style w:type="paragraph" w:styleId="Caption">
    <w:name w:val="caption"/>
    <w:basedOn w:val="Normal"/>
    <w:next w:val="Normal"/>
    <w:uiPriority w:val="35"/>
    <w:semiHidden/>
    <w:unhideWhenUsed/>
    <w:qFormat/>
    <w:rsid w:val="00E14B8B"/>
    <w:pPr>
      <w:spacing w:after="200" w:line="240" w:lineRule="auto"/>
    </w:pPr>
    <w:rPr>
      <w:i/>
      <w:iCs/>
      <w:color w:val="44546A" w:themeColor="text2"/>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32CBF"/>
    <w:rPr>
      <w:color w:val="954F72" w:themeColor="followedHyperlink"/>
      <w:u w:val="single"/>
    </w:rPr>
  </w:style>
  <w:style w:type="character" w:styleId="UnresolvedMention">
    <w:name w:val="Unresolved Mention"/>
    <w:basedOn w:val="DefaultParagraphFont"/>
    <w:uiPriority w:val="99"/>
    <w:semiHidden/>
    <w:unhideWhenUsed/>
    <w:rsid w:val="00032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99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910/DVN/NYMEP5"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ssler\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3A81-468F-4A02-B8BF-622A5459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C:\Users\gessler\AppData\Roaming\Microsoft\Templates\TF_Template_Word_Windows_2016.dotx</Template>
  <TotalTime>5</TotalTime>
  <Pages>16</Pages>
  <Words>1303</Words>
  <Characters>7429</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Endre Borbáth</dc:creator>
  <cp:keywords/>
  <dc:description/>
  <cp:lastModifiedBy>Endre Borbáth</cp:lastModifiedBy>
  <cp:revision>5</cp:revision>
  <cp:lastPrinted>2021-03-04T12:46:00Z</cp:lastPrinted>
  <dcterms:created xsi:type="dcterms:W3CDTF">2021-06-18T08:25:00Z</dcterms:created>
  <dcterms:modified xsi:type="dcterms:W3CDTF">2021-06-22T13:22:00Z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zotero-version="5.0.97-beta.1+586a6f1dd"&gt;&lt;session id="YAPQj8Ps"/&gt;&lt;style id="http://www.zotero.org/styles/information-communication-and-society" hasBibliography="1" bibliographyStyleHasBeenSet="1"/&gt;&lt;prefs&gt;&lt;pref name="fieldType" value</vt:lpwstr>
  </property>
  <property fmtid="{D5CDD505-2E9C-101B-9397-08002B2CF9AE}" pid="3" name="ZOTERO_PREF_2">
    <vt:lpwstr>="Field"/&gt;&lt;/prefs&gt;&lt;/data&gt;</vt:lpwstr>
  </property>
</Properties>
</file>