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C9E4F" w14:textId="473350F8" w:rsidR="00C76E27" w:rsidRPr="004E4F3D" w:rsidRDefault="00C23243">
      <w:pPr>
        <w:rPr>
          <w:b/>
          <w:lang w:val="en-US"/>
        </w:rPr>
      </w:pPr>
      <w:r w:rsidRPr="004E4F3D">
        <w:rPr>
          <w:b/>
          <w:lang w:val="en-US"/>
        </w:rPr>
        <w:t>Appendix</w:t>
      </w:r>
      <w:r w:rsidR="00B7057E" w:rsidRPr="004E4F3D">
        <w:rPr>
          <w:b/>
          <w:lang w:val="en-US"/>
        </w:rPr>
        <w:t xml:space="preserve"> to Judicial decision making under uncertainty</w:t>
      </w:r>
    </w:p>
    <w:p w14:paraId="08323F3A" w14:textId="77777777" w:rsidR="00C23243" w:rsidRPr="004E4F3D" w:rsidRDefault="00C23243">
      <w:pPr>
        <w:rPr>
          <w:lang w:val="en-US"/>
        </w:rPr>
      </w:pPr>
    </w:p>
    <w:p w14:paraId="42F95DD7" w14:textId="64AD88EF" w:rsidR="003A51AD" w:rsidRDefault="000D7188">
      <w:pPr>
        <w:rPr>
          <w:rFonts w:cs="Times New Roman"/>
          <w:lang w:val="en-US" w:eastAsia="sv-SE"/>
        </w:rPr>
      </w:pPr>
      <w:r w:rsidRPr="004E4F3D">
        <w:rPr>
          <w:lang w:val="en-US"/>
        </w:rPr>
        <w:t xml:space="preserve">This appendix contains information and robustness tests which relate to </w:t>
      </w:r>
      <w:r w:rsidR="005D6B34">
        <w:rPr>
          <w:lang w:val="en-US"/>
        </w:rPr>
        <w:t>Larsson &amp; Naurin</w:t>
      </w:r>
      <w:r w:rsidRPr="004E4F3D">
        <w:rPr>
          <w:lang w:val="en-US"/>
        </w:rPr>
        <w:t xml:space="preserve"> </w:t>
      </w:r>
      <w:r w:rsidR="009535F2" w:rsidRPr="004E4F3D">
        <w:rPr>
          <w:lang w:val="en-US"/>
        </w:rPr>
        <w:t>(</w:t>
      </w:r>
      <w:r w:rsidR="00616DA4">
        <w:rPr>
          <w:lang w:val="en-US"/>
        </w:rPr>
        <w:t>2015</w:t>
      </w:r>
      <w:r w:rsidR="009535F2" w:rsidRPr="004E4F3D">
        <w:rPr>
          <w:lang w:val="en-US"/>
        </w:rPr>
        <w:t>)</w:t>
      </w:r>
      <w:r w:rsidRPr="004E4F3D">
        <w:rPr>
          <w:lang w:val="en-US"/>
        </w:rPr>
        <w:t xml:space="preserve"> “Judicial </w:t>
      </w:r>
      <w:r w:rsidR="00616DA4">
        <w:rPr>
          <w:lang w:val="en-US"/>
        </w:rPr>
        <w:t>independence and political</w:t>
      </w:r>
      <w:r w:rsidRPr="004E4F3D">
        <w:rPr>
          <w:lang w:val="en-US"/>
        </w:rPr>
        <w:t xml:space="preserve"> uncertainty</w:t>
      </w:r>
      <w:r w:rsidR="009535F2" w:rsidRPr="004E4F3D">
        <w:rPr>
          <w:rFonts w:cs="Times New Roman"/>
          <w:lang w:val="en-US" w:eastAsia="sv-SE"/>
        </w:rPr>
        <w:t xml:space="preserve">. Assessing the effect of </w:t>
      </w:r>
      <w:r w:rsidR="00616DA4">
        <w:rPr>
          <w:rFonts w:cs="Times New Roman"/>
          <w:lang w:val="en-US" w:eastAsia="sv-SE"/>
        </w:rPr>
        <w:t>legislative</w:t>
      </w:r>
      <w:r w:rsidR="009535F2" w:rsidRPr="004E4F3D">
        <w:rPr>
          <w:rFonts w:cs="Times New Roman"/>
          <w:lang w:val="en-US" w:eastAsia="sv-SE"/>
        </w:rPr>
        <w:t xml:space="preserve"> override on the European Court of Justice.”</w:t>
      </w:r>
      <w:r w:rsidR="00C205F3" w:rsidRPr="004E4F3D">
        <w:rPr>
          <w:rFonts w:cs="Times New Roman"/>
          <w:lang w:val="en-US" w:eastAsia="sv-SE"/>
        </w:rPr>
        <w:t xml:space="preserve"> It first describes the</w:t>
      </w:r>
      <w:r w:rsidR="00295291" w:rsidRPr="004E4F3D">
        <w:rPr>
          <w:rFonts w:cs="Times New Roman"/>
          <w:lang w:val="en-US" w:eastAsia="sv-SE"/>
        </w:rPr>
        <w:t xml:space="preserve"> types of </w:t>
      </w:r>
      <w:r w:rsidR="005B3D93" w:rsidRPr="004E4F3D">
        <w:rPr>
          <w:rFonts w:cs="Times New Roman"/>
          <w:lang w:val="en-US" w:eastAsia="sv-SE"/>
        </w:rPr>
        <w:t>questions</w:t>
      </w:r>
      <w:r w:rsidR="00295291" w:rsidRPr="004E4F3D">
        <w:rPr>
          <w:rFonts w:cs="Times New Roman"/>
          <w:lang w:val="en-US" w:eastAsia="sv-SE"/>
        </w:rPr>
        <w:t xml:space="preserve"> that reach</w:t>
      </w:r>
      <w:r w:rsidR="00C205F3" w:rsidRPr="004E4F3D">
        <w:rPr>
          <w:rFonts w:cs="Times New Roman"/>
          <w:lang w:val="en-US" w:eastAsia="sv-SE"/>
        </w:rPr>
        <w:t xml:space="preserve"> the EC</w:t>
      </w:r>
      <w:r w:rsidR="0092050D">
        <w:rPr>
          <w:rFonts w:cs="Times New Roman"/>
          <w:lang w:val="en-US" w:eastAsia="sv-SE"/>
        </w:rPr>
        <w:t>J via the preliminary reference</w:t>
      </w:r>
      <w:r w:rsidR="00C205F3" w:rsidRPr="004E4F3D">
        <w:rPr>
          <w:rFonts w:cs="Times New Roman"/>
          <w:lang w:val="en-US" w:eastAsia="sv-SE"/>
        </w:rPr>
        <w:t xml:space="preserve"> procedure, and the different policy areas that relate to</w:t>
      </w:r>
      <w:r w:rsidR="00295291" w:rsidRPr="004E4F3D">
        <w:rPr>
          <w:rFonts w:cs="Times New Roman"/>
          <w:lang w:val="en-US" w:eastAsia="sv-SE"/>
        </w:rPr>
        <w:t xml:space="preserve"> these</w:t>
      </w:r>
      <w:r w:rsidR="00C205F3" w:rsidRPr="004E4F3D">
        <w:rPr>
          <w:rFonts w:cs="Times New Roman"/>
          <w:lang w:val="en-US" w:eastAsia="sv-SE"/>
        </w:rPr>
        <w:t xml:space="preserve">. </w:t>
      </w:r>
      <w:r w:rsidR="00425FE3" w:rsidRPr="004E4F3D">
        <w:rPr>
          <w:rFonts w:cs="Times New Roman"/>
          <w:lang w:val="en-US" w:eastAsia="sv-SE"/>
        </w:rPr>
        <w:t xml:space="preserve">Thereafter, </w:t>
      </w:r>
      <w:r w:rsidR="00B00213">
        <w:rPr>
          <w:rFonts w:cs="Times New Roman"/>
          <w:lang w:val="en-US" w:eastAsia="sv-SE"/>
        </w:rPr>
        <w:t>descriptive information is</w:t>
      </w:r>
      <w:r w:rsidR="00425FE3" w:rsidRPr="004E4F3D">
        <w:rPr>
          <w:rFonts w:cs="Times New Roman"/>
          <w:lang w:val="en-US" w:eastAsia="sv-SE"/>
        </w:rPr>
        <w:t xml:space="preserve"> given </w:t>
      </w:r>
      <w:r w:rsidR="005B3D93" w:rsidRPr="004E4F3D">
        <w:rPr>
          <w:rFonts w:cs="Times New Roman"/>
          <w:lang w:val="en-US" w:eastAsia="sv-SE"/>
        </w:rPr>
        <w:t>on</w:t>
      </w:r>
      <w:r w:rsidR="00425FE3" w:rsidRPr="004E4F3D">
        <w:rPr>
          <w:rFonts w:cs="Times New Roman"/>
          <w:lang w:val="en-US" w:eastAsia="sv-SE"/>
        </w:rPr>
        <w:t xml:space="preserve"> </w:t>
      </w:r>
      <w:r w:rsidR="005B3D93" w:rsidRPr="004E4F3D">
        <w:rPr>
          <w:rFonts w:cs="Times New Roman"/>
          <w:lang w:val="en-US" w:eastAsia="sv-SE"/>
        </w:rPr>
        <w:t xml:space="preserve">a) </w:t>
      </w:r>
      <w:r w:rsidR="00425FE3" w:rsidRPr="004E4F3D">
        <w:rPr>
          <w:rFonts w:cs="Times New Roman"/>
          <w:lang w:val="en-US" w:eastAsia="sv-SE"/>
        </w:rPr>
        <w:t xml:space="preserve">the distribution of issues with respect to the voting rule required for override, </w:t>
      </w:r>
      <w:r w:rsidR="005B3D93" w:rsidRPr="004E4F3D">
        <w:rPr>
          <w:rFonts w:cs="Times New Roman"/>
          <w:lang w:val="en-US" w:eastAsia="sv-SE"/>
        </w:rPr>
        <w:t xml:space="preserve">b) </w:t>
      </w:r>
      <w:r w:rsidR="00425FE3" w:rsidRPr="004E4F3D">
        <w:rPr>
          <w:rFonts w:cs="Times New Roman"/>
          <w:lang w:val="en-US" w:eastAsia="sv-SE"/>
        </w:rPr>
        <w:t>the positioning of the ECJ, the member states and the Commission on the More Europe dimension</w:t>
      </w:r>
      <w:r w:rsidR="005B3D93" w:rsidRPr="004E4F3D">
        <w:rPr>
          <w:rFonts w:cs="Times New Roman"/>
          <w:lang w:val="en-US" w:eastAsia="sv-SE"/>
        </w:rPr>
        <w:t>,</w:t>
      </w:r>
      <w:r w:rsidR="00425FE3" w:rsidRPr="004E4F3D">
        <w:rPr>
          <w:rFonts w:cs="Times New Roman"/>
          <w:lang w:val="en-US" w:eastAsia="sv-SE"/>
        </w:rPr>
        <w:t xml:space="preserve"> and </w:t>
      </w:r>
      <w:r w:rsidR="005B3D93" w:rsidRPr="004E4F3D">
        <w:rPr>
          <w:rFonts w:cs="Times New Roman"/>
          <w:lang w:val="en-US" w:eastAsia="sv-SE"/>
        </w:rPr>
        <w:t xml:space="preserve">c) </w:t>
      </w:r>
      <w:r w:rsidR="00425FE3" w:rsidRPr="004E4F3D">
        <w:rPr>
          <w:rFonts w:cs="Times New Roman"/>
          <w:lang w:val="en-US" w:eastAsia="sv-SE"/>
        </w:rPr>
        <w:t>the level of conflict betwee</w:t>
      </w:r>
      <w:r w:rsidR="005B3D93" w:rsidRPr="004E4F3D">
        <w:rPr>
          <w:rFonts w:cs="Times New Roman"/>
          <w:lang w:val="en-US" w:eastAsia="sv-SE"/>
        </w:rPr>
        <w:t>n these actors—</w:t>
      </w:r>
      <w:r w:rsidR="00425FE3" w:rsidRPr="004E4F3D">
        <w:rPr>
          <w:rFonts w:cs="Times New Roman"/>
          <w:lang w:val="en-US" w:eastAsia="sv-SE"/>
        </w:rPr>
        <w:t>across different policy areas</w:t>
      </w:r>
      <w:r w:rsidR="005B3D93" w:rsidRPr="004E4F3D">
        <w:rPr>
          <w:rFonts w:cs="Times New Roman"/>
          <w:lang w:val="en-US" w:eastAsia="sv-SE"/>
        </w:rPr>
        <w:t>.</w:t>
      </w:r>
      <w:r w:rsidR="00A45896">
        <w:rPr>
          <w:rFonts w:cs="Times New Roman"/>
          <w:lang w:val="en-US" w:eastAsia="sv-SE"/>
        </w:rPr>
        <w:t xml:space="preserve"> </w:t>
      </w:r>
    </w:p>
    <w:p w14:paraId="3B05648E" w14:textId="77777777" w:rsidR="003A51AD" w:rsidRDefault="003A51AD">
      <w:pPr>
        <w:rPr>
          <w:rFonts w:cs="Times New Roman"/>
          <w:lang w:val="en-US" w:eastAsia="sv-SE"/>
        </w:rPr>
      </w:pPr>
    </w:p>
    <w:p w14:paraId="56746BA3" w14:textId="2A217591" w:rsidR="00646B9B" w:rsidRPr="004E4F3D" w:rsidRDefault="00A45896">
      <w:pPr>
        <w:rPr>
          <w:rFonts w:cs="Times New Roman"/>
          <w:lang w:val="en-US" w:eastAsia="sv-SE"/>
        </w:rPr>
      </w:pPr>
      <w:r>
        <w:rPr>
          <w:rFonts w:cs="Times New Roman"/>
          <w:lang w:val="en-US" w:eastAsia="sv-SE"/>
        </w:rPr>
        <w:t>Information is also given on how the member states differ in their positioning on More Europe depending on whether the c</w:t>
      </w:r>
      <w:r w:rsidR="003A51AD">
        <w:rPr>
          <w:rFonts w:cs="Times New Roman"/>
          <w:lang w:val="en-US" w:eastAsia="sv-SE"/>
        </w:rPr>
        <w:t>ase concerns their own national laws, or if it is the laws and regulations of another member state that is scrutinized. Finally, t</w:t>
      </w:r>
      <w:r>
        <w:rPr>
          <w:rFonts w:cs="Times New Roman"/>
          <w:lang w:val="en-US" w:eastAsia="sv-SE"/>
        </w:rPr>
        <w:t>he appendix also contain</w:t>
      </w:r>
      <w:r w:rsidR="001D1DF3">
        <w:rPr>
          <w:rFonts w:cs="Times New Roman"/>
          <w:lang w:val="en-US" w:eastAsia="sv-SE"/>
        </w:rPr>
        <w:t>s</w:t>
      </w:r>
      <w:r>
        <w:rPr>
          <w:rFonts w:cs="Times New Roman"/>
          <w:lang w:val="en-US" w:eastAsia="sv-SE"/>
        </w:rPr>
        <w:t xml:space="preserve"> robustness tests of the key finding in model 4 of Table 2 in the article, namely that the effect of member states observations is moderated by the voting rule in the Council.</w:t>
      </w:r>
    </w:p>
    <w:p w14:paraId="63697B02" w14:textId="77777777" w:rsidR="000D7188" w:rsidRPr="004E4F3D" w:rsidRDefault="000D7188">
      <w:pPr>
        <w:rPr>
          <w:lang w:val="en-US"/>
        </w:rPr>
      </w:pPr>
    </w:p>
    <w:p w14:paraId="1D0A40B6" w14:textId="77777777" w:rsidR="008C5E40" w:rsidRPr="004E4F3D" w:rsidRDefault="008C5E40">
      <w:pPr>
        <w:rPr>
          <w:lang w:val="en-US"/>
        </w:rPr>
      </w:pPr>
    </w:p>
    <w:p w14:paraId="0A6DD202" w14:textId="77777777" w:rsidR="00145938" w:rsidRPr="004E4F3D" w:rsidRDefault="00145938">
      <w:pPr>
        <w:rPr>
          <w:lang w:val="en-US"/>
        </w:rPr>
      </w:pPr>
    </w:p>
    <w:p w14:paraId="4DA04F71" w14:textId="1A89A734" w:rsidR="008C5E40" w:rsidRPr="004E4F3D" w:rsidRDefault="008C5E40">
      <w:pPr>
        <w:rPr>
          <w:b/>
          <w:lang w:val="en-US"/>
        </w:rPr>
      </w:pPr>
      <w:r w:rsidRPr="004E4F3D">
        <w:rPr>
          <w:b/>
          <w:lang w:val="en-US"/>
        </w:rPr>
        <w:t>What is being adjudicated</w:t>
      </w:r>
      <w:r w:rsidR="00413F55" w:rsidRPr="004E4F3D">
        <w:rPr>
          <w:b/>
          <w:lang w:val="en-US"/>
        </w:rPr>
        <w:t xml:space="preserve"> in the preliminary reference cases</w:t>
      </w:r>
      <w:r w:rsidRPr="004E4F3D">
        <w:rPr>
          <w:b/>
          <w:lang w:val="en-US"/>
        </w:rPr>
        <w:t>?</w:t>
      </w:r>
    </w:p>
    <w:p w14:paraId="25326CF2" w14:textId="77777777" w:rsidR="00413F55" w:rsidRPr="004E4F3D" w:rsidRDefault="00413F55" w:rsidP="001414DC">
      <w:pPr>
        <w:spacing w:before="60"/>
        <w:rPr>
          <w:lang w:val="en-US"/>
        </w:rPr>
      </w:pPr>
    </w:p>
    <w:p w14:paraId="398FC523" w14:textId="41B86590" w:rsidR="00B0560F" w:rsidRPr="004E4F3D" w:rsidRDefault="00CE0C59" w:rsidP="001414DC">
      <w:pPr>
        <w:spacing w:before="60"/>
        <w:rPr>
          <w:lang w:val="en-US"/>
        </w:rPr>
      </w:pPr>
      <w:r w:rsidRPr="004E4F3D">
        <w:rPr>
          <w:lang w:val="en-US"/>
        </w:rPr>
        <w:t>The c</w:t>
      </w:r>
      <w:r w:rsidR="001414DC" w:rsidRPr="004E4F3D">
        <w:rPr>
          <w:lang w:val="en-US"/>
        </w:rPr>
        <w:t xml:space="preserve">ases </w:t>
      </w:r>
      <w:r w:rsidRPr="004E4F3D">
        <w:rPr>
          <w:lang w:val="en-US"/>
        </w:rPr>
        <w:t>included in the data set</w:t>
      </w:r>
      <w:r w:rsidRPr="004E4F3D">
        <w:rPr>
          <w:rStyle w:val="FootnoteReference"/>
          <w:lang w:val="en-US"/>
        </w:rPr>
        <w:footnoteReference w:id="1"/>
      </w:r>
      <w:r w:rsidRPr="004E4F3D">
        <w:rPr>
          <w:lang w:val="en-US"/>
        </w:rPr>
        <w:t xml:space="preserve"> </w:t>
      </w:r>
      <w:r w:rsidR="00413F55" w:rsidRPr="004E4F3D">
        <w:rPr>
          <w:lang w:val="en-US"/>
        </w:rPr>
        <w:t>are categorized</w:t>
      </w:r>
      <w:r w:rsidR="001414DC" w:rsidRPr="004E4F3D">
        <w:rPr>
          <w:lang w:val="en-US"/>
        </w:rPr>
        <w:t xml:space="preserve"> into policy areas </w:t>
      </w:r>
      <w:r w:rsidR="00002165" w:rsidRPr="004E4F3D">
        <w:rPr>
          <w:lang w:val="en-US"/>
        </w:rPr>
        <w:t>on the basis of two variables in the EUR-lex data base, which is published by the Publication Office of the EU: “Su</w:t>
      </w:r>
      <w:r w:rsidR="0006366D" w:rsidRPr="004E4F3D">
        <w:rPr>
          <w:lang w:val="en-US"/>
        </w:rPr>
        <w:t>bject matter” and “Case Affecting</w:t>
      </w:r>
      <w:r w:rsidR="00002165" w:rsidRPr="004E4F3D">
        <w:rPr>
          <w:lang w:val="en-US"/>
        </w:rPr>
        <w:t xml:space="preserve">”. </w:t>
      </w:r>
      <w:r w:rsidR="00B0560F" w:rsidRPr="004E4F3D">
        <w:rPr>
          <w:lang w:val="en-US"/>
        </w:rPr>
        <w:t xml:space="preserve">The coding of cases into Subject Matter and Case Affecting is done by legal experts at the Court. However, as </w:t>
      </w:r>
      <w:r w:rsidR="005D6E2B">
        <w:rPr>
          <w:lang w:val="en-US"/>
        </w:rPr>
        <w:t>we have found that the categoriz</w:t>
      </w:r>
      <w:r w:rsidR="00B0560F" w:rsidRPr="004E4F3D">
        <w:rPr>
          <w:lang w:val="en-US"/>
        </w:rPr>
        <w:t>ation into policy areas differs substantially between these two sources we have combine</w:t>
      </w:r>
      <w:r w:rsidR="005D6E2B">
        <w:rPr>
          <w:lang w:val="en-US"/>
        </w:rPr>
        <w:t>d</w:t>
      </w:r>
      <w:r w:rsidR="00B0560F" w:rsidRPr="004E4F3D">
        <w:rPr>
          <w:lang w:val="en-US"/>
        </w:rPr>
        <w:t xml:space="preserve"> the two in our analyses. This me</w:t>
      </w:r>
      <w:r w:rsidR="005D6E2B">
        <w:rPr>
          <w:lang w:val="en-US"/>
        </w:rPr>
        <w:t>ans that cases that we categoriz</w:t>
      </w:r>
      <w:r w:rsidR="00B0560F" w:rsidRPr="004E4F3D">
        <w:rPr>
          <w:lang w:val="en-US"/>
        </w:rPr>
        <w:t>e as agriculture will have been coded as agriculture either on the basis of Subject Matter or Case Affecting, or</w:t>
      </w:r>
      <w:r w:rsidR="005D6E2B">
        <w:rPr>
          <w:lang w:val="en-US"/>
        </w:rPr>
        <w:t xml:space="preserve"> (most cases) </w:t>
      </w:r>
      <w:r w:rsidR="00B0560F" w:rsidRPr="004E4F3D">
        <w:rPr>
          <w:lang w:val="en-US"/>
        </w:rPr>
        <w:t>both.</w:t>
      </w:r>
    </w:p>
    <w:p w14:paraId="6DAF2B43" w14:textId="77777777" w:rsidR="00B0560F" w:rsidRPr="004E4F3D" w:rsidRDefault="00B0560F" w:rsidP="001414DC">
      <w:pPr>
        <w:spacing w:before="60"/>
        <w:rPr>
          <w:lang w:val="en-US"/>
        </w:rPr>
      </w:pPr>
    </w:p>
    <w:p w14:paraId="495DBCBA" w14:textId="7F9A9C3A" w:rsidR="0006366D" w:rsidRPr="004E4F3D" w:rsidRDefault="00002165" w:rsidP="001414DC">
      <w:pPr>
        <w:spacing w:before="60"/>
        <w:rPr>
          <w:lang w:val="en-US"/>
        </w:rPr>
      </w:pPr>
      <w:r w:rsidRPr="004E4F3D">
        <w:rPr>
          <w:lang w:val="en-US"/>
        </w:rPr>
        <w:t>Subject matter includes a hierarchy of general categories (such as agriculture) and subcategories (such as foodstuffs, fisheries, sugar), and we only use the general categories</w:t>
      </w:r>
      <w:r w:rsidR="0006366D" w:rsidRPr="004E4F3D">
        <w:rPr>
          <w:lang w:val="en-US"/>
        </w:rPr>
        <w:t xml:space="preserve"> here. Case Affecting refers to those provisions that where interpreted in the operative part of the judgment.</w:t>
      </w:r>
      <w:r w:rsidR="003812EB" w:rsidRPr="004E4F3D">
        <w:rPr>
          <w:lang w:val="en-US"/>
        </w:rPr>
        <w:t xml:space="preserve"> The categorization into policy areas </w:t>
      </w:r>
      <w:r w:rsidR="00145938" w:rsidRPr="004E4F3D">
        <w:rPr>
          <w:lang w:val="en-US"/>
        </w:rPr>
        <w:t xml:space="preserve">that is based on Case Affecting </w:t>
      </w:r>
      <w:r w:rsidR="003812EB" w:rsidRPr="004E4F3D">
        <w:rPr>
          <w:lang w:val="en-US"/>
        </w:rPr>
        <w:t>builds on the chapter division of the EU treaties. In cases of seco</w:t>
      </w:r>
      <w:r w:rsidR="00747EAB">
        <w:rPr>
          <w:lang w:val="en-US"/>
        </w:rPr>
        <w:t>ndary legislation, the categoriz</w:t>
      </w:r>
      <w:r w:rsidR="003812EB" w:rsidRPr="004E4F3D">
        <w:rPr>
          <w:lang w:val="en-US"/>
        </w:rPr>
        <w:t xml:space="preserve">ation is based on the treaty article that constitutes the legal basis of the legislation in question. </w:t>
      </w:r>
    </w:p>
    <w:p w14:paraId="67264B9D" w14:textId="77777777" w:rsidR="00002165" w:rsidRPr="004E4F3D" w:rsidRDefault="00002165" w:rsidP="001414DC">
      <w:pPr>
        <w:spacing w:before="60"/>
        <w:rPr>
          <w:lang w:val="en-US"/>
        </w:rPr>
      </w:pPr>
    </w:p>
    <w:p w14:paraId="1654761E" w14:textId="41440B94" w:rsidR="0051333B" w:rsidRPr="004E4F3D" w:rsidRDefault="00413F55" w:rsidP="001414DC">
      <w:pPr>
        <w:spacing w:before="60"/>
        <w:rPr>
          <w:lang w:val="en-US"/>
        </w:rPr>
        <w:sectPr w:rsidR="0051333B" w:rsidRPr="004E4F3D" w:rsidSect="00DA60F9">
          <w:footerReference w:type="even" r:id="rId8"/>
          <w:footerReference w:type="default" r:id="rId9"/>
          <w:pgSz w:w="11900" w:h="16840"/>
          <w:pgMar w:top="1440" w:right="1800" w:bottom="1440" w:left="1800" w:header="708" w:footer="708" w:gutter="0"/>
          <w:cols w:space="708"/>
          <w:docGrid w:linePitch="360"/>
        </w:sectPr>
      </w:pPr>
      <w:r w:rsidRPr="004E4F3D">
        <w:rPr>
          <w:lang w:val="en-US"/>
        </w:rPr>
        <w:t>Table A1 lists</w:t>
      </w:r>
      <w:r w:rsidR="001414DC" w:rsidRPr="004E4F3D">
        <w:rPr>
          <w:lang w:val="en-US"/>
        </w:rPr>
        <w:t xml:space="preserve"> the categories that constitute the bulk of the </w:t>
      </w:r>
      <w:r w:rsidR="007A5261" w:rsidRPr="004E4F3D">
        <w:rPr>
          <w:lang w:val="en-US"/>
        </w:rPr>
        <w:t>issues, i.e. questions from national courts,</w:t>
      </w:r>
      <w:r w:rsidR="001414DC" w:rsidRPr="004E4F3D">
        <w:rPr>
          <w:lang w:val="en-US"/>
        </w:rPr>
        <w:t xml:space="preserve"> in the dataset (more than </w:t>
      </w:r>
      <w:r w:rsidR="00DD23C2" w:rsidRPr="004E4F3D">
        <w:rPr>
          <w:lang w:val="en-US"/>
        </w:rPr>
        <w:t>100</w:t>
      </w:r>
      <w:r w:rsidR="001414DC" w:rsidRPr="004E4F3D">
        <w:rPr>
          <w:lang w:val="en-US"/>
        </w:rPr>
        <w:t xml:space="preserve"> issues</w:t>
      </w:r>
      <w:r w:rsidR="00B0560F" w:rsidRPr="004E4F3D">
        <w:rPr>
          <w:lang w:val="en-US"/>
        </w:rPr>
        <w:t xml:space="preserve"> when Subject Matter and Case Affecting is combined</w:t>
      </w:r>
      <w:r w:rsidR="001414DC" w:rsidRPr="004E4F3D">
        <w:rPr>
          <w:lang w:val="en-US"/>
        </w:rPr>
        <w:t xml:space="preserve">). </w:t>
      </w:r>
      <w:r w:rsidR="00396282" w:rsidRPr="004E4F3D">
        <w:rPr>
          <w:lang w:val="en-US"/>
        </w:rPr>
        <w:t>The categorization is</w:t>
      </w:r>
      <w:r w:rsidR="001414DC" w:rsidRPr="004E4F3D">
        <w:rPr>
          <w:lang w:val="en-US"/>
        </w:rPr>
        <w:t xml:space="preserve"> not mutually exclusive, </w:t>
      </w:r>
      <w:r w:rsidR="00396282" w:rsidRPr="004E4F3D">
        <w:rPr>
          <w:lang w:val="en-US"/>
        </w:rPr>
        <w:t xml:space="preserve">as </w:t>
      </w:r>
      <w:r w:rsidR="00396282" w:rsidRPr="004E4F3D">
        <w:rPr>
          <w:lang w:val="en-US"/>
        </w:rPr>
        <w:lastRenderedPageBreak/>
        <w:t xml:space="preserve">a case may concern more than one area. </w:t>
      </w:r>
      <w:r w:rsidR="00FB4439" w:rsidRPr="004E4F3D">
        <w:rPr>
          <w:lang w:val="en-US"/>
        </w:rPr>
        <w:t>As seen in the table, t</w:t>
      </w:r>
      <w:r w:rsidR="00883970" w:rsidRPr="004E4F3D">
        <w:rPr>
          <w:lang w:val="en-US"/>
        </w:rPr>
        <w:t>he overlap is particularly large between free movement of servic</w:t>
      </w:r>
      <w:r w:rsidR="000A22B1" w:rsidRPr="004E4F3D">
        <w:rPr>
          <w:lang w:val="en-US"/>
        </w:rPr>
        <w:t>es</w:t>
      </w:r>
      <w:r w:rsidR="00AD7C77" w:rsidRPr="004E4F3D">
        <w:rPr>
          <w:lang w:val="en-US"/>
        </w:rPr>
        <w:t xml:space="preserve"> and right to establishment (397</w:t>
      </w:r>
      <w:r w:rsidR="00883970" w:rsidRPr="004E4F3D">
        <w:rPr>
          <w:lang w:val="en-US"/>
        </w:rPr>
        <w:t xml:space="preserve"> issues)</w:t>
      </w:r>
      <w:r w:rsidR="000A22B1" w:rsidRPr="004E4F3D">
        <w:rPr>
          <w:lang w:val="en-US"/>
        </w:rPr>
        <w:t>.</w:t>
      </w:r>
      <w:r w:rsidR="007A5261" w:rsidRPr="004E4F3D">
        <w:rPr>
          <w:lang w:val="en-US"/>
        </w:rPr>
        <w:t xml:space="preserve"> The last two columns show the number of issues derived from Case Affecting and Subject Matter respectively.</w:t>
      </w:r>
    </w:p>
    <w:p w14:paraId="3CE9E25B" w14:textId="5EFA79DF" w:rsidR="009A7D64" w:rsidRPr="004E4F3D" w:rsidRDefault="009A7D64" w:rsidP="00811EBC">
      <w:pPr>
        <w:rPr>
          <w:lang w:val="en-US"/>
        </w:rPr>
      </w:pPr>
      <w:r w:rsidRPr="004E4F3D">
        <w:rPr>
          <w:lang w:val="en-US"/>
        </w:rPr>
        <w:lastRenderedPageBreak/>
        <w:t>Table A1. Number of issues across policy areas, including overlapping categorization</w:t>
      </w:r>
    </w:p>
    <w:p w14:paraId="1F73C1F6" w14:textId="77777777" w:rsidR="00811EBC" w:rsidRPr="004E4F3D" w:rsidRDefault="00811EBC" w:rsidP="00811EBC">
      <w:pPr>
        <w:rPr>
          <w:lang w:val="en-US"/>
        </w:rPr>
      </w:pPr>
    </w:p>
    <w:tbl>
      <w:tblPr>
        <w:tblStyle w:val="TableGrid"/>
        <w:tblW w:w="0" w:type="auto"/>
        <w:tblInd w:w="534" w:type="dxa"/>
        <w:tblLayout w:type="fixed"/>
        <w:tblLook w:val="04A0" w:firstRow="1" w:lastRow="0" w:firstColumn="1" w:lastColumn="0" w:noHBand="0" w:noVBand="1"/>
      </w:tblPr>
      <w:tblGrid>
        <w:gridCol w:w="733"/>
        <w:gridCol w:w="696"/>
        <w:gridCol w:w="696"/>
        <w:gridCol w:w="696"/>
        <w:gridCol w:w="696"/>
        <w:gridCol w:w="696"/>
        <w:gridCol w:w="696"/>
        <w:gridCol w:w="696"/>
        <w:gridCol w:w="696"/>
        <w:gridCol w:w="696"/>
        <w:gridCol w:w="696"/>
        <w:gridCol w:w="696"/>
        <w:gridCol w:w="696"/>
        <w:gridCol w:w="696"/>
        <w:gridCol w:w="708"/>
        <w:gridCol w:w="709"/>
        <w:gridCol w:w="671"/>
      </w:tblGrid>
      <w:tr w:rsidR="007B5302" w:rsidRPr="004E4F3D" w14:paraId="5DBC94FC" w14:textId="77777777" w:rsidTr="0070089A">
        <w:tc>
          <w:tcPr>
            <w:tcW w:w="733" w:type="dxa"/>
          </w:tcPr>
          <w:p w14:paraId="739D8C1B" w14:textId="77777777" w:rsidR="007B5302" w:rsidRPr="004E4F3D" w:rsidRDefault="007B5302" w:rsidP="009A7D64">
            <w:pPr>
              <w:spacing w:before="60"/>
              <w:rPr>
                <w:sz w:val="22"/>
                <w:szCs w:val="22"/>
                <w:lang w:val="en-US"/>
              </w:rPr>
            </w:pPr>
          </w:p>
        </w:tc>
        <w:tc>
          <w:tcPr>
            <w:tcW w:w="696" w:type="dxa"/>
          </w:tcPr>
          <w:p w14:paraId="7E14D9D9" w14:textId="1A0DC791" w:rsidR="007B5302" w:rsidRPr="004E4F3D" w:rsidRDefault="00A26297" w:rsidP="009A7D64">
            <w:pPr>
              <w:spacing w:before="60"/>
              <w:rPr>
                <w:sz w:val="22"/>
                <w:szCs w:val="22"/>
                <w:lang w:val="en-US"/>
              </w:rPr>
            </w:pPr>
            <w:r w:rsidRPr="004E4F3D">
              <w:rPr>
                <w:sz w:val="22"/>
                <w:szCs w:val="22"/>
                <w:lang w:val="en-US"/>
              </w:rPr>
              <w:t>RE</w:t>
            </w:r>
          </w:p>
        </w:tc>
        <w:tc>
          <w:tcPr>
            <w:tcW w:w="696" w:type="dxa"/>
          </w:tcPr>
          <w:p w14:paraId="00F6455C" w14:textId="0F2CF66E" w:rsidR="007B5302" w:rsidRPr="004E4F3D" w:rsidRDefault="007B5302" w:rsidP="009A7D64">
            <w:pPr>
              <w:spacing w:before="60"/>
              <w:rPr>
                <w:sz w:val="22"/>
                <w:szCs w:val="22"/>
                <w:lang w:val="en-US"/>
              </w:rPr>
            </w:pPr>
            <w:r w:rsidRPr="004E4F3D">
              <w:rPr>
                <w:sz w:val="22"/>
                <w:szCs w:val="22"/>
                <w:lang w:val="en-US"/>
              </w:rPr>
              <w:t>T</w:t>
            </w:r>
            <w:r w:rsidR="00A26297" w:rsidRPr="004E4F3D">
              <w:rPr>
                <w:sz w:val="22"/>
                <w:szCs w:val="22"/>
                <w:lang w:val="en-US"/>
              </w:rPr>
              <w:t>ax</w:t>
            </w:r>
          </w:p>
        </w:tc>
        <w:tc>
          <w:tcPr>
            <w:tcW w:w="696" w:type="dxa"/>
          </w:tcPr>
          <w:p w14:paraId="02CF80B7" w14:textId="4335CC7F" w:rsidR="007B5302" w:rsidRPr="004E4F3D" w:rsidRDefault="007B5302" w:rsidP="009A7D64">
            <w:pPr>
              <w:spacing w:before="60"/>
              <w:rPr>
                <w:sz w:val="22"/>
                <w:szCs w:val="22"/>
                <w:lang w:val="en-US"/>
              </w:rPr>
            </w:pPr>
            <w:r w:rsidRPr="004E4F3D">
              <w:rPr>
                <w:sz w:val="22"/>
                <w:szCs w:val="22"/>
                <w:lang w:val="en-US"/>
              </w:rPr>
              <w:t>A</w:t>
            </w:r>
            <w:r w:rsidR="00A26297" w:rsidRPr="004E4F3D">
              <w:rPr>
                <w:sz w:val="22"/>
                <w:szCs w:val="22"/>
                <w:lang w:val="en-US"/>
              </w:rPr>
              <w:t>gri</w:t>
            </w:r>
          </w:p>
        </w:tc>
        <w:tc>
          <w:tcPr>
            <w:tcW w:w="696" w:type="dxa"/>
          </w:tcPr>
          <w:p w14:paraId="6D8998FD" w14:textId="7765EF35" w:rsidR="007B5302" w:rsidRPr="004E4F3D" w:rsidRDefault="00A26297" w:rsidP="009A7D64">
            <w:pPr>
              <w:spacing w:before="60"/>
              <w:rPr>
                <w:sz w:val="22"/>
                <w:szCs w:val="22"/>
                <w:lang w:val="en-US"/>
              </w:rPr>
            </w:pPr>
            <w:r w:rsidRPr="004E4F3D">
              <w:rPr>
                <w:sz w:val="22"/>
                <w:szCs w:val="22"/>
                <w:lang w:val="en-US"/>
              </w:rPr>
              <w:t>F</w:t>
            </w:r>
            <w:r w:rsidR="007B5302" w:rsidRPr="004E4F3D">
              <w:rPr>
                <w:sz w:val="22"/>
                <w:szCs w:val="22"/>
                <w:lang w:val="en-US"/>
              </w:rPr>
              <w:t>G</w:t>
            </w:r>
          </w:p>
        </w:tc>
        <w:tc>
          <w:tcPr>
            <w:tcW w:w="696" w:type="dxa"/>
          </w:tcPr>
          <w:p w14:paraId="52BF0334" w14:textId="5EA83213" w:rsidR="007B5302" w:rsidRPr="004E4F3D" w:rsidRDefault="007B5302" w:rsidP="009A7D64">
            <w:pPr>
              <w:spacing w:before="60"/>
              <w:rPr>
                <w:sz w:val="22"/>
                <w:szCs w:val="22"/>
                <w:lang w:val="en-US"/>
              </w:rPr>
            </w:pPr>
            <w:r w:rsidRPr="004E4F3D">
              <w:rPr>
                <w:sz w:val="22"/>
                <w:szCs w:val="22"/>
                <w:lang w:val="en-US"/>
              </w:rPr>
              <w:t>C</w:t>
            </w:r>
            <w:r w:rsidR="00A26297" w:rsidRPr="004E4F3D">
              <w:rPr>
                <w:sz w:val="22"/>
                <w:szCs w:val="22"/>
                <w:lang w:val="en-US"/>
              </w:rPr>
              <w:t>om</w:t>
            </w:r>
            <w:r w:rsidRPr="004E4F3D">
              <w:rPr>
                <w:sz w:val="22"/>
                <w:szCs w:val="22"/>
                <w:lang w:val="en-US"/>
              </w:rPr>
              <w:t xml:space="preserve"> </w:t>
            </w:r>
          </w:p>
        </w:tc>
        <w:tc>
          <w:tcPr>
            <w:tcW w:w="696" w:type="dxa"/>
          </w:tcPr>
          <w:p w14:paraId="04EAB298" w14:textId="724F9715" w:rsidR="007B5302" w:rsidRPr="004E4F3D" w:rsidRDefault="007B5302" w:rsidP="009A7D64">
            <w:pPr>
              <w:spacing w:before="60"/>
              <w:rPr>
                <w:sz w:val="22"/>
                <w:szCs w:val="22"/>
                <w:lang w:val="en-US"/>
              </w:rPr>
            </w:pPr>
            <w:r w:rsidRPr="004E4F3D">
              <w:rPr>
                <w:sz w:val="22"/>
                <w:szCs w:val="22"/>
                <w:lang w:val="en-US"/>
              </w:rPr>
              <w:t>CU</w:t>
            </w:r>
          </w:p>
        </w:tc>
        <w:tc>
          <w:tcPr>
            <w:tcW w:w="696" w:type="dxa"/>
          </w:tcPr>
          <w:p w14:paraId="3AD21662" w14:textId="68AABAFE" w:rsidR="007B5302" w:rsidRPr="004E4F3D" w:rsidRDefault="00856761" w:rsidP="009A7D64">
            <w:pPr>
              <w:spacing w:before="60"/>
              <w:rPr>
                <w:sz w:val="22"/>
                <w:szCs w:val="22"/>
                <w:lang w:val="en-US"/>
              </w:rPr>
            </w:pPr>
            <w:r w:rsidRPr="004E4F3D">
              <w:rPr>
                <w:sz w:val="22"/>
                <w:szCs w:val="22"/>
                <w:lang w:val="en-US"/>
              </w:rPr>
              <w:t>FS</w:t>
            </w:r>
          </w:p>
        </w:tc>
        <w:tc>
          <w:tcPr>
            <w:tcW w:w="696" w:type="dxa"/>
          </w:tcPr>
          <w:p w14:paraId="28B18B0A" w14:textId="5974F61A" w:rsidR="007B5302" w:rsidRPr="004E4F3D" w:rsidRDefault="007B5302" w:rsidP="009A7D64">
            <w:pPr>
              <w:spacing w:before="60"/>
              <w:rPr>
                <w:sz w:val="22"/>
                <w:szCs w:val="22"/>
                <w:lang w:val="en-US"/>
              </w:rPr>
            </w:pPr>
            <w:r w:rsidRPr="004E4F3D">
              <w:rPr>
                <w:sz w:val="22"/>
                <w:szCs w:val="22"/>
                <w:lang w:val="en-US"/>
              </w:rPr>
              <w:t>T</w:t>
            </w:r>
            <w:r w:rsidR="0052598E" w:rsidRPr="004E4F3D">
              <w:rPr>
                <w:sz w:val="22"/>
                <w:szCs w:val="22"/>
                <w:lang w:val="en-US"/>
              </w:rPr>
              <w:t>ra</w:t>
            </w:r>
          </w:p>
        </w:tc>
        <w:tc>
          <w:tcPr>
            <w:tcW w:w="696" w:type="dxa"/>
          </w:tcPr>
          <w:p w14:paraId="3E2FC584" w14:textId="33C4D0AC" w:rsidR="007B5302" w:rsidRPr="004E4F3D" w:rsidRDefault="00D929B4" w:rsidP="009A7D64">
            <w:pPr>
              <w:spacing w:before="60"/>
              <w:rPr>
                <w:sz w:val="22"/>
                <w:szCs w:val="22"/>
                <w:lang w:val="en-US"/>
              </w:rPr>
            </w:pPr>
            <w:r w:rsidRPr="004E4F3D">
              <w:rPr>
                <w:sz w:val="22"/>
                <w:szCs w:val="22"/>
                <w:lang w:val="en-US"/>
              </w:rPr>
              <w:t>F</w:t>
            </w:r>
            <w:r w:rsidR="007B5302" w:rsidRPr="004E4F3D">
              <w:rPr>
                <w:sz w:val="22"/>
                <w:szCs w:val="22"/>
                <w:lang w:val="en-US"/>
              </w:rPr>
              <w:t>W</w:t>
            </w:r>
          </w:p>
        </w:tc>
        <w:tc>
          <w:tcPr>
            <w:tcW w:w="696" w:type="dxa"/>
          </w:tcPr>
          <w:p w14:paraId="49B92C59" w14:textId="5EBAB1CD" w:rsidR="007B5302" w:rsidRPr="004E4F3D" w:rsidRDefault="00D929B4" w:rsidP="009A7D64">
            <w:pPr>
              <w:spacing w:before="60"/>
              <w:rPr>
                <w:sz w:val="22"/>
                <w:szCs w:val="22"/>
                <w:lang w:val="en-US"/>
              </w:rPr>
            </w:pPr>
            <w:r w:rsidRPr="004E4F3D">
              <w:rPr>
                <w:sz w:val="22"/>
                <w:szCs w:val="22"/>
                <w:lang w:val="en-US"/>
              </w:rPr>
              <w:t>F</w:t>
            </w:r>
            <w:r w:rsidR="007B5302" w:rsidRPr="004E4F3D">
              <w:rPr>
                <w:sz w:val="22"/>
                <w:szCs w:val="22"/>
                <w:lang w:val="en-US"/>
              </w:rPr>
              <w:t>C</w:t>
            </w:r>
          </w:p>
        </w:tc>
        <w:tc>
          <w:tcPr>
            <w:tcW w:w="696" w:type="dxa"/>
          </w:tcPr>
          <w:p w14:paraId="19E82816" w14:textId="7DD75620" w:rsidR="007B5302" w:rsidRPr="004E4F3D" w:rsidRDefault="007B5302" w:rsidP="009A7D64">
            <w:pPr>
              <w:spacing w:before="60"/>
              <w:rPr>
                <w:sz w:val="22"/>
                <w:szCs w:val="22"/>
                <w:lang w:val="en-US"/>
              </w:rPr>
            </w:pPr>
            <w:r w:rsidRPr="004E4F3D">
              <w:rPr>
                <w:sz w:val="22"/>
                <w:szCs w:val="22"/>
                <w:lang w:val="en-US"/>
              </w:rPr>
              <w:t>E</w:t>
            </w:r>
            <w:r w:rsidR="00D929B4" w:rsidRPr="004E4F3D">
              <w:rPr>
                <w:sz w:val="22"/>
                <w:szCs w:val="22"/>
                <w:lang w:val="en-US"/>
              </w:rPr>
              <w:t>nv</w:t>
            </w:r>
          </w:p>
        </w:tc>
        <w:tc>
          <w:tcPr>
            <w:tcW w:w="696" w:type="dxa"/>
          </w:tcPr>
          <w:p w14:paraId="5FE7328A" w14:textId="7922CFC4" w:rsidR="007B5302" w:rsidRPr="004E4F3D" w:rsidRDefault="007B5302" w:rsidP="009A7D64">
            <w:pPr>
              <w:spacing w:before="60"/>
              <w:rPr>
                <w:sz w:val="22"/>
                <w:szCs w:val="22"/>
                <w:lang w:val="en-US"/>
              </w:rPr>
            </w:pPr>
            <w:r w:rsidRPr="004E4F3D">
              <w:rPr>
                <w:sz w:val="22"/>
                <w:szCs w:val="22"/>
                <w:lang w:val="en-US"/>
              </w:rPr>
              <w:t>S</w:t>
            </w:r>
            <w:r w:rsidR="00D929B4" w:rsidRPr="004E4F3D">
              <w:rPr>
                <w:sz w:val="22"/>
                <w:szCs w:val="22"/>
                <w:lang w:val="en-US"/>
              </w:rPr>
              <w:t>P</w:t>
            </w:r>
          </w:p>
        </w:tc>
        <w:tc>
          <w:tcPr>
            <w:tcW w:w="696" w:type="dxa"/>
          </w:tcPr>
          <w:p w14:paraId="438ABAAA" w14:textId="3318E336" w:rsidR="007B5302" w:rsidRPr="004E4F3D" w:rsidRDefault="00CF449E" w:rsidP="009A7D64">
            <w:pPr>
              <w:spacing w:before="60"/>
              <w:rPr>
                <w:sz w:val="22"/>
                <w:szCs w:val="22"/>
                <w:lang w:val="en-US"/>
              </w:rPr>
            </w:pPr>
            <w:r w:rsidRPr="004E4F3D">
              <w:rPr>
                <w:sz w:val="22"/>
                <w:szCs w:val="22"/>
                <w:lang w:val="en-US"/>
              </w:rPr>
              <w:t>CP</w:t>
            </w:r>
          </w:p>
        </w:tc>
        <w:tc>
          <w:tcPr>
            <w:tcW w:w="708" w:type="dxa"/>
          </w:tcPr>
          <w:p w14:paraId="48F721D3" w14:textId="49972E43" w:rsidR="007B5302" w:rsidRPr="004E4F3D" w:rsidRDefault="00811EBC" w:rsidP="009A7D64">
            <w:pPr>
              <w:spacing w:before="60"/>
              <w:rPr>
                <w:sz w:val="22"/>
                <w:szCs w:val="22"/>
                <w:lang w:val="en-US"/>
              </w:rPr>
            </w:pPr>
            <w:r w:rsidRPr="004E4F3D">
              <w:rPr>
                <w:sz w:val="22"/>
                <w:szCs w:val="22"/>
                <w:lang w:val="en-US"/>
              </w:rPr>
              <w:t>App</w:t>
            </w:r>
          </w:p>
        </w:tc>
        <w:tc>
          <w:tcPr>
            <w:tcW w:w="709" w:type="dxa"/>
          </w:tcPr>
          <w:p w14:paraId="364480B8" w14:textId="38B09384" w:rsidR="007B5302" w:rsidRPr="004E4F3D" w:rsidRDefault="007B5302" w:rsidP="009A7D64">
            <w:pPr>
              <w:spacing w:before="60"/>
              <w:rPr>
                <w:sz w:val="22"/>
                <w:szCs w:val="22"/>
                <w:lang w:val="en-US"/>
              </w:rPr>
            </w:pPr>
            <w:r w:rsidRPr="004E4F3D">
              <w:rPr>
                <w:sz w:val="22"/>
                <w:szCs w:val="22"/>
                <w:lang w:val="en-US"/>
              </w:rPr>
              <w:t>CA</w:t>
            </w:r>
          </w:p>
        </w:tc>
        <w:tc>
          <w:tcPr>
            <w:tcW w:w="671" w:type="dxa"/>
          </w:tcPr>
          <w:p w14:paraId="355401C1" w14:textId="691804E5" w:rsidR="007B5302" w:rsidRPr="004E4F3D" w:rsidRDefault="007B5302" w:rsidP="009A7D64">
            <w:pPr>
              <w:spacing w:before="60"/>
              <w:rPr>
                <w:sz w:val="22"/>
                <w:szCs w:val="22"/>
                <w:lang w:val="en-US"/>
              </w:rPr>
            </w:pPr>
            <w:r w:rsidRPr="004E4F3D">
              <w:rPr>
                <w:sz w:val="22"/>
                <w:szCs w:val="22"/>
                <w:lang w:val="en-US"/>
              </w:rPr>
              <w:t>SM</w:t>
            </w:r>
          </w:p>
        </w:tc>
      </w:tr>
      <w:tr w:rsidR="007B5302" w:rsidRPr="004E4F3D" w14:paraId="513E3606" w14:textId="77777777" w:rsidTr="0070089A">
        <w:tc>
          <w:tcPr>
            <w:tcW w:w="733" w:type="dxa"/>
          </w:tcPr>
          <w:p w14:paraId="26AC60CA" w14:textId="2C5FE1F2" w:rsidR="007B5302" w:rsidRPr="004E4F3D" w:rsidRDefault="00A26297" w:rsidP="009A7D64">
            <w:pPr>
              <w:spacing w:before="60"/>
              <w:rPr>
                <w:sz w:val="22"/>
                <w:szCs w:val="22"/>
                <w:lang w:val="en-US"/>
              </w:rPr>
            </w:pPr>
            <w:r w:rsidRPr="004E4F3D">
              <w:rPr>
                <w:sz w:val="22"/>
                <w:szCs w:val="22"/>
                <w:lang w:val="en-US"/>
              </w:rPr>
              <w:t>RE</w:t>
            </w:r>
          </w:p>
        </w:tc>
        <w:tc>
          <w:tcPr>
            <w:tcW w:w="696" w:type="dxa"/>
          </w:tcPr>
          <w:p w14:paraId="3E09E5AC" w14:textId="46243CEC" w:rsidR="007B5302" w:rsidRPr="004E4F3D" w:rsidRDefault="007B5302" w:rsidP="00044B9C">
            <w:pPr>
              <w:spacing w:before="60"/>
              <w:rPr>
                <w:sz w:val="22"/>
                <w:szCs w:val="22"/>
                <w:lang w:val="en-US"/>
              </w:rPr>
            </w:pPr>
            <w:r w:rsidRPr="004E4F3D">
              <w:rPr>
                <w:sz w:val="22"/>
                <w:szCs w:val="22"/>
                <w:lang w:val="en-US"/>
              </w:rPr>
              <w:t>6</w:t>
            </w:r>
            <w:r w:rsidR="00044B9C">
              <w:rPr>
                <w:sz w:val="22"/>
                <w:szCs w:val="22"/>
                <w:lang w:val="en-US"/>
              </w:rPr>
              <w:t>29</w:t>
            </w:r>
          </w:p>
        </w:tc>
        <w:tc>
          <w:tcPr>
            <w:tcW w:w="696" w:type="dxa"/>
          </w:tcPr>
          <w:p w14:paraId="1CBCCB7B" w14:textId="7815663C" w:rsidR="007B5302" w:rsidRPr="004E4F3D" w:rsidRDefault="007B5302" w:rsidP="009A7D64">
            <w:pPr>
              <w:spacing w:before="60"/>
              <w:rPr>
                <w:sz w:val="22"/>
                <w:szCs w:val="22"/>
                <w:lang w:val="en-US"/>
              </w:rPr>
            </w:pPr>
            <w:r w:rsidRPr="004E4F3D">
              <w:rPr>
                <w:sz w:val="22"/>
                <w:szCs w:val="22"/>
                <w:lang w:val="en-US"/>
              </w:rPr>
              <w:t>57</w:t>
            </w:r>
          </w:p>
        </w:tc>
        <w:tc>
          <w:tcPr>
            <w:tcW w:w="696" w:type="dxa"/>
          </w:tcPr>
          <w:p w14:paraId="11D6F8EA" w14:textId="4DC73835" w:rsidR="007B5302" w:rsidRPr="004E4F3D" w:rsidRDefault="007B5302" w:rsidP="009A7D64">
            <w:pPr>
              <w:spacing w:before="60"/>
              <w:rPr>
                <w:sz w:val="22"/>
                <w:szCs w:val="22"/>
                <w:lang w:val="en-US"/>
              </w:rPr>
            </w:pPr>
            <w:r w:rsidRPr="004E4F3D">
              <w:rPr>
                <w:sz w:val="22"/>
                <w:szCs w:val="22"/>
                <w:lang w:val="en-US"/>
              </w:rPr>
              <w:t>34</w:t>
            </w:r>
          </w:p>
        </w:tc>
        <w:tc>
          <w:tcPr>
            <w:tcW w:w="696" w:type="dxa"/>
          </w:tcPr>
          <w:p w14:paraId="7F17EA91" w14:textId="71E2693C" w:rsidR="007B5302" w:rsidRPr="004E4F3D" w:rsidRDefault="00044B9C" w:rsidP="009A7D64">
            <w:pPr>
              <w:spacing w:before="60"/>
              <w:rPr>
                <w:sz w:val="22"/>
                <w:szCs w:val="22"/>
                <w:lang w:val="en-US"/>
              </w:rPr>
            </w:pPr>
            <w:r>
              <w:rPr>
                <w:sz w:val="22"/>
                <w:szCs w:val="22"/>
                <w:lang w:val="en-US"/>
              </w:rPr>
              <w:t>24</w:t>
            </w:r>
          </w:p>
        </w:tc>
        <w:tc>
          <w:tcPr>
            <w:tcW w:w="696" w:type="dxa"/>
          </w:tcPr>
          <w:p w14:paraId="538EBA68" w14:textId="1F33EC67" w:rsidR="007B5302" w:rsidRPr="004E4F3D" w:rsidRDefault="007B5302" w:rsidP="009A7D64">
            <w:pPr>
              <w:spacing w:before="60"/>
              <w:rPr>
                <w:sz w:val="22"/>
                <w:szCs w:val="22"/>
                <w:lang w:val="en-US"/>
              </w:rPr>
            </w:pPr>
            <w:r w:rsidRPr="004E4F3D">
              <w:rPr>
                <w:sz w:val="22"/>
                <w:szCs w:val="22"/>
                <w:lang w:val="en-US"/>
              </w:rPr>
              <w:t>50</w:t>
            </w:r>
          </w:p>
        </w:tc>
        <w:tc>
          <w:tcPr>
            <w:tcW w:w="696" w:type="dxa"/>
          </w:tcPr>
          <w:p w14:paraId="2591F9D4" w14:textId="7263F238" w:rsidR="007B5302" w:rsidRPr="004E4F3D" w:rsidRDefault="007B5302" w:rsidP="009A7D64">
            <w:pPr>
              <w:spacing w:before="60"/>
              <w:rPr>
                <w:sz w:val="22"/>
                <w:szCs w:val="22"/>
                <w:lang w:val="en-US"/>
              </w:rPr>
            </w:pPr>
            <w:r w:rsidRPr="004E4F3D">
              <w:rPr>
                <w:sz w:val="22"/>
                <w:szCs w:val="22"/>
                <w:lang w:val="en-US"/>
              </w:rPr>
              <w:t>2</w:t>
            </w:r>
          </w:p>
        </w:tc>
        <w:tc>
          <w:tcPr>
            <w:tcW w:w="696" w:type="dxa"/>
          </w:tcPr>
          <w:p w14:paraId="6C2A0FE2" w14:textId="1F53FD80" w:rsidR="007B5302" w:rsidRPr="004E4F3D" w:rsidRDefault="00044B9C" w:rsidP="009A7D64">
            <w:pPr>
              <w:spacing w:before="60"/>
              <w:rPr>
                <w:sz w:val="22"/>
                <w:szCs w:val="22"/>
                <w:lang w:val="en-US"/>
              </w:rPr>
            </w:pPr>
            <w:r>
              <w:rPr>
                <w:sz w:val="22"/>
                <w:szCs w:val="22"/>
                <w:lang w:val="en-US"/>
              </w:rPr>
              <w:t>395</w:t>
            </w:r>
          </w:p>
        </w:tc>
        <w:tc>
          <w:tcPr>
            <w:tcW w:w="696" w:type="dxa"/>
          </w:tcPr>
          <w:p w14:paraId="24B03116" w14:textId="14805F3D" w:rsidR="007B5302" w:rsidRPr="004E4F3D" w:rsidRDefault="007B5302" w:rsidP="009A7D64">
            <w:pPr>
              <w:spacing w:before="60"/>
              <w:rPr>
                <w:sz w:val="22"/>
                <w:szCs w:val="22"/>
                <w:lang w:val="en-US"/>
              </w:rPr>
            </w:pPr>
            <w:r w:rsidRPr="004E4F3D">
              <w:rPr>
                <w:sz w:val="22"/>
                <w:szCs w:val="22"/>
                <w:lang w:val="en-US"/>
              </w:rPr>
              <w:t>44</w:t>
            </w:r>
          </w:p>
        </w:tc>
        <w:tc>
          <w:tcPr>
            <w:tcW w:w="696" w:type="dxa"/>
          </w:tcPr>
          <w:p w14:paraId="1657E6B2" w14:textId="13823579" w:rsidR="007B5302" w:rsidRPr="004E4F3D" w:rsidRDefault="007B5302" w:rsidP="00044B9C">
            <w:pPr>
              <w:spacing w:before="60"/>
              <w:rPr>
                <w:sz w:val="22"/>
                <w:szCs w:val="22"/>
                <w:lang w:val="en-US"/>
              </w:rPr>
            </w:pPr>
            <w:r w:rsidRPr="004E4F3D">
              <w:rPr>
                <w:sz w:val="22"/>
                <w:szCs w:val="22"/>
                <w:lang w:val="en-US"/>
              </w:rPr>
              <w:t>9</w:t>
            </w:r>
            <w:r w:rsidR="00044B9C">
              <w:rPr>
                <w:sz w:val="22"/>
                <w:szCs w:val="22"/>
                <w:lang w:val="en-US"/>
              </w:rPr>
              <w:t>8</w:t>
            </w:r>
          </w:p>
        </w:tc>
        <w:tc>
          <w:tcPr>
            <w:tcW w:w="696" w:type="dxa"/>
          </w:tcPr>
          <w:p w14:paraId="4539FC00" w14:textId="40DF7B6E" w:rsidR="007B5302" w:rsidRPr="004E4F3D" w:rsidRDefault="007B5302" w:rsidP="009A7D64">
            <w:pPr>
              <w:spacing w:before="60"/>
              <w:rPr>
                <w:sz w:val="22"/>
                <w:szCs w:val="22"/>
                <w:lang w:val="en-US"/>
              </w:rPr>
            </w:pPr>
            <w:r w:rsidRPr="004E4F3D">
              <w:rPr>
                <w:sz w:val="22"/>
                <w:szCs w:val="22"/>
                <w:lang w:val="en-US"/>
              </w:rPr>
              <w:t>62</w:t>
            </w:r>
          </w:p>
        </w:tc>
        <w:tc>
          <w:tcPr>
            <w:tcW w:w="696" w:type="dxa"/>
          </w:tcPr>
          <w:p w14:paraId="64447C04" w14:textId="3D0F9A88" w:rsidR="007B5302" w:rsidRPr="004E4F3D" w:rsidRDefault="007B5302" w:rsidP="009A7D64">
            <w:pPr>
              <w:spacing w:before="60"/>
              <w:rPr>
                <w:sz w:val="22"/>
                <w:szCs w:val="22"/>
                <w:lang w:val="en-US"/>
              </w:rPr>
            </w:pPr>
            <w:r w:rsidRPr="004E4F3D">
              <w:rPr>
                <w:sz w:val="22"/>
                <w:szCs w:val="22"/>
                <w:lang w:val="en-US"/>
              </w:rPr>
              <w:t>4</w:t>
            </w:r>
          </w:p>
        </w:tc>
        <w:tc>
          <w:tcPr>
            <w:tcW w:w="696" w:type="dxa"/>
          </w:tcPr>
          <w:p w14:paraId="5C8574D3" w14:textId="133A8875" w:rsidR="007B5302" w:rsidRPr="004E4F3D" w:rsidRDefault="007B5302" w:rsidP="009A7D64">
            <w:pPr>
              <w:spacing w:before="60"/>
              <w:rPr>
                <w:sz w:val="22"/>
                <w:szCs w:val="22"/>
                <w:lang w:val="en-US"/>
              </w:rPr>
            </w:pPr>
            <w:r w:rsidRPr="004E4F3D">
              <w:rPr>
                <w:sz w:val="22"/>
                <w:szCs w:val="22"/>
                <w:lang w:val="en-US"/>
              </w:rPr>
              <w:t>14</w:t>
            </w:r>
          </w:p>
        </w:tc>
        <w:tc>
          <w:tcPr>
            <w:tcW w:w="696" w:type="dxa"/>
          </w:tcPr>
          <w:p w14:paraId="06DFA0EA" w14:textId="50B51D43" w:rsidR="007B5302" w:rsidRPr="004E4F3D" w:rsidRDefault="007B5302" w:rsidP="009A7D64">
            <w:pPr>
              <w:spacing w:before="60"/>
              <w:rPr>
                <w:sz w:val="22"/>
                <w:szCs w:val="22"/>
                <w:lang w:val="en-US"/>
              </w:rPr>
            </w:pPr>
            <w:r w:rsidRPr="004E4F3D">
              <w:rPr>
                <w:sz w:val="22"/>
                <w:szCs w:val="22"/>
                <w:lang w:val="en-US"/>
              </w:rPr>
              <w:t>11</w:t>
            </w:r>
          </w:p>
        </w:tc>
        <w:tc>
          <w:tcPr>
            <w:tcW w:w="708" w:type="dxa"/>
          </w:tcPr>
          <w:p w14:paraId="6F917F0C" w14:textId="5B893FA1" w:rsidR="007B5302" w:rsidRPr="004E4F3D" w:rsidRDefault="007B5302" w:rsidP="009A7D64">
            <w:pPr>
              <w:spacing w:before="60"/>
              <w:rPr>
                <w:sz w:val="22"/>
                <w:szCs w:val="22"/>
                <w:lang w:val="en-US"/>
              </w:rPr>
            </w:pPr>
            <w:r w:rsidRPr="004E4F3D">
              <w:rPr>
                <w:sz w:val="22"/>
                <w:szCs w:val="22"/>
                <w:lang w:val="en-US"/>
              </w:rPr>
              <w:t>321</w:t>
            </w:r>
          </w:p>
        </w:tc>
        <w:tc>
          <w:tcPr>
            <w:tcW w:w="709" w:type="dxa"/>
          </w:tcPr>
          <w:p w14:paraId="27CD7FBF" w14:textId="0B64C38F" w:rsidR="007B5302" w:rsidRPr="004E4F3D" w:rsidRDefault="007B5302" w:rsidP="009A7D64">
            <w:pPr>
              <w:spacing w:before="60"/>
              <w:rPr>
                <w:sz w:val="22"/>
                <w:szCs w:val="22"/>
                <w:lang w:val="en-US"/>
              </w:rPr>
            </w:pPr>
            <w:r w:rsidRPr="004E4F3D">
              <w:rPr>
                <w:sz w:val="22"/>
                <w:szCs w:val="22"/>
                <w:lang w:val="en-US"/>
              </w:rPr>
              <w:t>551</w:t>
            </w:r>
          </w:p>
        </w:tc>
        <w:tc>
          <w:tcPr>
            <w:tcW w:w="671" w:type="dxa"/>
          </w:tcPr>
          <w:p w14:paraId="4BA4A679" w14:textId="663E706F" w:rsidR="007B5302" w:rsidRPr="004E4F3D" w:rsidRDefault="00821D0E" w:rsidP="009A7D64">
            <w:pPr>
              <w:spacing w:before="60"/>
              <w:rPr>
                <w:sz w:val="22"/>
                <w:szCs w:val="22"/>
                <w:lang w:val="en-US"/>
              </w:rPr>
            </w:pPr>
            <w:r>
              <w:rPr>
                <w:sz w:val="22"/>
                <w:szCs w:val="22"/>
                <w:lang w:val="en-US"/>
              </w:rPr>
              <w:t>517</w:t>
            </w:r>
          </w:p>
        </w:tc>
      </w:tr>
      <w:tr w:rsidR="007B5302" w:rsidRPr="004E4F3D" w14:paraId="1EFA77DB" w14:textId="77777777" w:rsidTr="0070089A">
        <w:tc>
          <w:tcPr>
            <w:tcW w:w="733" w:type="dxa"/>
          </w:tcPr>
          <w:p w14:paraId="5AAB6669" w14:textId="1BCC7EE6" w:rsidR="007B5302" w:rsidRPr="004E4F3D" w:rsidRDefault="007B5302" w:rsidP="009A7D64">
            <w:pPr>
              <w:spacing w:before="60"/>
              <w:rPr>
                <w:sz w:val="22"/>
                <w:szCs w:val="22"/>
                <w:lang w:val="en-US"/>
              </w:rPr>
            </w:pPr>
            <w:r w:rsidRPr="004E4F3D">
              <w:rPr>
                <w:sz w:val="22"/>
                <w:szCs w:val="22"/>
                <w:lang w:val="en-US"/>
              </w:rPr>
              <w:t>T</w:t>
            </w:r>
            <w:r w:rsidR="00A26297" w:rsidRPr="004E4F3D">
              <w:rPr>
                <w:sz w:val="22"/>
                <w:szCs w:val="22"/>
                <w:lang w:val="en-US"/>
              </w:rPr>
              <w:t>ax</w:t>
            </w:r>
          </w:p>
        </w:tc>
        <w:tc>
          <w:tcPr>
            <w:tcW w:w="696" w:type="dxa"/>
          </w:tcPr>
          <w:p w14:paraId="7C84A900" w14:textId="77777777" w:rsidR="007B5302" w:rsidRPr="004E4F3D" w:rsidRDefault="007B5302" w:rsidP="009A7D64">
            <w:pPr>
              <w:spacing w:before="60"/>
              <w:rPr>
                <w:sz w:val="22"/>
                <w:szCs w:val="22"/>
                <w:lang w:val="en-US"/>
              </w:rPr>
            </w:pPr>
          </w:p>
        </w:tc>
        <w:tc>
          <w:tcPr>
            <w:tcW w:w="696" w:type="dxa"/>
          </w:tcPr>
          <w:p w14:paraId="0854638F" w14:textId="07AD8817" w:rsidR="007B5302" w:rsidRPr="004E4F3D" w:rsidRDefault="00044B9C" w:rsidP="009A7D64">
            <w:pPr>
              <w:spacing w:before="60"/>
              <w:rPr>
                <w:sz w:val="22"/>
                <w:szCs w:val="22"/>
                <w:lang w:val="en-US"/>
              </w:rPr>
            </w:pPr>
            <w:r>
              <w:rPr>
                <w:sz w:val="22"/>
                <w:szCs w:val="22"/>
                <w:lang w:val="en-US"/>
              </w:rPr>
              <w:t>606</w:t>
            </w:r>
          </w:p>
        </w:tc>
        <w:tc>
          <w:tcPr>
            <w:tcW w:w="696" w:type="dxa"/>
          </w:tcPr>
          <w:p w14:paraId="287C107C" w14:textId="4CCF819B" w:rsidR="007B5302" w:rsidRPr="004E4F3D" w:rsidRDefault="007B5302" w:rsidP="009A7D64">
            <w:pPr>
              <w:spacing w:before="60"/>
              <w:rPr>
                <w:sz w:val="22"/>
                <w:szCs w:val="22"/>
                <w:lang w:val="en-US"/>
              </w:rPr>
            </w:pPr>
            <w:r w:rsidRPr="004E4F3D">
              <w:rPr>
                <w:sz w:val="22"/>
                <w:szCs w:val="22"/>
                <w:lang w:val="en-US"/>
              </w:rPr>
              <w:t>31</w:t>
            </w:r>
          </w:p>
        </w:tc>
        <w:tc>
          <w:tcPr>
            <w:tcW w:w="696" w:type="dxa"/>
          </w:tcPr>
          <w:p w14:paraId="3A912CFB" w14:textId="4FABF80A" w:rsidR="007B5302" w:rsidRPr="004E4F3D" w:rsidRDefault="007B5302" w:rsidP="009A7D64">
            <w:pPr>
              <w:spacing w:before="60"/>
              <w:rPr>
                <w:sz w:val="22"/>
                <w:szCs w:val="22"/>
                <w:lang w:val="en-US"/>
              </w:rPr>
            </w:pPr>
            <w:r w:rsidRPr="004E4F3D">
              <w:rPr>
                <w:sz w:val="22"/>
                <w:szCs w:val="22"/>
                <w:lang w:val="en-US"/>
              </w:rPr>
              <w:t>49</w:t>
            </w:r>
          </w:p>
        </w:tc>
        <w:tc>
          <w:tcPr>
            <w:tcW w:w="696" w:type="dxa"/>
          </w:tcPr>
          <w:p w14:paraId="6E775B0B" w14:textId="13578495" w:rsidR="007B5302" w:rsidRPr="004E4F3D" w:rsidRDefault="007B5302" w:rsidP="009A7D64">
            <w:pPr>
              <w:spacing w:before="60"/>
              <w:rPr>
                <w:sz w:val="22"/>
                <w:szCs w:val="22"/>
                <w:lang w:val="en-US"/>
              </w:rPr>
            </w:pPr>
            <w:r w:rsidRPr="004E4F3D">
              <w:rPr>
                <w:sz w:val="22"/>
                <w:szCs w:val="22"/>
                <w:lang w:val="en-US"/>
              </w:rPr>
              <w:t>45</w:t>
            </w:r>
          </w:p>
        </w:tc>
        <w:tc>
          <w:tcPr>
            <w:tcW w:w="696" w:type="dxa"/>
          </w:tcPr>
          <w:p w14:paraId="73ECA83C" w14:textId="1F85FFA7" w:rsidR="007B5302" w:rsidRPr="004E4F3D" w:rsidRDefault="007B5302" w:rsidP="009A7D64">
            <w:pPr>
              <w:spacing w:before="60"/>
              <w:rPr>
                <w:sz w:val="22"/>
                <w:szCs w:val="22"/>
                <w:lang w:val="en-US"/>
              </w:rPr>
            </w:pPr>
            <w:r w:rsidRPr="004E4F3D">
              <w:rPr>
                <w:sz w:val="22"/>
                <w:szCs w:val="22"/>
                <w:lang w:val="en-US"/>
              </w:rPr>
              <w:t>47</w:t>
            </w:r>
          </w:p>
        </w:tc>
        <w:tc>
          <w:tcPr>
            <w:tcW w:w="696" w:type="dxa"/>
          </w:tcPr>
          <w:p w14:paraId="58FEEDB9" w14:textId="72AD73FE" w:rsidR="007B5302" w:rsidRPr="004E4F3D" w:rsidRDefault="007B5302" w:rsidP="009A7D64">
            <w:pPr>
              <w:spacing w:before="60"/>
              <w:rPr>
                <w:sz w:val="22"/>
                <w:szCs w:val="22"/>
                <w:lang w:val="en-US"/>
              </w:rPr>
            </w:pPr>
            <w:r w:rsidRPr="004E4F3D">
              <w:rPr>
                <w:sz w:val="22"/>
                <w:szCs w:val="22"/>
                <w:lang w:val="en-US"/>
              </w:rPr>
              <w:t>13</w:t>
            </w:r>
          </w:p>
        </w:tc>
        <w:tc>
          <w:tcPr>
            <w:tcW w:w="696" w:type="dxa"/>
          </w:tcPr>
          <w:p w14:paraId="46F2A9A6" w14:textId="0347DEAC" w:rsidR="007B5302" w:rsidRPr="0094242C" w:rsidRDefault="007B5302" w:rsidP="009A7D64">
            <w:pPr>
              <w:spacing w:before="60"/>
              <w:rPr>
                <w:sz w:val="22"/>
                <w:szCs w:val="22"/>
                <w:lang w:val="en-US"/>
              </w:rPr>
            </w:pPr>
            <w:r w:rsidRPr="0094242C">
              <w:rPr>
                <w:sz w:val="22"/>
                <w:szCs w:val="22"/>
                <w:lang w:val="en-US"/>
              </w:rPr>
              <w:t>36</w:t>
            </w:r>
          </w:p>
        </w:tc>
        <w:tc>
          <w:tcPr>
            <w:tcW w:w="696" w:type="dxa"/>
          </w:tcPr>
          <w:p w14:paraId="66631E2B" w14:textId="773628A6" w:rsidR="007B5302" w:rsidRPr="004E4F3D" w:rsidRDefault="007B5302" w:rsidP="009A7D64">
            <w:pPr>
              <w:spacing w:before="60"/>
              <w:rPr>
                <w:sz w:val="22"/>
                <w:szCs w:val="22"/>
                <w:lang w:val="en-US"/>
              </w:rPr>
            </w:pPr>
            <w:r w:rsidRPr="004E4F3D">
              <w:rPr>
                <w:sz w:val="22"/>
                <w:szCs w:val="22"/>
                <w:lang w:val="en-US"/>
              </w:rPr>
              <w:t>7</w:t>
            </w:r>
          </w:p>
        </w:tc>
        <w:tc>
          <w:tcPr>
            <w:tcW w:w="696" w:type="dxa"/>
          </w:tcPr>
          <w:p w14:paraId="038941CC" w14:textId="73C26309" w:rsidR="007B5302" w:rsidRPr="004E4F3D" w:rsidRDefault="007B5302" w:rsidP="009A7D64">
            <w:pPr>
              <w:spacing w:before="60"/>
              <w:rPr>
                <w:sz w:val="22"/>
                <w:szCs w:val="22"/>
                <w:lang w:val="en-US"/>
              </w:rPr>
            </w:pPr>
            <w:r w:rsidRPr="004E4F3D">
              <w:rPr>
                <w:sz w:val="22"/>
                <w:szCs w:val="22"/>
                <w:lang w:val="en-US"/>
              </w:rPr>
              <w:t>16</w:t>
            </w:r>
          </w:p>
        </w:tc>
        <w:tc>
          <w:tcPr>
            <w:tcW w:w="696" w:type="dxa"/>
          </w:tcPr>
          <w:p w14:paraId="3BF96AEF" w14:textId="035E556C" w:rsidR="007B5302" w:rsidRPr="004E4F3D" w:rsidRDefault="007B5302" w:rsidP="009A7D64">
            <w:pPr>
              <w:spacing w:before="60"/>
              <w:rPr>
                <w:sz w:val="22"/>
                <w:szCs w:val="22"/>
                <w:lang w:val="en-US"/>
              </w:rPr>
            </w:pPr>
            <w:r w:rsidRPr="004E4F3D">
              <w:rPr>
                <w:sz w:val="22"/>
                <w:szCs w:val="22"/>
                <w:lang w:val="en-US"/>
              </w:rPr>
              <w:t>2</w:t>
            </w:r>
          </w:p>
        </w:tc>
        <w:tc>
          <w:tcPr>
            <w:tcW w:w="696" w:type="dxa"/>
          </w:tcPr>
          <w:p w14:paraId="43ADF159" w14:textId="54FFBB2B"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0310ACB1" w14:textId="71BC3D88" w:rsidR="007B5302" w:rsidRPr="004E4F3D" w:rsidRDefault="007B5302" w:rsidP="009A7D64">
            <w:pPr>
              <w:spacing w:before="60"/>
              <w:rPr>
                <w:sz w:val="22"/>
                <w:szCs w:val="22"/>
                <w:lang w:val="en-US"/>
              </w:rPr>
            </w:pPr>
            <w:r w:rsidRPr="004E4F3D">
              <w:rPr>
                <w:sz w:val="22"/>
                <w:szCs w:val="22"/>
                <w:lang w:val="en-US"/>
              </w:rPr>
              <w:t>0</w:t>
            </w:r>
          </w:p>
        </w:tc>
        <w:tc>
          <w:tcPr>
            <w:tcW w:w="708" w:type="dxa"/>
          </w:tcPr>
          <w:p w14:paraId="659F4682" w14:textId="2C6D86BD" w:rsidR="007B5302" w:rsidRPr="004E4F3D" w:rsidRDefault="00FB25A8" w:rsidP="009A7D64">
            <w:pPr>
              <w:spacing w:before="60"/>
              <w:rPr>
                <w:sz w:val="22"/>
                <w:szCs w:val="22"/>
                <w:lang w:val="en-US"/>
              </w:rPr>
            </w:pPr>
            <w:r>
              <w:rPr>
                <w:sz w:val="22"/>
                <w:szCs w:val="22"/>
                <w:lang w:val="en-US"/>
              </w:rPr>
              <w:t>454</w:t>
            </w:r>
          </w:p>
        </w:tc>
        <w:tc>
          <w:tcPr>
            <w:tcW w:w="709" w:type="dxa"/>
          </w:tcPr>
          <w:p w14:paraId="57D3BEC7" w14:textId="33AEFCEC" w:rsidR="007B5302" w:rsidRPr="004E4F3D" w:rsidRDefault="007B5302" w:rsidP="009A7D64">
            <w:pPr>
              <w:spacing w:before="60"/>
              <w:rPr>
                <w:sz w:val="22"/>
                <w:szCs w:val="22"/>
                <w:lang w:val="en-US"/>
              </w:rPr>
            </w:pPr>
            <w:r w:rsidRPr="004E4F3D">
              <w:rPr>
                <w:sz w:val="22"/>
                <w:szCs w:val="22"/>
                <w:lang w:val="en-US"/>
              </w:rPr>
              <w:t>536</w:t>
            </w:r>
          </w:p>
        </w:tc>
        <w:tc>
          <w:tcPr>
            <w:tcW w:w="671" w:type="dxa"/>
          </w:tcPr>
          <w:p w14:paraId="5B8E6843" w14:textId="47CB994D" w:rsidR="007B5302" w:rsidRPr="004E4F3D" w:rsidRDefault="00821D0E" w:rsidP="009A7D64">
            <w:pPr>
              <w:spacing w:before="60"/>
              <w:rPr>
                <w:sz w:val="22"/>
                <w:szCs w:val="22"/>
                <w:lang w:val="en-US"/>
              </w:rPr>
            </w:pPr>
            <w:r>
              <w:rPr>
                <w:sz w:val="22"/>
                <w:szCs w:val="22"/>
                <w:lang w:val="en-US"/>
              </w:rPr>
              <w:t>568</w:t>
            </w:r>
          </w:p>
        </w:tc>
      </w:tr>
      <w:tr w:rsidR="007B5302" w:rsidRPr="004E4F3D" w14:paraId="1C261DAD" w14:textId="77777777" w:rsidTr="0070089A">
        <w:tc>
          <w:tcPr>
            <w:tcW w:w="733" w:type="dxa"/>
          </w:tcPr>
          <w:p w14:paraId="09D4D6BE" w14:textId="756BCA1E" w:rsidR="007B5302" w:rsidRPr="004E4F3D" w:rsidRDefault="007B5302" w:rsidP="009A7D64">
            <w:pPr>
              <w:spacing w:before="60"/>
              <w:rPr>
                <w:sz w:val="22"/>
                <w:szCs w:val="22"/>
                <w:lang w:val="en-US"/>
              </w:rPr>
            </w:pPr>
            <w:r w:rsidRPr="004E4F3D">
              <w:rPr>
                <w:sz w:val="22"/>
                <w:szCs w:val="22"/>
                <w:lang w:val="en-US"/>
              </w:rPr>
              <w:t>A</w:t>
            </w:r>
            <w:r w:rsidR="00A26297" w:rsidRPr="004E4F3D">
              <w:rPr>
                <w:sz w:val="22"/>
                <w:szCs w:val="22"/>
                <w:lang w:val="en-US"/>
              </w:rPr>
              <w:t>gri</w:t>
            </w:r>
          </w:p>
        </w:tc>
        <w:tc>
          <w:tcPr>
            <w:tcW w:w="696" w:type="dxa"/>
          </w:tcPr>
          <w:p w14:paraId="453EE3C1" w14:textId="77777777" w:rsidR="007B5302" w:rsidRPr="004E4F3D" w:rsidRDefault="007B5302" w:rsidP="009A7D64">
            <w:pPr>
              <w:spacing w:before="60"/>
              <w:rPr>
                <w:sz w:val="22"/>
                <w:szCs w:val="22"/>
                <w:lang w:val="en-US"/>
              </w:rPr>
            </w:pPr>
          </w:p>
        </w:tc>
        <w:tc>
          <w:tcPr>
            <w:tcW w:w="696" w:type="dxa"/>
          </w:tcPr>
          <w:p w14:paraId="18B44DD0" w14:textId="77777777" w:rsidR="007B5302" w:rsidRPr="004E4F3D" w:rsidRDefault="007B5302" w:rsidP="009A7D64">
            <w:pPr>
              <w:spacing w:before="60"/>
              <w:rPr>
                <w:sz w:val="22"/>
                <w:szCs w:val="22"/>
                <w:lang w:val="en-US"/>
              </w:rPr>
            </w:pPr>
          </w:p>
        </w:tc>
        <w:tc>
          <w:tcPr>
            <w:tcW w:w="696" w:type="dxa"/>
          </w:tcPr>
          <w:p w14:paraId="5819F137" w14:textId="6EC41D65" w:rsidR="007B5302" w:rsidRPr="004E4F3D" w:rsidRDefault="007B5302" w:rsidP="009A7D64">
            <w:pPr>
              <w:spacing w:before="60"/>
              <w:rPr>
                <w:sz w:val="22"/>
                <w:szCs w:val="22"/>
                <w:lang w:val="en-US"/>
              </w:rPr>
            </w:pPr>
            <w:r w:rsidRPr="004E4F3D">
              <w:rPr>
                <w:sz w:val="22"/>
                <w:szCs w:val="22"/>
                <w:lang w:val="en-US"/>
              </w:rPr>
              <w:t>597</w:t>
            </w:r>
          </w:p>
        </w:tc>
        <w:tc>
          <w:tcPr>
            <w:tcW w:w="696" w:type="dxa"/>
          </w:tcPr>
          <w:p w14:paraId="76479DD9" w14:textId="5AF63B78" w:rsidR="007B5302" w:rsidRPr="004E4F3D" w:rsidRDefault="007B5302" w:rsidP="009A7D64">
            <w:pPr>
              <w:spacing w:before="60"/>
              <w:rPr>
                <w:sz w:val="22"/>
                <w:szCs w:val="22"/>
                <w:lang w:val="en-US"/>
              </w:rPr>
            </w:pPr>
            <w:r w:rsidRPr="004E4F3D">
              <w:rPr>
                <w:sz w:val="22"/>
                <w:szCs w:val="22"/>
                <w:lang w:val="en-US"/>
              </w:rPr>
              <w:t>137</w:t>
            </w:r>
          </w:p>
        </w:tc>
        <w:tc>
          <w:tcPr>
            <w:tcW w:w="696" w:type="dxa"/>
          </w:tcPr>
          <w:p w14:paraId="347F89FD" w14:textId="335457D7" w:rsidR="007B5302" w:rsidRPr="004E4F3D" w:rsidRDefault="007B5302" w:rsidP="009A7D64">
            <w:pPr>
              <w:spacing w:before="60"/>
              <w:rPr>
                <w:sz w:val="22"/>
                <w:szCs w:val="22"/>
                <w:lang w:val="en-US"/>
              </w:rPr>
            </w:pPr>
            <w:r w:rsidRPr="004E4F3D">
              <w:rPr>
                <w:sz w:val="22"/>
                <w:szCs w:val="22"/>
                <w:lang w:val="en-US"/>
              </w:rPr>
              <w:t>23</w:t>
            </w:r>
          </w:p>
        </w:tc>
        <w:tc>
          <w:tcPr>
            <w:tcW w:w="696" w:type="dxa"/>
          </w:tcPr>
          <w:p w14:paraId="1BDD8801" w14:textId="45BAA680" w:rsidR="007B5302" w:rsidRPr="004E4F3D" w:rsidRDefault="007B5302" w:rsidP="009A7D64">
            <w:pPr>
              <w:spacing w:before="60"/>
              <w:rPr>
                <w:sz w:val="22"/>
                <w:szCs w:val="22"/>
                <w:lang w:val="en-US"/>
              </w:rPr>
            </w:pPr>
            <w:r w:rsidRPr="004E4F3D">
              <w:rPr>
                <w:sz w:val="22"/>
                <w:szCs w:val="22"/>
                <w:lang w:val="en-US"/>
              </w:rPr>
              <w:t>133</w:t>
            </w:r>
          </w:p>
        </w:tc>
        <w:tc>
          <w:tcPr>
            <w:tcW w:w="696" w:type="dxa"/>
          </w:tcPr>
          <w:p w14:paraId="1CB740B8" w14:textId="24925CB6" w:rsidR="007B5302" w:rsidRPr="004E4F3D" w:rsidRDefault="007B5302" w:rsidP="009A7D64">
            <w:pPr>
              <w:spacing w:before="60"/>
              <w:rPr>
                <w:sz w:val="22"/>
                <w:szCs w:val="22"/>
                <w:lang w:val="en-US"/>
              </w:rPr>
            </w:pPr>
            <w:r w:rsidRPr="004E4F3D">
              <w:rPr>
                <w:sz w:val="22"/>
                <w:szCs w:val="22"/>
                <w:lang w:val="en-US"/>
              </w:rPr>
              <w:t>18</w:t>
            </w:r>
          </w:p>
        </w:tc>
        <w:tc>
          <w:tcPr>
            <w:tcW w:w="696" w:type="dxa"/>
          </w:tcPr>
          <w:p w14:paraId="3D3A88B8" w14:textId="36888489" w:rsidR="007B5302" w:rsidRPr="004E4F3D" w:rsidRDefault="007B5302" w:rsidP="009A7D64">
            <w:pPr>
              <w:spacing w:before="60"/>
              <w:rPr>
                <w:sz w:val="22"/>
                <w:szCs w:val="22"/>
                <w:lang w:val="en-US"/>
              </w:rPr>
            </w:pPr>
            <w:r w:rsidRPr="004E4F3D">
              <w:rPr>
                <w:sz w:val="22"/>
                <w:szCs w:val="22"/>
                <w:lang w:val="en-US"/>
              </w:rPr>
              <w:t>39</w:t>
            </w:r>
          </w:p>
        </w:tc>
        <w:tc>
          <w:tcPr>
            <w:tcW w:w="696" w:type="dxa"/>
          </w:tcPr>
          <w:p w14:paraId="099BC553" w14:textId="2E514F17"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37EDC9C2" w14:textId="0053FE99"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063A3B05" w14:textId="315AF3DF" w:rsidR="007B5302" w:rsidRPr="004E4F3D" w:rsidRDefault="007B5302" w:rsidP="009A7D64">
            <w:pPr>
              <w:spacing w:before="60"/>
              <w:rPr>
                <w:sz w:val="22"/>
                <w:szCs w:val="22"/>
                <w:lang w:val="en-US"/>
              </w:rPr>
            </w:pPr>
            <w:r w:rsidRPr="004E4F3D">
              <w:rPr>
                <w:sz w:val="22"/>
                <w:szCs w:val="22"/>
                <w:lang w:val="en-US"/>
              </w:rPr>
              <w:t>7</w:t>
            </w:r>
          </w:p>
        </w:tc>
        <w:tc>
          <w:tcPr>
            <w:tcW w:w="696" w:type="dxa"/>
          </w:tcPr>
          <w:p w14:paraId="3861F1B1" w14:textId="094A8603"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2081E174" w14:textId="0B03D458" w:rsidR="007B5302" w:rsidRPr="004E4F3D" w:rsidRDefault="007B5302" w:rsidP="009A7D64">
            <w:pPr>
              <w:spacing w:before="60"/>
              <w:rPr>
                <w:sz w:val="22"/>
                <w:szCs w:val="22"/>
                <w:lang w:val="en-US"/>
              </w:rPr>
            </w:pPr>
            <w:r w:rsidRPr="004E4F3D">
              <w:rPr>
                <w:sz w:val="22"/>
                <w:szCs w:val="22"/>
                <w:lang w:val="en-US"/>
              </w:rPr>
              <w:t>39</w:t>
            </w:r>
          </w:p>
        </w:tc>
        <w:tc>
          <w:tcPr>
            <w:tcW w:w="708" w:type="dxa"/>
          </w:tcPr>
          <w:p w14:paraId="5F1F3E37" w14:textId="7221420C" w:rsidR="007B5302" w:rsidRPr="004E4F3D" w:rsidRDefault="007B5302" w:rsidP="009A7D64">
            <w:pPr>
              <w:spacing w:before="60"/>
              <w:rPr>
                <w:sz w:val="22"/>
                <w:szCs w:val="22"/>
                <w:lang w:val="en-US"/>
              </w:rPr>
            </w:pPr>
            <w:r w:rsidRPr="004E4F3D">
              <w:rPr>
                <w:sz w:val="22"/>
                <w:szCs w:val="22"/>
                <w:lang w:val="en-US"/>
              </w:rPr>
              <w:t>127</w:t>
            </w:r>
          </w:p>
        </w:tc>
        <w:tc>
          <w:tcPr>
            <w:tcW w:w="709" w:type="dxa"/>
          </w:tcPr>
          <w:p w14:paraId="5B66BF97" w14:textId="5B29B782" w:rsidR="007B5302" w:rsidRPr="004E4F3D" w:rsidRDefault="007B5302" w:rsidP="009A7D64">
            <w:pPr>
              <w:spacing w:before="60"/>
              <w:rPr>
                <w:sz w:val="22"/>
                <w:szCs w:val="22"/>
                <w:lang w:val="en-US"/>
              </w:rPr>
            </w:pPr>
            <w:r w:rsidRPr="004E4F3D">
              <w:rPr>
                <w:sz w:val="22"/>
                <w:szCs w:val="22"/>
                <w:lang w:val="en-US"/>
              </w:rPr>
              <w:t>519</w:t>
            </w:r>
          </w:p>
        </w:tc>
        <w:tc>
          <w:tcPr>
            <w:tcW w:w="671" w:type="dxa"/>
          </w:tcPr>
          <w:p w14:paraId="790A4D64" w14:textId="1A5CDC67" w:rsidR="007B5302" w:rsidRPr="004E4F3D" w:rsidRDefault="00025F32" w:rsidP="009A7D64">
            <w:pPr>
              <w:spacing w:before="60"/>
              <w:rPr>
                <w:sz w:val="22"/>
                <w:szCs w:val="22"/>
                <w:lang w:val="en-US"/>
              </w:rPr>
            </w:pPr>
            <w:r w:rsidRPr="004E4F3D">
              <w:rPr>
                <w:sz w:val="22"/>
                <w:szCs w:val="22"/>
                <w:lang w:val="en-US"/>
              </w:rPr>
              <w:t>462</w:t>
            </w:r>
          </w:p>
        </w:tc>
      </w:tr>
      <w:tr w:rsidR="007B5302" w:rsidRPr="004E4F3D" w14:paraId="38FE07ED" w14:textId="77777777" w:rsidTr="0070089A">
        <w:tc>
          <w:tcPr>
            <w:tcW w:w="733" w:type="dxa"/>
          </w:tcPr>
          <w:p w14:paraId="7D4D2786" w14:textId="5B4EC199" w:rsidR="007B5302" w:rsidRPr="004E4F3D" w:rsidRDefault="00A26297" w:rsidP="009A7D64">
            <w:pPr>
              <w:spacing w:before="60"/>
              <w:rPr>
                <w:sz w:val="22"/>
                <w:szCs w:val="22"/>
                <w:lang w:val="en-US"/>
              </w:rPr>
            </w:pPr>
            <w:r w:rsidRPr="004E4F3D">
              <w:rPr>
                <w:sz w:val="22"/>
                <w:szCs w:val="22"/>
                <w:lang w:val="en-US"/>
              </w:rPr>
              <w:t>FG</w:t>
            </w:r>
          </w:p>
        </w:tc>
        <w:tc>
          <w:tcPr>
            <w:tcW w:w="696" w:type="dxa"/>
          </w:tcPr>
          <w:p w14:paraId="13F229EE" w14:textId="77777777" w:rsidR="007B5302" w:rsidRPr="004E4F3D" w:rsidRDefault="007B5302" w:rsidP="009A7D64">
            <w:pPr>
              <w:spacing w:before="60"/>
              <w:rPr>
                <w:sz w:val="22"/>
                <w:szCs w:val="22"/>
                <w:lang w:val="en-US"/>
              </w:rPr>
            </w:pPr>
          </w:p>
        </w:tc>
        <w:tc>
          <w:tcPr>
            <w:tcW w:w="696" w:type="dxa"/>
          </w:tcPr>
          <w:p w14:paraId="4C3F58D1" w14:textId="77777777" w:rsidR="007B5302" w:rsidRPr="004E4F3D" w:rsidRDefault="007B5302" w:rsidP="009A7D64">
            <w:pPr>
              <w:spacing w:before="60"/>
              <w:rPr>
                <w:sz w:val="22"/>
                <w:szCs w:val="22"/>
                <w:lang w:val="en-US"/>
              </w:rPr>
            </w:pPr>
          </w:p>
        </w:tc>
        <w:tc>
          <w:tcPr>
            <w:tcW w:w="696" w:type="dxa"/>
          </w:tcPr>
          <w:p w14:paraId="353F1D19" w14:textId="77777777" w:rsidR="007B5302" w:rsidRPr="004E4F3D" w:rsidRDefault="007B5302" w:rsidP="009A7D64">
            <w:pPr>
              <w:spacing w:before="60"/>
              <w:rPr>
                <w:sz w:val="22"/>
                <w:szCs w:val="22"/>
                <w:lang w:val="en-US"/>
              </w:rPr>
            </w:pPr>
          </w:p>
        </w:tc>
        <w:tc>
          <w:tcPr>
            <w:tcW w:w="696" w:type="dxa"/>
          </w:tcPr>
          <w:p w14:paraId="514C1362" w14:textId="4BA322AE" w:rsidR="007B5302" w:rsidRPr="004E4F3D" w:rsidRDefault="0094242C" w:rsidP="009A7D64">
            <w:pPr>
              <w:spacing w:before="60"/>
              <w:rPr>
                <w:sz w:val="22"/>
                <w:szCs w:val="22"/>
                <w:lang w:val="en-US"/>
              </w:rPr>
            </w:pPr>
            <w:r>
              <w:rPr>
                <w:sz w:val="22"/>
                <w:szCs w:val="22"/>
                <w:lang w:val="en-US"/>
              </w:rPr>
              <w:t>441</w:t>
            </w:r>
          </w:p>
        </w:tc>
        <w:tc>
          <w:tcPr>
            <w:tcW w:w="696" w:type="dxa"/>
          </w:tcPr>
          <w:p w14:paraId="6E90857E" w14:textId="00EFB9D4" w:rsidR="007B5302" w:rsidRPr="004E4F3D" w:rsidRDefault="007B5302" w:rsidP="009A7D64">
            <w:pPr>
              <w:spacing w:before="60"/>
              <w:rPr>
                <w:sz w:val="22"/>
                <w:szCs w:val="22"/>
                <w:lang w:val="en-US"/>
              </w:rPr>
            </w:pPr>
            <w:r w:rsidRPr="004E4F3D">
              <w:rPr>
                <w:sz w:val="22"/>
                <w:szCs w:val="22"/>
                <w:lang w:val="en-US"/>
              </w:rPr>
              <w:t>122</w:t>
            </w:r>
          </w:p>
        </w:tc>
        <w:tc>
          <w:tcPr>
            <w:tcW w:w="696" w:type="dxa"/>
          </w:tcPr>
          <w:p w14:paraId="395E2C62" w14:textId="07B8AA0C" w:rsidR="007B5302" w:rsidRPr="004E4F3D" w:rsidRDefault="007B5302" w:rsidP="009A7D64">
            <w:pPr>
              <w:spacing w:before="60"/>
              <w:rPr>
                <w:sz w:val="22"/>
                <w:szCs w:val="22"/>
                <w:lang w:val="en-US"/>
              </w:rPr>
            </w:pPr>
            <w:r w:rsidRPr="004E4F3D">
              <w:rPr>
                <w:sz w:val="22"/>
                <w:szCs w:val="22"/>
                <w:lang w:val="en-US"/>
              </w:rPr>
              <w:t>195</w:t>
            </w:r>
          </w:p>
        </w:tc>
        <w:tc>
          <w:tcPr>
            <w:tcW w:w="696" w:type="dxa"/>
          </w:tcPr>
          <w:p w14:paraId="6CD97DF2" w14:textId="7B0B0FB2" w:rsidR="007B5302" w:rsidRPr="004E4F3D" w:rsidRDefault="0094242C" w:rsidP="009A7D64">
            <w:pPr>
              <w:spacing w:before="60"/>
              <w:rPr>
                <w:sz w:val="22"/>
                <w:szCs w:val="22"/>
                <w:lang w:val="en-US"/>
              </w:rPr>
            </w:pPr>
            <w:r>
              <w:rPr>
                <w:sz w:val="22"/>
                <w:szCs w:val="22"/>
                <w:lang w:val="en-US"/>
              </w:rPr>
              <w:t>37</w:t>
            </w:r>
          </w:p>
        </w:tc>
        <w:tc>
          <w:tcPr>
            <w:tcW w:w="696" w:type="dxa"/>
          </w:tcPr>
          <w:p w14:paraId="6EC19EA7" w14:textId="5445CF55" w:rsidR="007B5302" w:rsidRPr="004E4F3D" w:rsidRDefault="007B5302" w:rsidP="009A7D64">
            <w:pPr>
              <w:spacing w:before="60"/>
              <w:rPr>
                <w:sz w:val="22"/>
                <w:szCs w:val="22"/>
                <w:lang w:val="en-US"/>
              </w:rPr>
            </w:pPr>
            <w:r w:rsidRPr="004E4F3D">
              <w:rPr>
                <w:sz w:val="22"/>
                <w:szCs w:val="22"/>
                <w:lang w:val="en-US"/>
              </w:rPr>
              <w:t>1</w:t>
            </w:r>
          </w:p>
        </w:tc>
        <w:tc>
          <w:tcPr>
            <w:tcW w:w="696" w:type="dxa"/>
          </w:tcPr>
          <w:p w14:paraId="14F062AF" w14:textId="152FE1EC" w:rsidR="007B5302" w:rsidRPr="004E4F3D" w:rsidRDefault="007B5302" w:rsidP="009A7D64">
            <w:pPr>
              <w:spacing w:before="60"/>
              <w:rPr>
                <w:sz w:val="22"/>
                <w:szCs w:val="22"/>
                <w:lang w:val="en-US"/>
              </w:rPr>
            </w:pPr>
            <w:r w:rsidRPr="004E4F3D">
              <w:rPr>
                <w:sz w:val="22"/>
                <w:szCs w:val="22"/>
                <w:lang w:val="en-US"/>
              </w:rPr>
              <w:t>3</w:t>
            </w:r>
          </w:p>
        </w:tc>
        <w:tc>
          <w:tcPr>
            <w:tcW w:w="696" w:type="dxa"/>
          </w:tcPr>
          <w:p w14:paraId="65068A58" w14:textId="68FADFBE" w:rsidR="007B5302" w:rsidRPr="004E4F3D" w:rsidRDefault="007B5302" w:rsidP="009A7D64">
            <w:pPr>
              <w:spacing w:before="60"/>
              <w:rPr>
                <w:sz w:val="22"/>
                <w:szCs w:val="22"/>
                <w:lang w:val="en-US"/>
              </w:rPr>
            </w:pPr>
            <w:r w:rsidRPr="004E4F3D">
              <w:rPr>
                <w:sz w:val="22"/>
                <w:szCs w:val="22"/>
                <w:lang w:val="en-US"/>
              </w:rPr>
              <w:t>1</w:t>
            </w:r>
          </w:p>
        </w:tc>
        <w:tc>
          <w:tcPr>
            <w:tcW w:w="696" w:type="dxa"/>
          </w:tcPr>
          <w:p w14:paraId="5276FE63" w14:textId="7B666106" w:rsidR="007B5302" w:rsidRPr="004E4F3D" w:rsidRDefault="007B5302" w:rsidP="009A7D64">
            <w:pPr>
              <w:spacing w:before="60"/>
              <w:rPr>
                <w:sz w:val="22"/>
                <w:szCs w:val="22"/>
                <w:lang w:val="en-US"/>
              </w:rPr>
            </w:pPr>
            <w:r w:rsidRPr="004E4F3D">
              <w:rPr>
                <w:sz w:val="22"/>
                <w:szCs w:val="22"/>
                <w:lang w:val="en-US"/>
              </w:rPr>
              <w:t>22</w:t>
            </w:r>
          </w:p>
        </w:tc>
        <w:tc>
          <w:tcPr>
            <w:tcW w:w="696" w:type="dxa"/>
          </w:tcPr>
          <w:p w14:paraId="46F649B4" w14:textId="21A51DB1"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71766244" w14:textId="5670C22D" w:rsidR="007B5302" w:rsidRPr="004E4F3D" w:rsidRDefault="007B5302" w:rsidP="009A7D64">
            <w:pPr>
              <w:spacing w:before="60"/>
              <w:rPr>
                <w:sz w:val="22"/>
                <w:szCs w:val="22"/>
                <w:lang w:val="en-US"/>
              </w:rPr>
            </w:pPr>
            <w:r w:rsidRPr="004E4F3D">
              <w:rPr>
                <w:sz w:val="22"/>
                <w:szCs w:val="22"/>
                <w:lang w:val="en-US"/>
              </w:rPr>
              <w:t>35</w:t>
            </w:r>
          </w:p>
        </w:tc>
        <w:tc>
          <w:tcPr>
            <w:tcW w:w="708" w:type="dxa"/>
          </w:tcPr>
          <w:p w14:paraId="16A4266B" w14:textId="377016FF" w:rsidR="007B5302" w:rsidRPr="004E4F3D" w:rsidRDefault="007B5302" w:rsidP="009A7D64">
            <w:pPr>
              <w:spacing w:before="60"/>
              <w:rPr>
                <w:sz w:val="22"/>
                <w:szCs w:val="22"/>
                <w:lang w:val="en-US"/>
              </w:rPr>
            </w:pPr>
            <w:r w:rsidRPr="004E4F3D">
              <w:rPr>
                <w:sz w:val="22"/>
                <w:szCs w:val="22"/>
                <w:lang w:val="en-US"/>
              </w:rPr>
              <w:t>233</w:t>
            </w:r>
          </w:p>
        </w:tc>
        <w:tc>
          <w:tcPr>
            <w:tcW w:w="709" w:type="dxa"/>
          </w:tcPr>
          <w:p w14:paraId="5AECC64D" w14:textId="6A71E4E5" w:rsidR="007B5302" w:rsidRPr="004E4F3D" w:rsidRDefault="007B5302" w:rsidP="009A7D64">
            <w:pPr>
              <w:spacing w:before="60"/>
              <w:rPr>
                <w:sz w:val="22"/>
                <w:szCs w:val="22"/>
                <w:lang w:val="en-US"/>
              </w:rPr>
            </w:pPr>
            <w:r w:rsidRPr="004E4F3D">
              <w:rPr>
                <w:sz w:val="22"/>
                <w:szCs w:val="22"/>
                <w:lang w:val="en-US"/>
              </w:rPr>
              <w:t>340</w:t>
            </w:r>
          </w:p>
        </w:tc>
        <w:tc>
          <w:tcPr>
            <w:tcW w:w="671" w:type="dxa"/>
          </w:tcPr>
          <w:p w14:paraId="342A2E1B" w14:textId="25E21C4B" w:rsidR="007B5302" w:rsidRPr="004E4F3D" w:rsidRDefault="00821D0E" w:rsidP="009A7D64">
            <w:pPr>
              <w:spacing w:before="60"/>
              <w:rPr>
                <w:sz w:val="22"/>
                <w:szCs w:val="22"/>
                <w:lang w:val="en-US"/>
              </w:rPr>
            </w:pPr>
            <w:r>
              <w:rPr>
                <w:sz w:val="22"/>
                <w:szCs w:val="22"/>
                <w:lang w:val="en-US"/>
              </w:rPr>
              <w:t>232</w:t>
            </w:r>
          </w:p>
        </w:tc>
      </w:tr>
      <w:tr w:rsidR="007B5302" w:rsidRPr="004E4F3D" w14:paraId="149D6139" w14:textId="77777777" w:rsidTr="0070089A">
        <w:tc>
          <w:tcPr>
            <w:tcW w:w="733" w:type="dxa"/>
          </w:tcPr>
          <w:p w14:paraId="0482CF77" w14:textId="13F137CA" w:rsidR="007B5302" w:rsidRPr="004E4F3D" w:rsidRDefault="00A26297" w:rsidP="009A7D64">
            <w:pPr>
              <w:spacing w:before="60"/>
              <w:rPr>
                <w:sz w:val="22"/>
                <w:szCs w:val="22"/>
                <w:lang w:val="en-US"/>
              </w:rPr>
            </w:pPr>
            <w:r w:rsidRPr="004E4F3D">
              <w:rPr>
                <w:sz w:val="22"/>
                <w:szCs w:val="22"/>
                <w:lang w:val="en-US"/>
              </w:rPr>
              <w:t>Com</w:t>
            </w:r>
          </w:p>
        </w:tc>
        <w:tc>
          <w:tcPr>
            <w:tcW w:w="696" w:type="dxa"/>
          </w:tcPr>
          <w:p w14:paraId="295DBCD5" w14:textId="77777777" w:rsidR="007B5302" w:rsidRPr="004E4F3D" w:rsidRDefault="007B5302" w:rsidP="009A7D64">
            <w:pPr>
              <w:spacing w:before="60"/>
              <w:rPr>
                <w:sz w:val="22"/>
                <w:szCs w:val="22"/>
                <w:lang w:val="en-US"/>
              </w:rPr>
            </w:pPr>
          </w:p>
        </w:tc>
        <w:tc>
          <w:tcPr>
            <w:tcW w:w="696" w:type="dxa"/>
          </w:tcPr>
          <w:p w14:paraId="0C21FE7D" w14:textId="77777777" w:rsidR="007B5302" w:rsidRPr="004E4F3D" w:rsidRDefault="007B5302" w:rsidP="009A7D64">
            <w:pPr>
              <w:spacing w:before="60"/>
              <w:rPr>
                <w:sz w:val="22"/>
                <w:szCs w:val="22"/>
                <w:lang w:val="en-US"/>
              </w:rPr>
            </w:pPr>
          </w:p>
        </w:tc>
        <w:tc>
          <w:tcPr>
            <w:tcW w:w="696" w:type="dxa"/>
          </w:tcPr>
          <w:p w14:paraId="0F2CC35A" w14:textId="77777777" w:rsidR="007B5302" w:rsidRPr="004E4F3D" w:rsidRDefault="007B5302" w:rsidP="009A7D64">
            <w:pPr>
              <w:spacing w:before="60"/>
              <w:rPr>
                <w:sz w:val="22"/>
                <w:szCs w:val="22"/>
                <w:lang w:val="en-US"/>
              </w:rPr>
            </w:pPr>
          </w:p>
        </w:tc>
        <w:tc>
          <w:tcPr>
            <w:tcW w:w="696" w:type="dxa"/>
          </w:tcPr>
          <w:p w14:paraId="434F012D" w14:textId="77777777" w:rsidR="007B5302" w:rsidRPr="004E4F3D" w:rsidRDefault="007B5302" w:rsidP="009A7D64">
            <w:pPr>
              <w:spacing w:before="60"/>
              <w:rPr>
                <w:sz w:val="22"/>
                <w:szCs w:val="22"/>
                <w:lang w:val="en-US"/>
              </w:rPr>
            </w:pPr>
          </w:p>
        </w:tc>
        <w:tc>
          <w:tcPr>
            <w:tcW w:w="696" w:type="dxa"/>
          </w:tcPr>
          <w:p w14:paraId="48ECFF01" w14:textId="2600E989" w:rsidR="007B5302" w:rsidRPr="004E4F3D" w:rsidRDefault="007B5302" w:rsidP="009A7D64">
            <w:pPr>
              <w:spacing w:before="60"/>
              <w:rPr>
                <w:sz w:val="22"/>
                <w:szCs w:val="22"/>
                <w:lang w:val="en-US"/>
              </w:rPr>
            </w:pPr>
            <w:r w:rsidRPr="004E4F3D">
              <w:rPr>
                <w:sz w:val="22"/>
                <w:szCs w:val="22"/>
                <w:lang w:val="en-US"/>
              </w:rPr>
              <w:t>385</w:t>
            </w:r>
          </w:p>
        </w:tc>
        <w:tc>
          <w:tcPr>
            <w:tcW w:w="696" w:type="dxa"/>
          </w:tcPr>
          <w:p w14:paraId="46FF932B" w14:textId="274E2959" w:rsidR="007B5302" w:rsidRPr="004E4F3D" w:rsidRDefault="007B5302" w:rsidP="009A7D64">
            <w:pPr>
              <w:spacing w:before="60"/>
              <w:rPr>
                <w:sz w:val="22"/>
                <w:szCs w:val="22"/>
                <w:lang w:val="en-US"/>
              </w:rPr>
            </w:pPr>
            <w:r w:rsidRPr="004E4F3D">
              <w:rPr>
                <w:sz w:val="22"/>
                <w:szCs w:val="22"/>
                <w:lang w:val="en-US"/>
              </w:rPr>
              <w:t>137</w:t>
            </w:r>
          </w:p>
        </w:tc>
        <w:tc>
          <w:tcPr>
            <w:tcW w:w="696" w:type="dxa"/>
          </w:tcPr>
          <w:p w14:paraId="55BDAF3D" w14:textId="7C94FD31" w:rsidR="007B5302" w:rsidRPr="004E4F3D" w:rsidRDefault="007B5302" w:rsidP="009A7D64">
            <w:pPr>
              <w:spacing w:before="60"/>
              <w:rPr>
                <w:sz w:val="22"/>
                <w:szCs w:val="22"/>
                <w:lang w:val="en-US"/>
              </w:rPr>
            </w:pPr>
            <w:r w:rsidRPr="004E4F3D">
              <w:rPr>
                <w:sz w:val="22"/>
                <w:szCs w:val="22"/>
                <w:lang w:val="en-US"/>
              </w:rPr>
              <w:t>57</w:t>
            </w:r>
          </w:p>
        </w:tc>
        <w:tc>
          <w:tcPr>
            <w:tcW w:w="696" w:type="dxa"/>
          </w:tcPr>
          <w:p w14:paraId="68F89019" w14:textId="7AC2340A" w:rsidR="007B5302" w:rsidRPr="004E4F3D" w:rsidRDefault="007B5302" w:rsidP="009A7D64">
            <w:pPr>
              <w:spacing w:before="60"/>
              <w:rPr>
                <w:sz w:val="22"/>
                <w:szCs w:val="22"/>
                <w:lang w:val="en-US"/>
              </w:rPr>
            </w:pPr>
            <w:r w:rsidRPr="004E4F3D">
              <w:rPr>
                <w:sz w:val="22"/>
                <w:szCs w:val="22"/>
                <w:lang w:val="en-US"/>
              </w:rPr>
              <w:t>22</w:t>
            </w:r>
          </w:p>
        </w:tc>
        <w:tc>
          <w:tcPr>
            <w:tcW w:w="696" w:type="dxa"/>
          </w:tcPr>
          <w:p w14:paraId="22BD003A" w14:textId="07534B90" w:rsidR="007B5302" w:rsidRPr="004E4F3D" w:rsidRDefault="007B5302" w:rsidP="009A7D64">
            <w:pPr>
              <w:spacing w:before="60"/>
              <w:rPr>
                <w:sz w:val="22"/>
                <w:szCs w:val="22"/>
                <w:lang w:val="en-US"/>
              </w:rPr>
            </w:pPr>
            <w:r w:rsidRPr="004E4F3D">
              <w:rPr>
                <w:sz w:val="22"/>
                <w:szCs w:val="22"/>
                <w:lang w:val="en-US"/>
              </w:rPr>
              <w:t>4</w:t>
            </w:r>
          </w:p>
        </w:tc>
        <w:tc>
          <w:tcPr>
            <w:tcW w:w="696" w:type="dxa"/>
          </w:tcPr>
          <w:p w14:paraId="47BE6F30" w14:textId="21868465" w:rsidR="007B5302" w:rsidRPr="004E4F3D" w:rsidRDefault="007B5302" w:rsidP="009A7D64">
            <w:pPr>
              <w:spacing w:before="60"/>
              <w:rPr>
                <w:sz w:val="22"/>
                <w:szCs w:val="22"/>
                <w:lang w:val="en-US"/>
              </w:rPr>
            </w:pPr>
            <w:r w:rsidRPr="004E4F3D">
              <w:rPr>
                <w:sz w:val="22"/>
                <w:szCs w:val="22"/>
                <w:lang w:val="en-US"/>
              </w:rPr>
              <w:t>5</w:t>
            </w:r>
          </w:p>
        </w:tc>
        <w:tc>
          <w:tcPr>
            <w:tcW w:w="696" w:type="dxa"/>
          </w:tcPr>
          <w:p w14:paraId="2A1F5469" w14:textId="4091C932" w:rsidR="007B5302" w:rsidRPr="004E4F3D" w:rsidRDefault="007B5302" w:rsidP="009A7D64">
            <w:pPr>
              <w:spacing w:before="60"/>
              <w:rPr>
                <w:sz w:val="22"/>
                <w:szCs w:val="22"/>
                <w:lang w:val="en-US"/>
              </w:rPr>
            </w:pPr>
            <w:r w:rsidRPr="004E4F3D">
              <w:rPr>
                <w:sz w:val="22"/>
                <w:szCs w:val="22"/>
                <w:lang w:val="en-US"/>
              </w:rPr>
              <w:t>6</w:t>
            </w:r>
          </w:p>
        </w:tc>
        <w:tc>
          <w:tcPr>
            <w:tcW w:w="696" w:type="dxa"/>
          </w:tcPr>
          <w:p w14:paraId="6FBC4E2A" w14:textId="33E046FA"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260F9746" w14:textId="3E0FA70F" w:rsidR="007B5302" w:rsidRPr="004E4F3D" w:rsidRDefault="007B5302" w:rsidP="009A7D64">
            <w:pPr>
              <w:spacing w:before="60"/>
              <w:rPr>
                <w:sz w:val="22"/>
                <w:szCs w:val="22"/>
                <w:lang w:val="en-US"/>
              </w:rPr>
            </w:pPr>
            <w:r w:rsidRPr="004E4F3D">
              <w:rPr>
                <w:sz w:val="22"/>
                <w:szCs w:val="22"/>
                <w:lang w:val="en-US"/>
              </w:rPr>
              <w:t>2</w:t>
            </w:r>
          </w:p>
        </w:tc>
        <w:tc>
          <w:tcPr>
            <w:tcW w:w="708" w:type="dxa"/>
          </w:tcPr>
          <w:p w14:paraId="0CA6C460" w14:textId="0C66B903" w:rsidR="007B5302" w:rsidRPr="004E4F3D" w:rsidRDefault="007B5302" w:rsidP="009A7D64">
            <w:pPr>
              <w:spacing w:before="60"/>
              <w:rPr>
                <w:sz w:val="22"/>
                <w:szCs w:val="22"/>
                <w:lang w:val="en-US"/>
              </w:rPr>
            </w:pPr>
            <w:r w:rsidRPr="004E4F3D">
              <w:rPr>
                <w:sz w:val="22"/>
                <w:szCs w:val="22"/>
                <w:lang w:val="en-US"/>
              </w:rPr>
              <w:t>135</w:t>
            </w:r>
          </w:p>
        </w:tc>
        <w:tc>
          <w:tcPr>
            <w:tcW w:w="709" w:type="dxa"/>
          </w:tcPr>
          <w:p w14:paraId="7E8D21B2" w14:textId="2E6709E5" w:rsidR="007B5302" w:rsidRPr="004E4F3D" w:rsidRDefault="007B5302" w:rsidP="009A7D64">
            <w:pPr>
              <w:spacing w:before="60"/>
              <w:rPr>
                <w:sz w:val="22"/>
                <w:szCs w:val="22"/>
                <w:lang w:val="en-US"/>
              </w:rPr>
            </w:pPr>
            <w:r w:rsidRPr="004E4F3D">
              <w:rPr>
                <w:sz w:val="22"/>
                <w:szCs w:val="22"/>
                <w:lang w:val="en-US"/>
              </w:rPr>
              <w:t>360</w:t>
            </w:r>
          </w:p>
        </w:tc>
        <w:tc>
          <w:tcPr>
            <w:tcW w:w="671" w:type="dxa"/>
          </w:tcPr>
          <w:p w14:paraId="5AABFFE2" w14:textId="46CA51F0" w:rsidR="007B5302" w:rsidRPr="004E4F3D" w:rsidRDefault="00025F32" w:rsidP="009A7D64">
            <w:pPr>
              <w:spacing w:before="60"/>
              <w:rPr>
                <w:sz w:val="22"/>
                <w:szCs w:val="22"/>
                <w:lang w:val="en-US"/>
              </w:rPr>
            </w:pPr>
            <w:r w:rsidRPr="00023CA6">
              <w:rPr>
                <w:sz w:val="22"/>
                <w:szCs w:val="22"/>
                <w:lang w:val="en-US"/>
              </w:rPr>
              <w:t>168</w:t>
            </w:r>
          </w:p>
        </w:tc>
      </w:tr>
      <w:tr w:rsidR="007B5302" w:rsidRPr="004E4F3D" w14:paraId="4BB20898" w14:textId="77777777" w:rsidTr="0070089A">
        <w:tc>
          <w:tcPr>
            <w:tcW w:w="733" w:type="dxa"/>
          </w:tcPr>
          <w:p w14:paraId="74A78020" w14:textId="5B38702A" w:rsidR="007B5302" w:rsidRPr="004E4F3D" w:rsidRDefault="007B5302" w:rsidP="009A7D64">
            <w:pPr>
              <w:spacing w:before="60"/>
              <w:rPr>
                <w:sz w:val="22"/>
                <w:szCs w:val="22"/>
                <w:lang w:val="en-US"/>
              </w:rPr>
            </w:pPr>
            <w:r w:rsidRPr="004E4F3D">
              <w:rPr>
                <w:sz w:val="22"/>
                <w:szCs w:val="22"/>
                <w:lang w:val="en-US"/>
              </w:rPr>
              <w:t>CU</w:t>
            </w:r>
          </w:p>
        </w:tc>
        <w:tc>
          <w:tcPr>
            <w:tcW w:w="696" w:type="dxa"/>
          </w:tcPr>
          <w:p w14:paraId="58EB4336" w14:textId="77777777" w:rsidR="007B5302" w:rsidRPr="004E4F3D" w:rsidRDefault="007B5302" w:rsidP="009A7D64">
            <w:pPr>
              <w:spacing w:before="60"/>
              <w:rPr>
                <w:sz w:val="22"/>
                <w:szCs w:val="22"/>
                <w:lang w:val="en-US"/>
              </w:rPr>
            </w:pPr>
          </w:p>
        </w:tc>
        <w:tc>
          <w:tcPr>
            <w:tcW w:w="696" w:type="dxa"/>
          </w:tcPr>
          <w:p w14:paraId="547E448F" w14:textId="77777777" w:rsidR="007B5302" w:rsidRPr="004E4F3D" w:rsidRDefault="007B5302" w:rsidP="009A7D64">
            <w:pPr>
              <w:spacing w:before="60"/>
              <w:rPr>
                <w:sz w:val="22"/>
                <w:szCs w:val="22"/>
                <w:lang w:val="en-US"/>
              </w:rPr>
            </w:pPr>
          </w:p>
        </w:tc>
        <w:tc>
          <w:tcPr>
            <w:tcW w:w="696" w:type="dxa"/>
          </w:tcPr>
          <w:p w14:paraId="0B1908E7" w14:textId="77777777" w:rsidR="007B5302" w:rsidRPr="004E4F3D" w:rsidRDefault="007B5302" w:rsidP="009A7D64">
            <w:pPr>
              <w:spacing w:before="60"/>
              <w:rPr>
                <w:sz w:val="22"/>
                <w:szCs w:val="22"/>
                <w:lang w:val="en-US"/>
              </w:rPr>
            </w:pPr>
          </w:p>
        </w:tc>
        <w:tc>
          <w:tcPr>
            <w:tcW w:w="696" w:type="dxa"/>
          </w:tcPr>
          <w:p w14:paraId="5A774F6C" w14:textId="77777777" w:rsidR="007B5302" w:rsidRPr="004E4F3D" w:rsidRDefault="007B5302" w:rsidP="009A7D64">
            <w:pPr>
              <w:spacing w:before="60"/>
              <w:rPr>
                <w:sz w:val="22"/>
                <w:szCs w:val="22"/>
                <w:lang w:val="en-US"/>
              </w:rPr>
            </w:pPr>
          </w:p>
        </w:tc>
        <w:tc>
          <w:tcPr>
            <w:tcW w:w="696" w:type="dxa"/>
          </w:tcPr>
          <w:p w14:paraId="2E2EC358" w14:textId="77777777" w:rsidR="007B5302" w:rsidRPr="004E4F3D" w:rsidRDefault="007B5302" w:rsidP="009A7D64">
            <w:pPr>
              <w:spacing w:before="60"/>
              <w:rPr>
                <w:sz w:val="22"/>
                <w:szCs w:val="22"/>
                <w:lang w:val="en-US"/>
              </w:rPr>
            </w:pPr>
          </w:p>
        </w:tc>
        <w:tc>
          <w:tcPr>
            <w:tcW w:w="696" w:type="dxa"/>
          </w:tcPr>
          <w:p w14:paraId="5308CA07" w14:textId="7F503644" w:rsidR="007B5302" w:rsidRPr="004E4F3D" w:rsidRDefault="007B5302" w:rsidP="009A7D64">
            <w:pPr>
              <w:spacing w:before="60"/>
              <w:rPr>
                <w:sz w:val="22"/>
                <w:szCs w:val="22"/>
                <w:lang w:val="en-US"/>
              </w:rPr>
            </w:pPr>
            <w:r w:rsidRPr="004E4F3D">
              <w:rPr>
                <w:sz w:val="22"/>
                <w:szCs w:val="22"/>
                <w:lang w:val="en-US"/>
              </w:rPr>
              <w:t>286</w:t>
            </w:r>
          </w:p>
        </w:tc>
        <w:tc>
          <w:tcPr>
            <w:tcW w:w="696" w:type="dxa"/>
          </w:tcPr>
          <w:p w14:paraId="133B5E30" w14:textId="5BD44D2E"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679923A3" w14:textId="7AA1B42D" w:rsidR="007B5302" w:rsidRPr="004E4F3D" w:rsidRDefault="007B5302" w:rsidP="009A7D64">
            <w:pPr>
              <w:spacing w:before="60"/>
              <w:rPr>
                <w:sz w:val="22"/>
                <w:szCs w:val="22"/>
                <w:lang w:val="en-US"/>
              </w:rPr>
            </w:pPr>
            <w:r w:rsidRPr="004E4F3D">
              <w:rPr>
                <w:sz w:val="22"/>
                <w:szCs w:val="22"/>
                <w:lang w:val="en-US"/>
              </w:rPr>
              <w:t>3</w:t>
            </w:r>
          </w:p>
        </w:tc>
        <w:tc>
          <w:tcPr>
            <w:tcW w:w="696" w:type="dxa"/>
          </w:tcPr>
          <w:p w14:paraId="78F91A00" w14:textId="288A13B7" w:rsidR="007B5302" w:rsidRPr="004E4F3D" w:rsidRDefault="007B5302" w:rsidP="009A7D64">
            <w:pPr>
              <w:spacing w:before="60"/>
              <w:rPr>
                <w:sz w:val="22"/>
                <w:szCs w:val="22"/>
                <w:lang w:val="en-US"/>
              </w:rPr>
            </w:pPr>
            <w:r w:rsidRPr="004E4F3D">
              <w:rPr>
                <w:sz w:val="22"/>
                <w:szCs w:val="22"/>
                <w:lang w:val="en-US"/>
              </w:rPr>
              <w:t>3</w:t>
            </w:r>
          </w:p>
        </w:tc>
        <w:tc>
          <w:tcPr>
            <w:tcW w:w="696" w:type="dxa"/>
          </w:tcPr>
          <w:p w14:paraId="07676086" w14:textId="54232693"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10362268" w14:textId="638BC019"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23EEA529" w14:textId="0355721A"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1542DD61" w14:textId="0006FBF5" w:rsidR="007B5302" w:rsidRPr="004E4F3D" w:rsidRDefault="007B5302" w:rsidP="009A7D64">
            <w:pPr>
              <w:spacing w:before="60"/>
              <w:rPr>
                <w:sz w:val="22"/>
                <w:szCs w:val="22"/>
                <w:lang w:val="en-US"/>
              </w:rPr>
            </w:pPr>
            <w:r w:rsidRPr="004E4F3D">
              <w:rPr>
                <w:sz w:val="22"/>
                <w:szCs w:val="22"/>
                <w:lang w:val="en-US"/>
              </w:rPr>
              <w:t>0</w:t>
            </w:r>
          </w:p>
        </w:tc>
        <w:tc>
          <w:tcPr>
            <w:tcW w:w="708" w:type="dxa"/>
          </w:tcPr>
          <w:p w14:paraId="4149A258" w14:textId="42FD9C57" w:rsidR="007B5302" w:rsidRPr="004E4F3D" w:rsidRDefault="007B5302" w:rsidP="009A7D64">
            <w:pPr>
              <w:spacing w:before="60"/>
              <w:rPr>
                <w:sz w:val="22"/>
                <w:szCs w:val="22"/>
                <w:lang w:val="en-US"/>
              </w:rPr>
            </w:pPr>
            <w:r w:rsidRPr="004E4F3D">
              <w:rPr>
                <w:sz w:val="22"/>
                <w:szCs w:val="22"/>
                <w:lang w:val="en-US"/>
              </w:rPr>
              <w:t>98</w:t>
            </w:r>
          </w:p>
        </w:tc>
        <w:tc>
          <w:tcPr>
            <w:tcW w:w="709" w:type="dxa"/>
          </w:tcPr>
          <w:p w14:paraId="08B60220" w14:textId="54F22044" w:rsidR="007B5302" w:rsidRPr="004E4F3D" w:rsidRDefault="009177A5" w:rsidP="00023CA6">
            <w:pPr>
              <w:spacing w:before="60"/>
              <w:rPr>
                <w:sz w:val="22"/>
                <w:szCs w:val="22"/>
                <w:lang w:val="en-US"/>
              </w:rPr>
            </w:pPr>
            <w:r w:rsidRPr="00023CA6">
              <w:rPr>
                <w:sz w:val="22"/>
                <w:szCs w:val="22"/>
                <w:lang w:val="en-US"/>
              </w:rPr>
              <w:t>2</w:t>
            </w:r>
            <w:r w:rsidR="00023CA6" w:rsidRPr="00023CA6">
              <w:rPr>
                <w:sz w:val="22"/>
                <w:szCs w:val="22"/>
                <w:lang w:val="en-US"/>
              </w:rPr>
              <w:t>86</w:t>
            </w:r>
          </w:p>
        </w:tc>
        <w:tc>
          <w:tcPr>
            <w:tcW w:w="671" w:type="dxa"/>
          </w:tcPr>
          <w:p w14:paraId="5B701561" w14:textId="1FFAA364" w:rsidR="007B5302" w:rsidRPr="004E4F3D" w:rsidRDefault="00821D0E" w:rsidP="009A7D64">
            <w:pPr>
              <w:spacing w:before="60"/>
              <w:rPr>
                <w:sz w:val="22"/>
                <w:szCs w:val="22"/>
                <w:lang w:val="en-US"/>
              </w:rPr>
            </w:pPr>
            <w:r>
              <w:rPr>
                <w:sz w:val="22"/>
                <w:szCs w:val="22"/>
                <w:lang w:val="en-US"/>
              </w:rPr>
              <w:t>259</w:t>
            </w:r>
          </w:p>
        </w:tc>
      </w:tr>
      <w:tr w:rsidR="007B5302" w:rsidRPr="004E4F3D" w14:paraId="5F41D467" w14:textId="77777777" w:rsidTr="0070089A">
        <w:tc>
          <w:tcPr>
            <w:tcW w:w="733" w:type="dxa"/>
          </w:tcPr>
          <w:p w14:paraId="08008DDB" w14:textId="6BC02D08" w:rsidR="007B5302" w:rsidRPr="004E4F3D" w:rsidRDefault="00856761" w:rsidP="009A7D64">
            <w:pPr>
              <w:spacing w:before="60"/>
              <w:rPr>
                <w:sz w:val="22"/>
                <w:szCs w:val="22"/>
                <w:lang w:val="en-US"/>
              </w:rPr>
            </w:pPr>
            <w:r w:rsidRPr="004E4F3D">
              <w:rPr>
                <w:sz w:val="22"/>
                <w:szCs w:val="22"/>
                <w:lang w:val="en-US"/>
              </w:rPr>
              <w:t>FS</w:t>
            </w:r>
          </w:p>
        </w:tc>
        <w:tc>
          <w:tcPr>
            <w:tcW w:w="696" w:type="dxa"/>
          </w:tcPr>
          <w:p w14:paraId="184ECDD9" w14:textId="77777777" w:rsidR="007B5302" w:rsidRPr="004E4F3D" w:rsidRDefault="007B5302" w:rsidP="009A7D64">
            <w:pPr>
              <w:spacing w:before="60"/>
              <w:rPr>
                <w:sz w:val="22"/>
                <w:szCs w:val="22"/>
                <w:lang w:val="en-US"/>
              </w:rPr>
            </w:pPr>
          </w:p>
        </w:tc>
        <w:tc>
          <w:tcPr>
            <w:tcW w:w="696" w:type="dxa"/>
          </w:tcPr>
          <w:p w14:paraId="223BB5A8" w14:textId="77777777" w:rsidR="007B5302" w:rsidRPr="004E4F3D" w:rsidRDefault="007B5302" w:rsidP="009A7D64">
            <w:pPr>
              <w:spacing w:before="60"/>
              <w:rPr>
                <w:sz w:val="22"/>
                <w:szCs w:val="22"/>
                <w:lang w:val="en-US"/>
              </w:rPr>
            </w:pPr>
          </w:p>
        </w:tc>
        <w:tc>
          <w:tcPr>
            <w:tcW w:w="696" w:type="dxa"/>
          </w:tcPr>
          <w:p w14:paraId="67B4ADDE" w14:textId="77777777" w:rsidR="007B5302" w:rsidRPr="004E4F3D" w:rsidRDefault="007B5302" w:rsidP="009A7D64">
            <w:pPr>
              <w:spacing w:before="60"/>
              <w:rPr>
                <w:sz w:val="22"/>
                <w:szCs w:val="22"/>
                <w:lang w:val="en-US"/>
              </w:rPr>
            </w:pPr>
          </w:p>
        </w:tc>
        <w:tc>
          <w:tcPr>
            <w:tcW w:w="696" w:type="dxa"/>
          </w:tcPr>
          <w:p w14:paraId="197F1490" w14:textId="77777777" w:rsidR="007B5302" w:rsidRPr="004E4F3D" w:rsidRDefault="007B5302" w:rsidP="009A7D64">
            <w:pPr>
              <w:spacing w:before="60"/>
              <w:rPr>
                <w:sz w:val="22"/>
                <w:szCs w:val="22"/>
                <w:lang w:val="en-US"/>
              </w:rPr>
            </w:pPr>
          </w:p>
        </w:tc>
        <w:tc>
          <w:tcPr>
            <w:tcW w:w="696" w:type="dxa"/>
          </w:tcPr>
          <w:p w14:paraId="3B4495E7" w14:textId="77777777" w:rsidR="007B5302" w:rsidRPr="004E4F3D" w:rsidRDefault="007B5302" w:rsidP="009A7D64">
            <w:pPr>
              <w:spacing w:before="60"/>
              <w:rPr>
                <w:sz w:val="22"/>
                <w:szCs w:val="22"/>
                <w:lang w:val="en-US"/>
              </w:rPr>
            </w:pPr>
          </w:p>
        </w:tc>
        <w:tc>
          <w:tcPr>
            <w:tcW w:w="696" w:type="dxa"/>
          </w:tcPr>
          <w:p w14:paraId="5137A498" w14:textId="77777777" w:rsidR="007B5302" w:rsidRPr="004E4F3D" w:rsidRDefault="007B5302" w:rsidP="009A7D64">
            <w:pPr>
              <w:spacing w:before="60"/>
              <w:rPr>
                <w:sz w:val="22"/>
                <w:szCs w:val="22"/>
                <w:lang w:val="en-US"/>
              </w:rPr>
            </w:pPr>
          </w:p>
        </w:tc>
        <w:tc>
          <w:tcPr>
            <w:tcW w:w="696" w:type="dxa"/>
          </w:tcPr>
          <w:p w14:paraId="5EB247B7" w14:textId="0C70D81A" w:rsidR="007B5302" w:rsidRPr="004E4F3D" w:rsidRDefault="0094242C" w:rsidP="009A7D64">
            <w:pPr>
              <w:spacing w:before="60"/>
              <w:rPr>
                <w:sz w:val="22"/>
                <w:szCs w:val="22"/>
                <w:lang w:val="en-US"/>
              </w:rPr>
            </w:pPr>
            <w:r>
              <w:rPr>
                <w:sz w:val="22"/>
                <w:szCs w:val="22"/>
                <w:lang w:val="en-US"/>
              </w:rPr>
              <w:t>540</w:t>
            </w:r>
          </w:p>
        </w:tc>
        <w:tc>
          <w:tcPr>
            <w:tcW w:w="696" w:type="dxa"/>
          </w:tcPr>
          <w:p w14:paraId="787611EA" w14:textId="38118A13" w:rsidR="007B5302" w:rsidRPr="004E4F3D" w:rsidRDefault="007B5302" w:rsidP="009A7D64">
            <w:pPr>
              <w:spacing w:before="60"/>
              <w:rPr>
                <w:sz w:val="22"/>
                <w:szCs w:val="22"/>
                <w:lang w:val="en-US"/>
              </w:rPr>
            </w:pPr>
            <w:r w:rsidRPr="004E4F3D">
              <w:rPr>
                <w:sz w:val="22"/>
                <w:szCs w:val="22"/>
                <w:lang w:val="en-US"/>
              </w:rPr>
              <w:t>29</w:t>
            </w:r>
          </w:p>
        </w:tc>
        <w:tc>
          <w:tcPr>
            <w:tcW w:w="696" w:type="dxa"/>
          </w:tcPr>
          <w:p w14:paraId="649A476D" w14:textId="721064CE" w:rsidR="007B5302" w:rsidRPr="004E4F3D" w:rsidRDefault="0094242C" w:rsidP="009A7D64">
            <w:pPr>
              <w:spacing w:before="60"/>
              <w:rPr>
                <w:sz w:val="22"/>
                <w:szCs w:val="22"/>
                <w:lang w:val="en-US"/>
              </w:rPr>
            </w:pPr>
            <w:r>
              <w:rPr>
                <w:sz w:val="22"/>
                <w:szCs w:val="22"/>
                <w:lang w:val="en-US"/>
              </w:rPr>
              <w:t>86</w:t>
            </w:r>
          </w:p>
        </w:tc>
        <w:tc>
          <w:tcPr>
            <w:tcW w:w="696" w:type="dxa"/>
          </w:tcPr>
          <w:p w14:paraId="0DB2FF89" w14:textId="325235CF" w:rsidR="007B5302" w:rsidRPr="004E4F3D" w:rsidRDefault="007B5302" w:rsidP="009A7D64">
            <w:pPr>
              <w:spacing w:before="60"/>
              <w:rPr>
                <w:sz w:val="22"/>
                <w:szCs w:val="22"/>
                <w:lang w:val="en-US"/>
              </w:rPr>
            </w:pPr>
            <w:r w:rsidRPr="004E4F3D">
              <w:rPr>
                <w:sz w:val="22"/>
                <w:szCs w:val="22"/>
                <w:lang w:val="en-US"/>
              </w:rPr>
              <w:t>10</w:t>
            </w:r>
          </w:p>
        </w:tc>
        <w:tc>
          <w:tcPr>
            <w:tcW w:w="696" w:type="dxa"/>
          </w:tcPr>
          <w:p w14:paraId="373E079B" w14:textId="16E71C12" w:rsidR="007B5302" w:rsidRPr="004E4F3D" w:rsidRDefault="007B5302" w:rsidP="009A7D64">
            <w:pPr>
              <w:spacing w:before="60"/>
              <w:rPr>
                <w:sz w:val="22"/>
                <w:szCs w:val="22"/>
                <w:lang w:val="en-US"/>
              </w:rPr>
            </w:pPr>
            <w:r w:rsidRPr="004E4F3D">
              <w:rPr>
                <w:sz w:val="22"/>
                <w:szCs w:val="22"/>
                <w:lang w:val="en-US"/>
              </w:rPr>
              <w:t>4</w:t>
            </w:r>
          </w:p>
        </w:tc>
        <w:tc>
          <w:tcPr>
            <w:tcW w:w="696" w:type="dxa"/>
          </w:tcPr>
          <w:p w14:paraId="2701E391" w14:textId="3B2C9829" w:rsidR="007B5302" w:rsidRPr="004E4F3D" w:rsidRDefault="007B5302" w:rsidP="009A7D64">
            <w:pPr>
              <w:spacing w:before="60"/>
              <w:rPr>
                <w:sz w:val="22"/>
                <w:szCs w:val="22"/>
                <w:lang w:val="en-US"/>
              </w:rPr>
            </w:pPr>
            <w:r w:rsidRPr="004E4F3D">
              <w:rPr>
                <w:sz w:val="22"/>
                <w:szCs w:val="22"/>
                <w:lang w:val="en-US"/>
              </w:rPr>
              <w:t>13</w:t>
            </w:r>
          </w:p>
        </w:tc>
        <w:tc>
          <w:tcPr>
            <w:tcW w:w="696" w:type="dxa"/>
          </w:tcPr>
          <w:p w14:paraId="0E83FF61" w14:textId="38D62A85" w:rsidR="007B5302" w:rsidRPr="004E4F3D" w:rsidRDefault="007B5302" w:rsidP="009A7D64">
            <w:pPr>
              <w:spacing w:before="60"/>
              <w:rPr>
                <w:sz w:val="22"/>
                <w:szCs w:val="22"/>
                <w:lang w:val="en-US"/>
              </w:rPr>
            </w:pPr>
            <w:r w:rsidRPr="004E4F3D">
              <w:rPr>
                <w:sz w:val="22"/>
                <w:szCs w:val="22"/>
                <w:lang w:val="en-US"/>
              </w:rPr>
              <w:t>11</w:t>
            </w:r>
          </w:p>
        </w:tc>
        <w:tc>
          <w:tcPr>
            <w:tcW w:w="708" w:type="dxa"/>
          </w:tcPr>
          <w:p w14:paraId="4DEE530B" w14:textId="67DCE64E" w:rsidR="007B5302" w:rsidRPr="004E4F3D" w:rsidRDefault="007B5302" w:rsidP="009A7D64">
            <w:pPr>
              <w:spacing w:before="60"/>
              <w:rPr>
                <w:sz w:val="22"/>
                <w:szCs w:val="22"/>
                <w:lang w:val="en-US"/>
              </w:rPr>
            </w:pPr>
            <w:r w:rsidRPr="004E4F3D">
              <w:rPr>
                <w:sz w:val="22"/>
                <w:szCs w:val="22"/>
                <w:lang w:val="en-US"/>
              </w:rPr>
              <w:t>277</w:t>
            </w:r>
          </w:p>
        </w:tc>
        <w:tc>
          <w:tcPr>
            <w:tcW w:w="709" w:type="dxa"/>
          </w:tcPr>
          <w:p w14:paraId="3C401C49" w14:textId="33D5AC4D" w:rsidR="007B5302" w:rsidRPr="004E4F3D" w:rsidRDefault="007B5302" w:rsidP="009A7D64">
            <w:pPr>
              <w:spacing w:before="60"/>
              <w:rPr>
                <w:sz w:val="22"/>
                <w:szCs w:val="22"/>
                <w:lang w:val="en-US"/>
              </w:rPr>
            </w:pPr>
            <w:r w:rsidRPr="004E4F3D">
              <w:rPr>
                <w:sz w:val="22"/>
                <w:szCs w:val="22"/>
                <w:lang w:val="en-US"/>
              </w:rPr>
              <w:t>458</w:t>
            </w:r>
          </w:p>
        </w:tc>
        <w:tc>
          <w:tcPr>
            <w:tcW w:w="671" w:type="dxa"/>
          </w:tcPr>
          <w:p w14:paraId="3D807F0C" w14:textId="64B4F4DE" w:rsidR="007B5302" w:rsidRPr="004E4F3D" w:rsidRDefault="00821D0E" w:rsidP="009A7D64">
            <w:pPr>
              <w:spacing w:before="60"/>
              <w:rPr>
                <w:sz w:val="22"/>
                <w:szCs w:val="22"/>
                <w:lang w:val="en-US"/>
              </w:rPr>
            </w:pPr>
            <w:r>
              <w:rPr>
                <w:sz w:val="22"/>
                <w:szCs w:val="22"/>
                <w:lang w:val="en-US"/>
              </w:rPr>
              <w:t>489</w:t>
            </w:r>
          </w:p>
        </w:tc>
      </w:tr>
      <w:tr w:rsidR="007B5302" w:rsidRPr="004E4F3D" w14:paraId="7AAC10A4" w14:textId="77777777" w:rsidTr="0070089A">
        <w:tc>
          <w:tcPr>
            <w:tcW w:w="733" w:type="dxa"/>
          </w:tcPr>
          <w:p w14:paraId="7B7E678E" w14:textId="0DDA811B" w:rsidR="007B5302" w:rsidRPr="004E4F3D" w:rsidRDefault="0052598E" w:rsidP="009A7D64">
            <w:pPr>
              <w:spacing w:before="60"/>
              <w:rPr>
                <w:sz w:val="22"/>
                <w:szCs w:val="22"/>
                <w:lang w:val="en-US"/>
              </w:rPr>
            </w:pPr>
            <w:r w:rsidRPr="004E4F3D">
              <w:rPr>
                <w:sz w:val="22"/>
                <w:szCs w:val="22"/>
                <w:lang w:val="en-US"/>
              </w:rPr>
              <w:t>Tra</w:t>
            </w:r>
          </w:p>
        </w:tc>
        <w:tc>
          <w:tcPr>
            <w:tcW w:w="696" w:type="dxa"/>
          </w:tcPr>
          <w:p w14:paraId="3B57A141" w14:textId="77777777" w:rsidR="007B5302" w:rsidRPr="004E4F3D" w:rsidRDefault="007B5302" w:rsidP="009A7D64">
            <w:pPr>
              <w:spacing w:before="60"/>
              <w:rPr>
                <w:sz w:val="22"/>
                <w:szCs w:val="22"/>
                <w:lang w:val="en-US"/>
              </w:rPr>
            </w:pPr>
          </w:p>
        </w:tc>
        <w:tc>
          <w:tcPr>
            <w:tcW w:w="696" w:type="dxa"/>
          </w:tcPr>
          <w:p w14:paraId="2BD21F65" w14:textId="77777777" w:rsidR="007B5302" w:rsidRPr="004E4F3D" w:rsidRDefault="007B5302" w:rsidP="009A7D64">
            <w:pPr>
              <w:spacing w:before="60"/>
              <w:rPr>
                <w:sz w:val="22"/>
                <w:szCs w:val="22"/>
                <w:lang w:val="en-US"/>
              </w:rPr>
            </w:pPr>
          </w:p>
        </w:tc>
        <w:tc>
          <w:tcPr>
            <w:tcW w:w="696" w:type="dxa"/>
          </w:tcPr>
          <w:p w14:paraId="370B24EF" w14:textId="77777777" w:rsidR="007B5302" w:rsidRPr="004E4F3D" w:rsidRDefault="007B5302" w:rsidP="009A7D64">
            <w:pPr>
              <w:spacing w:before="60"/>
              <w:rPr>
                <w:sz w:val="22"/>
                <w:szCs w:val="22"/>
                <w:lang w:val="en-US"/>
              </w:rPr>
            </w:pPr>
          </w:p>
        </w:tc>
        <w:tc>
          <w:tcPr>
            <w:tcW w:w="696" w:type="dxa"/>
          </w:tcPr>
          <w:p w14:paraId="4194A3FD" w14:textId="77777777" w:rsidR="007B5302" w:rsidRPr="004E4F3D" w:rsidRDefault="007B5302" w:rsidP="009A7D64">
            <w:pPr>
              <w:spacing w:before="60"/>
              <w:rPr>
                <w:sz w:val="22"/>
                <w:szCs w:val="22"/>
                <w:lang w:val="en-US"/>
              </w:rPr>
            </w:pPr>
          </w:p>
        </w:tc>
        <w:tc>
          <w:tcPr>
            <w:tcW w:w="696" w:type="dxa"/>
          </w:tcPr>
          <w:p w14:paraId="7E63FF77" w14:textId="77777777" w:rsidR="007B5302" w:rsidRPr="004E4F3D" w:rsidRDefault="007B5302" w:rsidP="009A7D64">
            <w:pPr>
              <w:spacing w:before="60"/>
              <w:rPr>
                <w:sz w:val="22"/>
                <w:szCs w:val="22"/>
                <w:lang w:val="en-US"/>
              </w:rPr>
            </w:pPr>
          </w:p>
        </w:tc>
        <w:tc>
          <w:tcPr>
            <w:tcW w:w="696" w:type="dxa"/>
          </w:tcPr>
          <w:p w14:paraId="5D4C8146" w14:textId="77777777" w:rsidR="007B5302" w:rsidRPr="004E4F3D" w:rsidRDefault="007B5302" w:rsidP="009A7D64">
            <w:pPr>
              <w:spacing w:before="60"/>
              <w:rPr>
                <w:sz w:val="22"/>
                <w:szCs w:val="22"/>
                <w:lang w:val="en-US"/>
              </w:rPr>
            </w:pPr>
          </w:p>
        </w:tc>
        <w:tc>
          <w:tcPr>
            <w:tcW w:w="696" w:type="dxa"/>
          </w:tcPr>
          <w:p w14:paraId="5B083CCF" w14:textId="77777777" w:rsidR="007B5302" w:rsidRPr="004E4F3D" w:rsidRDefault="007B5302" w:rsidP="009A7D64">
            <w:pPr>
              <w:spacing w:before="60"/>
              <w:rPr>
                <w:sz w:val="22"/>
                <w:szCs w:val="22"/>
                <w:lang w:val="en-US"/>
              </w:rPr>
            </w:pPr>
          </w:p>
        </w:tc>
        <w:tc>
          <w:tcPr>
            <w:tcW w:w="696" w:type="dxa"/>
          </w:tcPr>
          <w:p w14:paraId="6611BDFE" w14:textId="1BD26F05" w:rsidR="007B5302" w:rsidRPr="004E4F3D" w:rsidRDefault="007B5302" w:rsidP="009A7D64">
            <w:pPr>
              <w:spacing w:before="60"/>
              <w:rPr>
                <w:sz w:val="22"/>
                <w:szCs w:val="22"/>
                <w:lang w:val="en-US"/>
              </w:rPr>
            </w:pPr>
            <w:r w:rsidRPr="004E4F3D">
              <w:rPr>
                <w:sz w:val="22"/>
                <w:szCs w:val="22"/>
                <w:lang w:val="en-US"/>
              </w:rPr>
              <w:t>132</w:t>
            </w:r>
          </w:p>
        </w:tc>
        <w:tc>
          <w:tcPr>
            <w:tcW w:w="696" w:type="dxa"/>
          </w:tcPr>
          <w:p w14:paraId="51B2AF96" w14:textId="4D6B945D" w:rsidR="007B5302" w:rsidRPr="004E4F3D" w:rsidRDefault="007B5302" w:rsidP="009A7D64">
            <w:pPr>
              <w:spacing w:before="60"/>
              <w:rPr>
                <w:sz w:val="22"/>
                <w:szCs w:val="22"/>
                <w:lang w:val="en-US"/>
              </w:rPr>
            </w:pPr>
            <w:r w:rsidRPr="004E4F3D">
              <w:rPr>
                <w:sz w:val="22"/>
                <w:szCs w:val="22"/>
                <w:lang w:val="en-US"/>
              </w:rPr>
              <w:t>4</w:t>
            </w:r>
          </w:p>
        </w:tc>
        <w:tc>
          <w:tcPr>
            <w:tcW w:w="696" w:type="dxa"/>
          </w:tcPr>
          <w:p w14:paraId="4F06E010" w14:textId="33277F9D" w:rsidR="007B5302" w:rsidRPr="004E4F3D" w:rsidRDefault="007B5302" w:rsidP="009A7D64">
            <w:pPr>
              <w:spacing w:before="60"/>
              <w:rPr>
                <w:sz w:val="22"/>
                <w:szCs w:val="22"/>
                <w:lang w:val="en-US"/>
              </w:rPr>
            </w:pPr>
            <w:r w:rsidRPr="004E4F3D">
              <w:rPr>
                <w:sz w:val="22"/>
                <w:szCs w:val="22"/>
                <w:lang w:val="en-US"/>
              </w:rPr>
              <w:t>2</w:t>
            </w:r>
          </w:p>
        </w:tc>
        <w:tc>
          <w:tcPr>
            <w:tcW w:w="696" w:type="dxa"/>
          </w:tcPr>
          <w:p w14:paraId="34DC33CC" w14:textId="0D577CFC" w:rsidR="007B5302" w:rsidRPr="004E4F3D" w:rsidRDefault="007B5302" w:rsidP="009A7D64">
            <w:pPr>
              <w:spacing w:before="60"/>
              <w:rPr>
                <w:sz w:val="22"/>
                <w:szCs w:val="22"/>
                <w:lang w:val="en-US"/>
              </w:rPr>
            </w:pPr>
            <w:r w:rsidRPr="004E4F3D">
              <w:rPr>
                <w:sz w:val="22"/>
                <w:szCs w:val="22"/>
                <w:lang w:val="en-US"/>
              </w:rPr>
              <w:t>2</w:t>
            </w:r>
          </w:p>
        </w:tc>
        <w:tc>
          <w:tcPr>
            <w:tcW w:w="696" w:type="dxa"/>
          </w:tcPr>
          <w:p w14:paraId="55CEA618" w14:textId="706285F1" w:rsidR="007B5302" w:rsidRPr="004E4F3D" w:rsidRDefault="007B5302" w:rsidP="009A7D64">
            <w:pPr>
              <w:spacing w:before="60"/>
              <w:rPr>
                <w:sz w:val="22"/>
                <w:szCs w:val="22"/>
                <w:lang w:val="en-US"/>
              </w:rPr>
            </w:pPr>
            <w:r w:rsidRPr="004E4F3D">
              <w:rPr>
                <w:sz w:val="22"/>
                <w:szCs w:val="22"/>
                <w:lang w:val="en-US"/>
              </w:rPr>
              <w:t>12</w:t>
            </w:r>
          </w:p>
        </w:tc>
        <w:tc>
          <w:tcPr>
            <w:tcW w:w="696" w:type="dxa"/>
          </w:tcPr>
          <w:p w14:paraId="73C6D037" w14:textId="0EB969D0" w:rsidR="007B5302" w:rsidRPr="004E4F3D" w:rsidRDefault="007B5302" w:rsidP="009A7D64">
            <w:pPr>
              <w:spacing w:before="60"/>
              <w:rPr>
                <w:sz w:val="22"/>
                <w:szCs w:val="22"/>
                <w:lang w:val="en-US"/>
              </w:rPr>
            </w:pPr>
            <w:r w:rsidRPr="004E4F3D">
              <w:rPr>
                <w:sz w:val="22"/>
                <w:szCs w:val="22"/>
                <w:lang w:val="en-US"/>
              </w:rPr>
              <w:t>0</w:t>
            </w:r>
          </w:p>
        </w:tc>
        <w:tc>
          <w:tcPr>
            <w:tcW w:w="708" w:type="dxa"/>
          </w:tcPr>
          <w:p w14:paraId="2854DE89" w14:textId="450B927F" w:rsidR="007B5302" w:rsidRPr="004E4F3D" w:rsidRDefault="007B5302" w:rsidP="009A7D64">
            <w:pPr>
              <w:spacing w:before="60"/>
              <w:rPr>
                <w:sz w:val="22"/>
                <w:szCs w:val="22"/>
                <w:lang w:val="en-US"/>
              </w:rPr>
            </w:pPr>
            <w:r w:rsidRPr="004E4F3D">
              <w:rPr>
                <w:sz w:val="22"/>
                <w:szCs w:val="22"/>
                <w:lang w:val="en-US"/>
              </w:rPr>
              <w:t>33</w:t>
            </w:r>
          </w:p>
        </w:tc>
        <w:tc>
          <w:tcPr>
            <w:tcW w:w="709" w:type="dxa"/>
          </w:tcPr>
          <w:p w14:paraId="7E617FC2" w14:textId="273FE429" w:rsidR="007B5302" w:rsidRPr="004E4F3D" w:rsidRDefault="007B5302" w:rsidP="009A7D64">
            <w:pPr>
              <w:spacing w:before="60"/>
              <w:rPr>
                <w:sz w:val="22"/>
                <w:szCs w:val="22"/>
                <w:lang w:val="en-US"/>
              </w:rPr>
            </w:pPr>
            <w:r w:rsidRPr="004E4F3D">
              <w:rPr>
                <w:sz w:val="22"/>
                <w:szCs w:val="22"/>
                <w:lang w:val="en-US"/>
              </w:rPr>
              <w:t>115</w:t>
            </w:r>
          </w:p>
        </w:tc>
        <w:tc>
          <w:tcPr>
            <w:tcW w:w="671" w:type="dxa"/>
          </w:tcPr>
          <w:p w14:paraId="01E89B47" w14:textId="6DC5D3EF" w:rsidR="007B5302" w:rsidRPr="004E4F3D" w:rsidRDefault="00025F32" w:rsidP="009A7D64">
            <w:pPr>
              <w:spacing w:before="60"/>
              <w:rPr>
                <w:sz w:val="22"/>
                <w:szCs w:val="22"/>
                <w:lang w:val="en-US"/>
              </w:rPr>
            </w:pPr>
            <w:r w:rsidRPr="004E4F3D">
              <w:rPr>
                <w:sz w:val="22"/>
                <w:szCs w:val="22"/>
                <w:lang w:val="en-US"/>
              </w:rPr>
              <w:t>96</w:t>
            </w:r>
          </w:p>
        </w:tc>
      </w:tr>
      <w:tr w:rsidR="007B5302" w:rsidRPr="004E4F3D" w14:paraId="7457F6B7" w14:textId="77777777" w:rsidTr="0070089A">
        <w:tc>
          <w:tcPr>
            <w:tcW w:w="733" w:type="dxa"/>
          </w:tcPr>
          <w:p w14:paraId="36074A9B" w14:textId="534AC9C7" w:rsidR="007B5302" w:rsidRPr="004E4F3D" w:rsidRDefault="00D929B4" w:rsidP="009A7D64">
            <w:pPr>
              <w:spacing w:before="60"/>
              <w:rPr>
                <w:sz w:val="22"/>
                <w:szCs w:val="22"/>
                <w:lang w:val="en-US"/>
              </w:rPr>
            </w:pPr>
            <w:r w:rsidRPr="004E4F3D">
              <w:rPr>
                <w:sz w:val="22"/>
                <w:szCs w:val="22"/>
                <w:lang w:val="en-US"/>
              </w:rPr>
              <w:t>FW</w:t>
            </w:r>
          </w:p>
        </w:tc>
        <w:tc>
          <w:tcPr>
            <w:tcW w:w="696" w:type="dxa"/>
          </w:tcPr>
          <w:p w14:paraId="50C5ECDB" w14:textId="77777777" w:rsidR="007B5302" w:rsidRPr="004E4F3D" w:rsidRDefault="007B5302" w:rsidP="009A7D64">
            <w:pPr>
              <w:spacing w:before="60"/>
              <w:rPr>
                <w:sz w:val="22"/>
                <w:szCs w:val="22"/>
                <w:lang w:val="en-US"/>
              </w:rPr>
            </w:pPr>
          </w:p>
        </w:tc>
        <w:tc>
          <w:tcPr>
            <w:tcW w:w="696" w:type="dxa"/>
          </w:tcPr>
          <w:p w14:paraId="541C7183" w14:textId="77777777" w:rsidR="007B5302" w:rsidRPr="004E4F3D" w:rsidRDefault="007B5302" w:rsidP="009A7D64">
            <w:pPr>
              <w:spacing w:before="60"/>
              <w:rPr>
                <w:sz w:val="22"/>
                <w:szCs w:val="22"/>
                <w:lang w:val="en-US"/>
              </w:rPr>
            </w:pPr>
          </w:p>
        </w:tc>
        <w:tc>
          <w:tcPr>
            <w:tcW w:w="696" w:type="dxa"/>
          </w:tcPr>
          <w:p w14:paraId="623B9444" w14:textId="77777777" w:rsidR="007B5302" w:rsidRPr="004E4F3D" w:rsidRDefault="007B5302" w:rsidP="009A7D64">
            <w:pPr>
              <w:spacing w:before="60"/>
              <w:rPr>
                <w:sz w:val="22"/>
                <w:szCs w:val="22"/>
                <w:lang w:val="en-US"/>
              </w:rPr>
            </w:pPr>
          </w:p>
        </w:tc>
        <w:tc>
          <w:tcPr>
            <w:tcW w:w="696" w:type="dxa"/>
          </w:tcPr>
          <w:p w14:paraId="22B3E134" w14:textId="77777777" w:rsidR="007B5302" w:rsidRPr="004E4F3D" w:rsidRDefault="007B5302" w:rsidP="009A7D64">
            <w:pPr>
              <w:spacing w:before="60"/>
              <w:rPr>
                <w:sz w:val="22"/>
                <w:szCs w:val="22"/>
                <w:lang w:val="en-US"/>
              </w:rPr>
            </w:pPr>
          </w:p>
        </w:tc>
        <w:tc>
          <w:tcPr>
            <w:tcW w:w="696" w:type="dxa"/>
          </w:tcPr>
          <w:p w14:paraId="69D33BF7" w14:textId="77777777" w:rsidR="007B5302" w:rsidRPr="004E4F3D" w:rsidRDefault="007B5302" w:rsidP="009A7D64">
            <w:pPr>
              <w:spacing w:before="60"/>
              <w:rPr>
                <w:sz w:val="22"/>
                <w:szCs w:val="22"/>
                <w:lang w:val="en-US"/>
              </w:rPr>
            </w:pPr>
          </w:p>
        </w:tc>
        <w:tc>
          <w:tcPr>
            <w:tcW w:w="696" w:type="dxa"/>
          </w:tcPr>
          <w:p w14:paraId="67B055C9" w14:textId="77777777" w:rsidR="007B5302" w:rsidRPr="004E4F3D" w:rsidRDefault="007B5302" w:rsidP="009A7D64">
            <w:pPr>
              <w:spacing w:before="60"/>
              <w:rPr>
                <w:sz w:val="22"/>
                <w:szCs w:val="22"/>
                <w:lang w:val="en-US"/>
              </w:rPr>
            </w:pPr>
          </w:p>
        </w:tc>
        <w:tc>
          <w:tcPr>
            <w:tcW w:w="696" w:type="dxa"/>
          </w:tcPr>
          <w:p w14:paraId="72D7DECD" w14:textId="77777777" w:rsidR="007B5302" w:rsidRPr="004E4F3D" w:rsidRDefault="007B5302" w:rsidP="009A7D64">
            <w:pPr>
              <w:spacing w:before="60"/>
              <w:rPr>
                <w:sz w:val="22"/>
                <w:szCs w:val="22"/>
                <w:lang w:val="en-US"/>
              </w:rPr>
            </w:pPr>
          </w:p>
        </w:tc>
        <w:tc>
          <w:tcPr>
            <w:tcW w:w="696" w:type="dxa"/>
          </w:tcPr>
          <w:p w14:paraId="5E8B560F" w14:textId="77777777" w:rsidR="007B5302" w:rsidRPr="004E4F3D" w:rsidRDefault="007B5302" w:rsidP="009A7D64">
            <w:pPr>
              <w:spacing w:before="60"/>
              <w:rPr>
                <w:sz w:val="22"/>
                <w:szCs w:val="22"/>
                <w:lang w:val="en-US"/>
              </w:rPr>
            </w:pPr>
          </w:p>
        </w:tc>
        <w:tc>
          <w:tcPr>
            <w:tcW w:w="696" w:type="dxa"/>
          </w:tcPr>
          <w:p w14:paraId="22715365" w14:textId="3F6829D3" w:rsidR="007B5302" w:rsidRPr="004E4F3D" w:rsidRDefault="0094242C" w:rsidP="009A7D64">
            <w:pPr>
              <w:spacing w:before="60"/>
              <w:rPr>
                <w:sz w:val="22"/>
                <w:szCs w:val="22"/>
                <w:lang w:val="en-US"/>
              </w:rPr>
            </w:pPr>
            <w:r>
              <w:rPr>
                <w:sz w:val="22"/>
                <w:szCs w:val="22"/>
                <w:lang w:val="en-US"/>
              </w:rPr>
              <w:t>380</w:t>
            </w:r>
          </w:p>
        </w:tc>
        <w:tc>
          <w:tcPr>
            <w:tcW w:w="696" w:type="dxa"/>
          </w:tcPr>
          <w:p w14:paraId="70990A47" w14:textId="50CED139" w:rsidR="007B5302" w:rsidRPr="004E4F3D" w:rsidRDefault="007B5302" w:rsidP="009A7D64">
            <w:pPr>
              <w:spacing w:before="60"/>
              <w:rPr>
                <w:sz w:val="22"/>
                <w:szCs w:val="22"/>
                <w:lang w:val="en-US"/>
              </w:rPr>
            </w:pPr>
            <w:r w:rsidRPr="004E4F3D">
              <w:rPr>
                <w:sz w:val="22"/>
                <w:szCs w:val="22"/>
                <w:lang w:val="en-US"/>
              </w:rPr>
              <w:t>7</w:t>
            </w:r>
          </w:p>
        </w:tc>
        <w:tc>
          <w:tcPr>
            <w:tcW w:w="696" w:type="dxa"/>
          </w:tcPr>
          <w:p w14:paraId="0BB1C276" w14:textId="293D61CF"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3A2C35A9" w14:textId="32DDFD78" w:rsidR="007B5302" w:rsidRPr="004E4F3D" w:rsidRDefault="007B5302" w:rsidP="009A7D64">
            <w:pPr>
              <w:spacing w:before="60"/>
              <w:rPr>
                <w:sz w:val="22"/>
                <w:szCs w:val="22"/>
                <w:lang w:val="en-US"/>
              </w:rPr>
            </w:pPr>
            <w:r w:rsidRPr="004E4F3D">
              <w:rPr>
                <w:sz w:val="22"/>
                <w:szCs w:val="22"/>
                <w:lang w:val="en-US"/>
              </w:rPr>
              <w:t>8</w:t>
            </w:r>
          </w:p>
        </w:tc>
        <w:tc>
          <w:tcPr>
            <w:tcW w:w="696" w:type="dxa"/>
          </w:tcPr>
          <w:p w14:paraId="4D137593" w14:textId="0951B213" w:rsidR="007B5302" w:rsidRPr="004E4F3D" w:rsidRDefault="007B5302" w:rsidP="009A7D64">
            <w:pPr>
              <w:spacing w:before="60"/>
              <w:rPr>
                <w:sz w:val="22"/>
                <w:szCs w:val="22"/>
                <w:lang w:val="en-US"/>
              </w:rPr>
            </w:pPr>
            <w:r w:rsidRPr="004E4F3D">
              <w:rPr>
                <w:sz w:val="22"/>
                <w:szCs w:val="22"/>
                <w:lang w:val="en-US"/>
              </w:rPr>
              <w:t>0</w:t>
            </w:r>
          </w:p>
        </w:tc>
        <w:tc>
          <w:tcPr>
            <w:tcW w:w="708" w:type="dxa"/>
          </w:tcPr>
          <w:p w14:paraId="5B336B62" w14:textId="2D09C511" w:rsidR="007B5302" w:rsidRPr="004E4F3D" w:rsidRDefault="007B5302" w:rsidP="009A7D64">
            <w:pPr>
              <w:spacing w:before="60"/>
              <w:rPr>
                <w:sz w:val="22"/>
                <w:szCs w:val="22"/>
                <w:lang w:val="en-US"/>
              </w:rPr>
            </w:pPr>
            <w:r w:rsidRPr="004E4F3D">
              <w:rPr>
                <w:sz w:val="22"/>
                <w:szCs w:val="22"/>
                <w:lang w:val="en-US"/>
              </w:rPr>
              <w:t>6</w:t>
            </w:r>
          </w:p>
        </w:tc>
        <w:tc>
          <w:tcPr>
            <w:tcW w:w="709" w:type="dxa"/>
          </w:tcPr>
          <w:p w14:paraId="2F0955D9" w14:textId="5920B8BB" w:rsidR="007B5302" w:rsidRPr="004E4F3D" w:rsidRDefault="007B5302" w:rsidP="009A7D64">
            <w:pPr>
              <w:spacing w:before="60"/>
              <w:rPr>
                <w:sz w:val="22"/>
                <w:szCs w:val="22"/>
                <w:lang w:val="en-US"/>
              </w:rPr>
            </w:pPr>
            <w:r w:rsidRPr="004E4F3D">
              <w:rPr>
                <w:sz w:val="22"/>
                <w:szCs w:val="22"/>
                <w:lang w:val="en-US"/>
              </w:rPr>
              <w:t>309</w:t>
            </w:r>
          </w:p>
        </w:tc>
        <w:tc>
          <w:tcPr>
            <w:tcW w:w="671" w:type="dxa"/>
          </w:tcPr>
          <w:p w14:paraId="466A4F50" w14:textId="06E82964" w:rsidR="007B5302" w:rsidRPr="004E4F3D" w:rsidRDefault="00821D0E" w:rsidP="009A7D64">
            <w:pPr>
              <w:spacing w:before="60"/>
              <w:rPr>
                <w:sz w:val="22"/>
                <w:szCs w:val="22"/>
                <w:lang w:val="en-US"/>
              </w:rPr>
            </w:pPr>
            <w:r>
              <w:rPr>
                <w:sz w:val="22"/>
                <w:szCs w:val="22"/>
                <w:lang w:val="en-US"/>
              </w:rPr>
              <w:t>250</w:t>
            </w:r>
          </w:p>
        </w:tc>
      </w:tr>
      <w:tr w:rsidR="007B5302" w:rsidRPr="004E4F3D" w14:paraId="09141091" w14:textId="77777777" w:rsidTr="0070089A">
        <w:tc>
          <w:tcPr>
            <w:tcW w:w="733" w:type="dxa"/>
          </w:tcPr>
          <w:p w14:paraId="6DA0C3B6" w14:textId="381F779C" w:rsidR="007B5302" w:rsidRPr="004E4F3D" w:rsidRDefault="00D929B4" w:rsidP="009A7D64">
            <w:pPr>
              <w:spacing w:before="60"/>
              <w:rPr>
                <w:sz w:val="22"/>
                <w:szCs w:val="22"/>
                <w:lang w:val="en-US"/>
              </w:rPr>
            </w:pPr>
            <w:r w:rsidRPr="004E4F3D">
              <w:rPr>
                <w:sz w:val="22"/>
                <w:szCs w:val="22"/>
                <w:lang w:val="en-US"/>
              </w:rPr>
              <w:t>FC</w:t>
            </w:r>
          </w:p>
        </w:tc>
        <w:tc>
          <w:tcPr>
            <w:tcW w:w="696" w:type="dxa"/>
          </w:tcPr>
          <w:p w14:paraId="4B81196C" w14:textId="77777777" w:rsidR="007B5302" w:rsidRPr="004E4F3D" w:rsidRDefault="007B5302" w:rsidP="009A7D64">
            <w:pPr>
              <w:spacing w:before="60"/>
              <w:rPr>
                <w:sz w:val="22"/>
                <w:szCs w:val="22"/>
                <w:lang w:val="en-US"/>
              </w:rPr>
            </w:pPr>
          </w:p>
        </w:tc>
        <w:tc>
          <w:tcPr>
            <w:tcW w:w="696" w:type="dxa"/>
          </w:tcPr>
          <w:p w14:paraId="32B92B43" w14:textId="77777777" w:rsidR="007B5302" w:rsidRPr="004E4F3D" w:rsidRDefault="007B5302" w:rsidP="009A7D64">
            <w:pPr>
              <w:spacing w:before="60"/>
              <w:rPr>
                <w:sz w:val="22"/>
                <w:szCs w:val="22"/>
                <w:lang w:val="en-US"/>
              </w:rPr>
            </w:pPr>
          </w:p>
        </w:tc>
        <w:tc>
          <w:tcPr>
            <w:tcW w:w="696" w:type="dxa"/>
          </w:tcPr>
          <w:p w14:paraId="04BD79D1" w14:textId="77777777" w:rsidR="007B5302" w:rsidRPr="004E4F3D" w:rsidRDefault="007B5302" w:rsidP="009A7D64">
            <w:pPr>
              <w:spacing w:before="60"/>
              <w:rPr>
                <w:sz w:val="22"/>
                <w:szCs w:val="22"/>
                <w:lang w:val="en-US"/>
              </w:rPr>
            </w:pPr>
          </w:p>
        </w:tc>
        <w:tc>
          <w:tcPr>
            <w:tcW w:w="696" w:type="dxa"/>
          </w:tcPr>
          <w:p w14:paraId="73F6FD8C" w14:textId="77777777" w:rsidR="007B5302" w:rsidRPr="004E4F3D" w:rsidRDefault="007B5302" w:rsidP="009A7D64">
            <w:pPr>
              <w:spacing w:before="60"/>
              <w:rPr>
                <w:sz w:val="22"/>
                <w:szCs w:val="22"/>
                <w:lang w:val="en-US"/>
              </w:rPr>
            </w:pPr>
          </w:p>
        </w:tc>
        <w:tc>
          <w:tcPr>
            <w:tcW w:w="696" w:type="dxa"/>
          </w:tcPr>
          <w:p w14:paraId="6569CDA8" w14:textId="77777777" w:rsidR="007B5302" w:rsidRPr="004E4F3D" w:rsidRDefault="007B5302" w:rsidP="009A7D64">
            <w:pPr>
              <w:spacing w:before="60"/>
              <w:rPr>
                <w:sz w:val="22"/>
                <w:szCs w:val="22"/>
                <w:lang w:val="en-US"/>
              </w:rPr>
            </w:pPr>
          </w:p>
        </w:tc>
        <w:tc>
          <w:tcPr>
            <w:tcW w:w="696" w:type="dxa"/>
          </w:tcPr>
          <w:p w14:paraId="27039228" w14:textId="77777777" w:rsidR="007B5302" w:rsidRPr="004E4F3D" w:rsidRDefault="007B5302" w:rsidP="009A7D64">
            <w:pPr>
              <w:spacing w:before="60"/>
              <w:rPr>
                <w:sz w:val="22"/>
                <w:szCs w:val="22"/>
                <w:lang w:val="en-US"/>
              </w:rPr>
            </w:pPr>
          </w:p>
        </w:tc>
        <w:tc>
          <w:tcPr>
            <w:tcW w:w="696" w:type="dxa"/>
          </w:tcPr>
          <w:p w14:paraId="4F0AC021" w14:textId="77777777" w:rsidR="007B5302" w:rsidRPr="004E4F3D" w:rsidRDefault="007B5302" w:rsidP="009A7D64">
            <w:pPr>
              <w:spacing w:before="60"/>
              <w:rPr>
                <w:sz w:val="22"/>
                <w:szCs w:val="22"/>
                <w:lang w:val="en-US"/>
              </w:rPr>
            </w:pPr>
          </w:p>
        </w:tc>
        <w:tc>
          <w:tcPr>
            <w:tcW w:w="696" w:type="dxa"/>
          </w:tcPr>
          <w:p w14:paraId="6A798349" w14:textId="77777777" w:rsidR="007B5302" w:rsidRPr="004E4F3D" w:rsidRDefault="007B5302" w:rsidP="009A7D64">
            <w:pPr>
              <w:spacing w:before="60"/>
              <w:rPr>
                <w:sz w:val="22"/>
                <w:szCs w:val="22"/>
                <w:lang w:val="en-US"/>
              </w:rPr>
            </w:pPr>
          </w:p>
        </w:tc>
        <w:tc>
          <w:tcPr>
            <w:tcW w:w="696" w:type="dxa"/>
          </w:tcPr>
          <w:p w14:paraId="52AE646E" w14:textId="77777777" w:rsidR="007B5302" w:rsidRPr="004E4F3D" w:rsidRDefault="007B5302" w:rsidP="009A7D64">
            <w:pPr>
              <w:spacing w:before="60"/>
              <w:rPr>
                <w:sz w:val="22"/>
                <w:szCs w:val="22"/>
                <w:lang w:val="en-US"/>
              </w:rPr>
            </w:pPr>
          </w:p>
        </w:tc>
        <w:tc>
          <w:tcPr>
            <w:tcW w:w="696" w:type="dxa"/>
          </w:tcPr>
          <w:p w14:paraId="074FB2CC" w14:textId="1329C664" w:rsidR="007B5302" w:rsidRPr="004E4F3D" w:rsidRDefault="0094242C" w:rsidP="009A7D64">
            <w:pPr>
              <w:spacing w:before="60"/>
              <w:rPr>
                <w:sz w:val="22"/>
                <w:szCs w:val="22"/>
                <w:lang w:val="en-US"/>
              </w:rPr>
            </w:pPr>
            <w:r>
              <w:rPr>
                <w:sz w:val="22"/>
                <w:szCs w:val="22"/>
                <w:lang w:val="en-US"/>
              </w:rPr>
              <w:t>220</w:t>
            </w:r>
          </w:p>
        </w:tc>
        <w:tc>
          <w:tcPr>
            <w:tcW w:w="696" w:type="dxa"/>
          </w:tcPr>
          <w:p w14:paraId="20FF27B2" w14:textId="6AD9FA4F"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178ADFA1" w14:textId="4764A06F"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45B1DAB6" w14:textId="7A6BA65A" w:rsidR="007B5302" w:rsidRPr="004E4F3D" w:rsidRDefault="007B5302" w:rsidP="009A7D64">
            <w:pPr>
              <w:spacing w:before="60"/>
              <w:rPr>
                <w:sz w:val="22"/>
                <w:szCs w:val="22"/>
                <w:lang w:val="en-US"/>
              </w:rPr>
            </w:pPr>
            <w:r w:rsidRPr="004E4F3D">
              <w:rPr>
                <w:sz w:val="22"/>
                <w:szCs w:val="22"/>
                <w:lang w:val="en-US"/>
              </w:rPr>
              <w:t>0</w:t>
            </w:r>
          </w:p>
        </w:tc>
        <w:tc>
          <w:tcPr>
            <w:tcW w:w="708" w:type="dxa"/>
          </w:tcPr>
          <w:p w14:paraId="7225B976" w14:textId="2B079E7A" w:rsidR="007B5302" w:rsidRPr="004E4F3D" w:rsidRDefault="0094242C" w:rsidP="009A7D64">
            <w:pPr>
              <w:spacing w:before="60"/>
              <w:rPr>
                <w:sz w:val="22"/>
                <w:szCs w:val="22"/>
                <w:lang w:val="en-US"/>
              </w:rPr>
            </w:pPr>
            <w:r>
              <w:rPr>
                <w:sz w:val="22"/>
                <w:szCs w:val="22"/>
                <w:lang w:val="en-US"/>
              </w:rPr>
              <w:t>38</w:t>
            </w:r>
          </w:p>
        </w:tc>
        <w:tc>
          <w:tcPr>
            <w:tcW w:w="709" w:type="dxa"/>
          </w:tcPr>
          <w:p w14:paraId="73D2B958" w14:textId="575BD4D8" w:rsidR="007B5302" w:rsidRPr="004E4F3D" w:rsidRDefault="007B5302" w:rsidP="009A7D64">
            <w:pPr>
              <w:spacing w:before="60"/>
              <w:rPr>
                <w:sz w:val="22"/>
                <w:szCs w:val="22"/>
                <w:lang w:val="en-US"/>
              </w:rPr>
            </w:pPr>
            <w:r w:rsidRPr="004E4F3D">
              <w:rPr>
                <w:sz w:val="22"/>
                <w:szCs w:val="22"/>
                <w:lang w:val="en-US"/>
              </w:rPr>
              <w:t>193</w:t>
            </w:r>
          </w:p>
        </w:tc>
        <w:tc>
          <w:tcPr>
            <w:tcW w:w="671" w:type="dxa"/>
          </w:tcPr>
          <w:p w14:paraId="59C154B8" w14:textId="3AB285DA" w:rsidR="007B5302" w:rsidRPr="004E4F3D" w:rsidRDefault="00025F32" w:rsidP="009A7D64">
            <w:pPr>
              <w:spacing w:before="60"/>
              <w:rPr>
                <w:sz w:val="22"/>
                <w:szCs w:val="22"/>
                <w:lang w:val="en-US"/>
              </w:rPr>
            </w:pPr>
            <w:r w:rsidRPr="004E4F3D">
              <w:rPr>
                <w:sz w:val="22"/>
                <w:szCs w:val="22"/>
                <w:lang w:val="en-US"/>
              </w:rPr>
              <w:t>130</w:t>
            </w:r>
          </w:p>
        </w:tc>
      </w:tr>
      <w:tr w:rsidR="007B5302" w:rsidRPr="004E4F3D" w14:paraId="1B8140DC" w14:textId="77777777" w:rsidTr="0070089A">
        <w:tc>
          <w:tcPr>
            <w:tcW w:w="733" w:type="dxa"/>
          </w:tcPr>
          <w:p w14:paraId="3451C1BD" w14:textId="4C413D3E" w:rsidR="007B5302" w:rsidRPr="004E4F3D" w:rsidRDefault="00D929B4" w:rsidP="009A7D64">
            <w:pPr>
              <w:spacing w:before="60"/>
              <w:rPr>
                <w:sz w:val="22"/>
                <w:szCs w:val="22"/>
                <w:lang w:val="en-US"/>
              </w:rPr>
            </w:pPr>
            <w:r w:rsidRPr="004E4F3D">
              <w:rPr>
                <w:sz w:val="22"/>
                <w:szCs w:val="22"/>
                <w:lang w:val="en-US"/>
              </w:rPr>
              <w:t>Env</w:t>
            </w:r>
          </w:p>
        </w:tc>
        <w:tc>
          <w:tcPr>
            <w:tcW w:w="696" w:type="dxa"/>
          </w:tcPr>
          <w:p w14:paraId="3F8247A0" w14:textId="77777777" w:rsidR="007B5302" w:rsidRPr="004E4F3D" w:rsidRDefault="007B5302" w:rsidP="009A7D64">
            <w:pPr>
              <w:spacing w:before="60"/>
              <w:rPr>
                <w:sz w:val="22"/>
                <w:szCs w:val="22"/>
                <w:lang w:val="en-US"/>
              </w:rPr>
            </w:pPr>
          </w:p>
        </w:tc>
        <w:tc>
          <w:tcPr>
            <w:tcW w:w="696" w:type="dxa"/>
          </w:tcPr>
          <w:p w14:paraId="0402A869" w14:textId="77777777" w:rsidR="007B5302" w:rsidRPr="004E4F3D" w:rsidRDefault="007B5302" w:rsidP="009A7D64">
            <w:pPr>
              <w:spacing w:before="60"/>
              <w:rPr>
                <w:sz w:val="22"/>
                <w:szCs w:val="22"/>
                <w:lang w:val="en-US"/>
              </w:rPr>
            </w:pPr>
          </w:p>
        </w:tc>
        <w:tc>
          <w:tcPr>
            <w:tcW w:w="696" w:type="dxa"/>
          </w:tcPr>
          <w:p w14:paraId="75036B1B" w14:textId="77777777" w:rsidR="007B5302" w:rsidRPr="004E4F3D" w:rsidRDefault="007B5302" w:rsidP="009A7D64">
            <w:pPr>
              <w:spacing w:before="60"/>
              <w:rPr>
                <w:sz w:val="22"/>
                <w:szCs w:val="22"/>
                <w:lang w:val="en-US"/>
              </w:rPr>
            </w:pPr>
          </w:p>
        </w:tc>
        <w:tc>
          <w:tcPr>
            <w:tcW w:w="696" w:type="dxa"/>
          </w:tcPr>
          <w:p w14:paraId="1F30D609" w14:textId="77777777" w:rsidR="007B5302" w:rsidRPr="004E4F3D" w:rsidRDefault="007B5302" w:rsidP="009A7D64">
            <w:pPr>
              <w:spacing w:before="60"/>
              <w:rPr>
                <w:sz w:val="22"/>
                <w:szCs w:val="22"/>
                <w:lang w:val="en-US"/>
              </w:rPr>
            </w:pPr>
          </w:p>
        </w:tc>
        <w:tc>
          <w:tcPr>
            <w:tcW w:w="696" w:type="dxa"/>
          </w:tcPr>
          <w:p w14:paraId="2F8FC80D" w14:textId="77777777" w:rsidR="007B5302" w:rsidRPr="004E4F3D" w:rsidRDefault="007B5302" w:rsidP="009A7D64">
            <w:pPr>
              <w:spacing w:before="60"/>
              <w:rPr>
                <w:sz w:val="22"/>
                <w:szCs w:val="22"/>
                <w:lang w:val="en-US"/>
              </w:rPr>
            </w:pPr>
          </w:p>
        </w:tc>
        <w:tc>
          <w:tcPr>
            <w:tcW w:w="696" w:type="dxa"/>
          </w:tcPr>
          <w:p w14:paraId="39FA57B7" w14:textId="77777777" w:rsidR="007B5302" w:rsidRPr="004E4F3D" w:rsidRDefault="007B5302" w:rsidP="009A7D64">
            <w:pPr>
              <w:spacing w:before="60"/>
              <w:rPr>
                <w:sz w:val="22"/>
                <w:szCs w:val="22"/>
                <w:lang w:val="en-US"/>
              </w:rPr>
            </w:pPr>
          </w:p>
        </w:tc>
        <w:tc>
          <w:tcPr>
            <w:tcW w:w="696" w:type="dxa"/>
          </w:tcPr>
          <w:p w14:paraId="5403DBC6" w14:textId="77777777" w:rsidR="007B5302" w:rsidRPr="004E4F3D" w:rsidRDefault="007B5302" w:rsidP="009A7D64">
            <w:pPr>
              <w:spacing w:before="60"/>
              <w:rPr>
                <w:sz w:val="22"/>
                <w:szCs w:val="22"/>
                <w:lang w:val="en-US"/>
              </w:rPr>
            </w:pPr>
          </w:p>
        </w:tc>
        <w:tc>
          <w:tcPr>
            <w:tcW w:w="696" w:type="dxa"/>
          </w:tcPr>
          <w:p w14:paraId="33132208" w14:textId="77777777" w:rsidR="007B5302" w:rsidRPr="004E4F3D" w:rsidRDefault="007B5302" w:rsidP="009A7D64">
            <w:pPr>
              <w:spacing w:before="60"/>
              <w:rPr>
                <w:sz w:val="22"/>
                <w:szCs w:val="22"/>
                <w:lang w:val="en-US"/>
              </w:rPr>
            </w:pPr>
          </w:p>
        </w:tc>
        <w:tc>
          <w:tcPr>
            <w:tcW w:w="696" w:type="dxa"/>
          </w:tcPr>
          <w:p w14:paraId="000D645A" w14:textId="77777777" w:rsidR="007B5302" w:rsidRPr="004E4F3D" w:rsidRDefault="007B5302" w:rsidP="009A7D64">
            <w:pPr>
              <w:spacing w:before="60"/>
              <w:rPr>
                <w:sz w:val="22"/>
                <w:szCs w:val="22"/>
                <w:lang w:val="en-US"/>
              </w:rPr>
            </w:pPr>
          </w:p>
        </w:tc>
        <w:tc>
          <w:tcPr>
            <w:tcW w:w="696" w:type="dxa"/>
          </w:tcPr>
          <w:p w14:paraId="1CCF8333" w14:textId="77777777" w:rsidR="007B5302" w:rsidRPr="004E4F3D" w:rsidRDefault="007B5302" w:rsidP="009A7D64">
            <w:pPr>
              <w:spacing w:before="60"/>
              <w:rPr>
                <w:sz w:val="22"/>
                <w:szCs w:val="22"/>
                <w:lang w:val="en-US"/>
              </w:rPr>
            </w:pPr>
          </w:p>
        </w:tc>
        <w:tc>
          <w:tcPr>
            <w:tcW w:w="696" w:type="dxa"/>
          </w:tcPr>
          <w:p w14:paraId="3205B2A6" w14:textId="1AA82D53" w:rsidR="007B5302" w:rsidRPr="004E4F3D" w:rsidRDefault="007B5302" w:rsidP="009A7D64">
            <w:pPr>
              <w:spacing w:before="60"/>
              <w:rPr>
                <w:sz w:val="22"/>
                <w:szCs w:val="22"/>
                <w:lang w:val="en-US"/>
              </w:rPr>
            </w:pPr>
            <w:r w:rsidRPr="004E4F3D">
              <w:rPr>
                <w:sz w:val="22"/>
                <w:szCs w:val="22"/>
                <w:lang w:val="en-US"/>
              </w:rPr>
              <w:t>193</w:t>
            </w:r>
          </w:p>
        </w:tc>
        <w:tc>
          <w:tcPr>
            <w:tcW w:w="696" w:type="dxa"/>
          </w:tcPr>
          <w:p w14:paraId="5FE8FF56" w14:textId="3B7673BD" w:rsidR="007B5302" w:rsidRPr="004E4F3D" w:rsidRDefault="007B5302" w:rsidP="009A7D64">
            <w:pPr>
              <w:spacing w:before="60"/>
              <w:rPr>
                <w:sz w:val="22"/>
                <w:szCs w:val="22"/>
                <w:lang w:val="en-US"/>
              </w:rPr>
            </w:pPr>
            <w:r w:rsidRPr="004E4F3D">
              <w:rPr>
                <w:sz w:val="22"/>
                <w:szCs w:val="22"/>
                <w:lang w:val="en-US"/>
              </w:rPr>
              <w:t>0</w:t>
            </w:r>
          </w:p>
        </w:tc>
        <w:tc>
          <w:tcPr>
            <w:tcW w:w="696" w:type="dxa"/>
          </w:tcPr>
          <w:p w14:paraId="08987C7C" w14:textId="4A42F0F4" w:rsidR="007B5302" w:rsidRPr="004E4F3D" w:rsidRDefault="007B5302" w:rsidP="009A7D64">
            <w:pPr>
              <w:spacing w:before="60"/>
              <w:rPr>
                <w:sz w:val="22"/>
                <w:szCs w:val="22"/>
                <w:lang w:val="en-US"/>
              </w:rPr>
            </w:pPr>
            <w:r w:rsidRPr="004E4F3D">
              <w:rPr>
                <w:sz w:val="22"/>
                <w:szCs w:val="22"/>
                <w:lang w:val="en-US"/>
              </w:rPr>
              <w:t>3</w:t>
            </w:r>
          </w:p>
        </w:tc>
        <w:tc>
          <w:tcPr>
            <w:tcW w:w="708" w:type="dxa"/>
          </w:tcPr>
          <w:p w14:paraId="7F6E85CE" w14:textId="19512C18" w:rsidR="007B5302" w:rsidRPr="004E4F3D" w:rsidRDefault="007B5302" w:rsidP="009A7D64">
            <w:pPr>
              <w:spacing w:before="60"/>
              <w:rPr>
                <w:sz w:val="22"/>
                <w:szCs w:val="22"/>
                <w:lang w:val="en-US"/>
              </w:rPr>
            </w:pPr>
            <w:r w:rsidRPr="004E4F3D">
              <w:rPr>
                <w:sz w:val="22"/>
                <w:szCs w:val="22"/>
                <w:lang w:val="en-US"/>
              </w:rPr>
              <w:t>103</w:t>
            </w:r>
          </w:p>
        </w:tc>
        <w:tc>
          <w:tcPr>
            <w:tcW w:w="709" w:type="dxa"/>
          </w:tcPr>
          <w:p w14:paraId="5DC83CDF" w14:textId="7901466C" w:rsidR="007B5302" w:rsidRPr="004E4F3D" w:rsidRDefault="007B5302" w:rsidP="009A7D64">
            <w:pPr>
              <w:spacing w:before="60"/>
              <w:rPr>
                <w:sz w:val="22"/>
                <w:szCs w:val="22"/>
                <w:lang w:val="en-US"/>
              </w:rPr>
            </w:pPr>
            <w:r w:rsidRPr="004E4F3D">
              <w:rPr>
                <w:sz w:val="22"/>
                <w:szCs w:val="22"/>
                <w:lang w:val="en-US"/>
              </w:rPr>
              <w:t>98</w:t>
            </w:r>
          </w:p>
        </w:tc>
        <w:tc>
          <w:tcPr>
            <w:tcW w:w="671" w:type="dxa"/>
          </w:tcPr>
          <w:p w14:paraId="593CF4C7" w14:textId="188AF07F" w:rsidR="007B5302" w:rsidRPr="004E4F3D" w:rsidRDefault="00025F32" w:rsidP="009A7D64">
            <w:pPr>
              <w:spacing w:before="60"/>
              <w:rPr>
                <w:sz w:val="22"/>
                <w:szCs w:val="22"/>
                <w:lang w:val="en-US"/>
              </w:rPr>
            </w:pPr>
            <w:r w:rsidRPr="004E4F3D">
              <w:rPr>
                <w:sz w:val="22"/>
                <w:szCs w:val="22"/>
                <w:lang w:val="en-US"/>
              </w:rPr>
              <w:t>193</w:t>
            </w:r>
          </w:p>
        </w:tc>
      </w:tr>
      <w:tr w:rsidR="007B5302" w:rsidRPr="004E4F3D" w14:paraId="2F685C8B" w14:textId="77777777" w:rsidTr="0070089A">
        <w:tc>
          <w:tcPr>
            <w:tcW w:w="733" w:type="dxa"/>
          </w:tcPr>
          <w:p w14:paraId="61CC3FCC" w14:textId="46BDC45C" w:rsidR="007B5302" w:rsidRPr="004E4F3D" w:rsidRDefault="00D929B4" w:rsidP="009A7D64">
            <w:pPr>
              <w:spacing w:before="60"/>
              <w:rPr>
                <w:sz w:val="22"/>
                <w:szCs w:val="22"/>
                <w:lang w:val="en-US"/>
              </w:rPr>
            </w:pPr>
            <w:r w:rsidRPr="004E4F3D">
              <w:rPr>
                <w:sz w:val="22"/>
                <w:szCs w:val="22"/>
                <w:lang w:val="en-US"/>
              </w:rPr>
              <w:t>SP</w:t>
            </w:r>
          </w:p>
        </w:tc>
        <w:tc>
          <w:tcPr>
            <w:tcW w:w="696" w:type="dxa"/>
          </w:tcPr>
          <w:p w14:paraId="73B86CFE" w14:textId="77777777" w:rsidR="007B5302" w:rsidRPr="004E4F3D" w:rsidRDefault="007B5302" w:rsidP="009A7D64">
            <w:pPr>
              <w:spacing w:before="60"/>
              <w:rPr>
                <w:sz w:val="22"/>
                <w:szCs w:val="22"/>
                <w:lang w:val="en-US"/>
              </w:rPr>
            </w:pPr>
          </w:p>
        </w:tc>
        <w:tc>
          <w:tcPr>
            <w:tcW w:w="696" w:type="dxa"/>
          </w:tcPr>
          <w:p w14:paraId="053A3E18" w14:textId="77777777" w:rsidR="007B5302" w:rsidRPr="004E4F3D" w:rsidRDefault="007B5302" w:rsidP="009A7D64">
            <w:pPr>
              <w:spacing w:before="60"/>
              <w:rPr>
                <w:sz w:val="22"/>
                <w:szCs w:val="22"/>
                <w:lang w:val="en-US"/>
              </w:rPr>
            </w:pPr>
          </w:p>
        </w:tc>
        <w:tc>
          <w:tcPr>
            <w:tcW w:w="696" w:type="dxa"/>
          </w:tcPr>
          <w:p w14:paraId="266CCEE6" w14:textId="77777777" w:rsidR="007B5302" w:rsidRPr="004E4F3D" w:rsidRDefault="007B5302" w:rsidP="009A7D64">
            <w:pPr>
              <w:spacing w:before="60"/>
              <w:rPr>
                <w:sz w:val="22"/>
                <w:szCs w:val="22"/>
                <w:lang w:val="en-US"/>
              </w:rPr>
            </w:pPr>
          </w:p>
        </w:tc>
        <w:tc>
          <w:tcPr>
            <w:tcW w:w="696" w:type="dxa"/>
          </w:tcPr>
          <w:p w14:paraId="374A1F87" w14:textId="77777777" w:rsidR="007B5302" w:rsidRPr="004E4F3D" w:rsidRDefault="007B5302" w:rsidP="009A7D64">
            <w:pPr>
              <w:spacing w:before="60"/>
              <w:rPr>
                <w:sz w:val="22"/>
                <w:szCs w:val="22"/>
                <w:lang w:val="en-US"/>
              </w:rPr>
            </w:pPr>
          </w:p>
        </w:tc>
        <w:tc>
          <w:tcPr>
            <w:tcW w:w="696" w:type="dxa"/>
          </w:tcPr>
          <w:p w14:paraId="31A84CF2" w14:textId="77777777" w:rsidR="007B5302" w:rsidRPr="004E4F3D" w:rsidRDefault="007B5302" w:rsidP="009A7D64">
            <w:pPr>
              <w:spacing w:before="60"/>
              <w:rPr>
                <w:sz w:val="22"/>
                <w:szCs w:val="22"/>
                <w:lang w:val="en-US"/>
              </w:rPr>
            </w:pPr>
          </w:p>
        </w:tc>
        <w:tc>
          <w:tcPr>
            <w:tcW w:w="696" w:type="dxa"/>
          </w:tcPr>
          <w:p w14:paraId="209C9DA8" w14:textId="77777777" w:rsidR="007B5302" w:rsidRPr="004E4F3D" w:rsidRDefault="007B5302" w:rsidP="009A7D64">
            <w:pPr>
              <w:spacing w:before="60"/>
              <w:rPr>
                <w:sz w:val="22"/>
                <w:szCs w:val="22"/>
                <w:lang w:val="en-US"/>
              </w:rPr>
            </w:pPr>
          </w:p>
        </w:tc>
        <w:tc>
          <w:tcPr>
            <w:tcW w:w="696" w:type="dxa"/>
          </w:tcPr>
          <w:p w14:paraId="33590349" w14:textId="77777777" w:rsidR="007B5302" w:rsidRPr="004E4F3D" w:rsidRDefault="007B5302" w:rsidP="009A7D64">
            <w:pPr>
              <w:spacing w:before="60"/>
              <w:rPr>
                <w:sz w:val="22"/>
                <w:szCs w:val="22"/>
                <w:lang w:val="en-US"/>
              </w:rPr>
            </w:pPr>
          </w:p>
        </w:tc>
        <w:tc>
          <w:tcPr>
            <w:tcW w:w="696" w:type="dxa"/>
          </w:tcPr>
          <w:p w14:paraId="78DFC568" w14:textId="77777777" w:rsidR="007B5302" w:rsidRPr="004E4F3D" w:rsidRDefault="007B5302" w:rsidP="009A7D64">
            <w:pPr>
              <w:spacing w:before="60"/>
              <w:rPr>
                <w:sz w:val="22"/>
                <w:szCs w:val="22"/>
                <w:lang w:val="en-US"/>
              </w:rPr>
            </w:pPr>
          </w:p>
        </w:tc>
        <w:tc>
          <w:tcPr>
            <w:tcW w:w="696" w:type="dxa"/>
          </w:tcPr>
          <w:p w14:paraId="3BA52855" w14:textId="77777777" w:rsidR="007B5302" w:rsidRPr="004E4F3D" w:rsidRDefault="007B5302" w:rsidP="009A7D64">
            <w:pPr>
              <w:spacing w:before="60"/>
              <w:rPr>
                <w:sz w:val="22"/>
                <w:szCs w:val="22"/>
                <w:lang w:val="en-US"/>
              </w:rPr>
            </w:pPr>
          </w:p>
        </w:tc>
        <w:tc>
          <w:tcPr>
            <w:tcW w:w="696" w:type="dxa"/>
          </w:tcPr>
          <w:p w14:paraId="4A0920F7" w14:textId="77777777" w:rsidR="007B5302" w:rsidRPr="004E4F3D" w:rsidRDefault="007B5302" w:rsidP="009A7D64">
            <w:pPr>
              <w:spacing w:before="60"/>
              <w:rPr>
                <w:sz w:val="22"/>
                <w:szCs w:val="22"/>
                <w:lang w:val="en-US"/>
              </w:rPr>
            </w:pPr>
          </w:p>
        </w:tc>
        <w:tc>
          <w:tcPr>
            <w:tcW w:w="696" w:type="dxa"/>
          </w:tcPr>
          <w:p w14:paraId="56E757E9" w14:textId="77777777" w:rsidR="007B5302" w:rsidRPr="004E4F3D" w:rsidRDefault="007B5302" w:rsidP="009A7D64">
            <w:pPr>
              <w:spacing w:before="60"/>
              <w:rPr>
                <w:sz w:val="22"/>
                <w:szCs w:val="22"/>
                <w:lang w:val="en-US"/>
              </w:rPr>
            </w:pPr>
          </w:p>
        </w:tc>
        <w:tc>
          <w:tcPr>
            <w:tcW w:w="696" w:type="dxa"/>
          </w:tcPr>
          <w:p w14:paraId="5B4286A2" w14:textId="4791BD15" w:rsidR="007B5302" w:rsidRPr="004E4F3D" w:rsidRDefault="007B5302" w:rsidP="009A7D64">
            <w:pPr>
              <w:spacing w:before="60"/>
              <w:rPr>
                <w:sz w:val="22"/>
                <w:szCs w:val="22"/>
                <w:lang w:val="en-US"/>
              </w:rPr>
            </w:pPr>
            <w:r w:rsidRPr="004E4F3D">
              <w:rPr>
                <w:sz w:val="22"/>
                <w:szCs w:val="22"/>
                <w:lang w:val="en-US"/>
              </w:rPr>
              <w:t>336</w:t>
            </w:r>
          </w:p>
        </w:tc>
        <w:tc>
          <w:tcPr>
            <w:tcW w:w="696" w:type="dxa"/>
          </w:tcPr>
          <w:p w14:paraId="2233EC11" w14:textId="627DAF85" w:rsidR="007B5302" w:rsidRPr="004E4F3D" w:rsidRDefault="007B5302" w:rsidP="009A7D64">
            <w:pPr>
              <w:spacing w:before="60"/>
              <w:rPr>
                <w:sz w:val="22"/>
                <w:szCs w:val="22"/>
                <w:lang w:val="en-US"/>
              </w:rPr>
            </w:pPr>
            <w:r w:rsidRPr="004E4F3D">
              <w:rPr>
                <w:sz w:val="22"/>
                <w:szCs w:val="22"/>
                <w:lang w:val="en-US"/>
              </w:rPr>
              <w:t>0</w:t>
            </w:r>
          </w:p>
        </w:tc>
        <w:tc>
          <w:tcPr>
            <w:tcW w:w="708" w:type="dxa"/>
          </w:tcPr>
          <w:p w14:paraId="5DF5E29E" w14:textId="01E97055" w:rsidR="007B5302" w:rsidRPr="004E4F3D" w:rsidRDefault="00FB25A8" w:rsidP="009A7D64">
            <w:pPr>
              <w:spacing w:before="60"/>
              <w:rPr>
                <w:sz w:val="22"/>
                <w:szCs w:val="22"/>
                <w:lang w:val="en-US"/>
              </w:rPr>
            </w:pPr>
            <w:r>
              <w:rPr>
                <w:sz w:val="22"/>
                <w:szCs w:val="22"/>
                <w:lang w:val="en-US"/>
              </w:rPr>
              <w:t>100</w:t>
            </w:r>
          </w:p>
        </w:tc>
        <w:tc>
          <w:tcPr>
            <w:tcW w:w="709" w:type="dxa"/>
          </w:tcPr>
          <w:p w14:paraId="16A529B2" w14:textId="40F782EA" w:rsidR="007B5302" w:rsidRPr="004E4F3D" w:rsidRDefault="007B5302" w:rsidP="009A7D64">
            <w:pPr>
              <w:spacing w:before="60"/>
              <w:rPr>
                <w:sz w:val="22"/>
                <w:szCs w:val="22"/>
                <w:lang w:val="en-US"/>
              </w:rPr>
            </w:pPr>
            <w:r w:rsidRPr="004E4F3D">
              <w:rPr>
                <w:sz w:val="22"/>
                <w:szCs w:val="22"/>
                <w:lang w:val="en-US"/>
              </w:rPr>
              <w:t>166</w:t>
            </w:r>
          </w:p>
        </w:tc>
        <w:tc>
          <w:tcPr>
            <w:tcW w:w="671" w:type="dxa"/>
          </w:tcPr>
          <w:p w14:paraId="6FA65127" w14:textId="0603E85D" w:rsidR="007B5302" w:rsidRPr="004E4F3D" w:rsidRDefault="00821D0E" w:rsidP="009A7D64">
            <w:pPr>
              <w:spacing w:before="60"/>
              <w:rPr>
                <w:sz w:val="22"/>
                <w:szCs w:val="22"/>
                <w:lang w:val="en-US"/>
              </w:rPr>
            </w:pPr>
            <w:r>
              <w:rPr>
                <w:sz w:val="22"/>
                <w:szCs w:val="22"/>
                <w:lang w:val="en-US"/>
              </w:rPr>
              <w:t>330</w:t>
            </w:r>
          </w:p>
        </w:tc>
      </w:tr>
      <w:tr w:rsidR="007B5302" w:rsidRPr="004E4F3D" w14:paraId="187920C0" w14:textId="77777777" w:rsidTr="0070089A">
        <w:tc>
          <w:tcPr>
            <w:tcW w:w="733" w:type="dxa"/>
          </w:tcPr>
          <w:p w14:paraId="642BD7D0" w14:textId="7E4CAFF5" w:rsidR="007B5302" w:rsidRPr="004E4F3D" w:rsidRDefault="00CF449E" w:rsidP="00F805B9">
            <w:pPr>
              <w:spacing w:before="60"/>
              <w:rPr>
                <w:sz w:val="22"/>
                <w:szCs w:val="22"/>
                <w:lang w:val="en-US"/>
              </w:rPr>
            </w:pPr>
            <w:r w:rsidRPr="004E4F3D">
              <w:rPr>
                <w:sz w:val="22"/>
                <w:szCs w:val="22"/>
                <w:lang w:val="en-US"/>
              </w:rPr>
              <w:t>CP</w:t>
            </w:r>
          </w:p>
        </w:tc>
        <w:tc>
          <w:tcPr>
            <w:tcW w:w="696" w:type="dxa"/>
          </w:tcPr>
          <w:p w14:paraId="01032F17" w14:textId="77777777" w:rsidR="007B5302" w:rsidRPr="004E4F3D" w:rsidRDefault="007B5302" w:rsidP="00F805B9">
            <w:pPr>
              <w:spacing w:before="60"/>
              <w:rPr>
                <w:sz w:val="22"/>
                <w:szCs w:val="22"/>
                <w:lang w:val="en-US"/>
              </w:rPr>
            </w:pPr>
          </w:p>
        </w:tc>
        <w:tc>
          <w:tcPr>
            <w:tcW w:w="696" w:type="dxa"/>
          </w:tcPr>
          <w:p w14:paraId="723247BD" w14:textId="77777777" w:rsidR="007B5302" w:rsidRPr="004E4F3D" w:rsidRDefault="007B5302" w:rsidP="00F805B9">
            <w:pPr>
              <w:spacing w:before="60"/>
              <w:rPr>
                <w:sz w:val="22"/>
                <w:szCs w:val="22"/>
                <w:lang w:val="en-US"/>
              </w:rPr>
            </w:pPr>
          </w:p>
        </w:tc>
        <w:tc>
          <w:tcPr>
            <w:tcW w:w="696" w:type="dxa"/>
          </w:tcPr>
          <w:p w14:paraId="0DF71B52" w14:textId="77777777" w:rsidR="007B5302" w:rsidRPr="004E4F3D" w:rsidRDefault="007B5302" w:rsidP="00F805B9">
            <w:pPr>
              <w:spacing w:before="60"/>
              <w:rPr>
                <w:sz w:val="22"/>
                <w:szCs w:val="22"/>
                <w:lang w:val="en-US"/>
              </w:rPr>
            </w:pPr>
          </w:p>
        </w:tc>
        <w:tc>
          <w:tcPr>
            <w:tcW w:w="696" w:type="dxa"/>
          </w:tcPr>
          <w:p w14:paraId="5BDFC8F7" w14:textId="77777777" w:rsidR="007B5302" w:rsidRPr="004E4F3D" w:rsidRDefault="007B5302" w:rsidP="00F805B9">
            <w:pPr>
              <w:spacing w:before="60"/>
              <w:rPr>
                <w:sz w:val="22"/>
                <w:szCs w:val="22"/>
                <w:lang w:val="en-US"/>
              </w:rPr>
            </w:pPr>
          </w:p>
        </w:tc>
        <w:tc>
          <w:tcPr>
            <w:tcW w:w="696" w:type="dxa"/>
          </w:tcPr>
          <w:p w14:paraId="332DA411" w14:textId="77777777" w:rsidR="007B5302" w:rsidRPr="004E4F3D" w:rsidRDefault="007B5302" w:rsidP="00F805B9">
            <w:pPr>
              <w:spacing w:before="60"/>
              <w:rPr>
                <w:sz w:val="22"/>
                <w:szCs w:val="22"/>
                <w:lang w:val="en-US"/>
              </w:rPr>
            </w:pPr>
          </w:p>
        </w:tc>
        <w:tc>
          <w:tcPr>
            <w:tcW w:w="696" w:type="dxa"/>
          </w:tcPr>
          <w:p w14:paraId="78FBEF12" w14:textId="77777777" w:rsidR="007B5302" w:rsidRPr="004E4F3D" w:rsidRDefault="007B5302" w:rsidP="00F805B9">
            <w:pPr>
              <w:spacing w:before="60"/>
              <w:rPr>
                <w:sz w:val="22"/>
                <w:szCs w:val="22"/>
                <w:lang w:val="en-US"/>
              </w:rPr>
            </w:pPr>
          </w:p>
        </w:tc>
        <w:tc>
          <w:tcPr>
            <w:tcW w:w="696" w:type="dxa"/>
          </w:tcPr>
          <w:p w14:paraId="740F9001" w14:textId="77777777" w:rsidR="007B5302" w:rsidRPr="004E4F3D" w:rsidRDefault="007B5302" w:rsidP="00F805B9">
            <w:pPr>
              <w:spacing w:before="60"/>
              <w:rPr>
                <w:sz w:val="22"/>
                <w:szCs w:val="22"/>
                <w:lang w:val="en-US"/>
              </w:rPr>
            </w:pPr>
          </w:p>
        </w:tc>
        <w:tc>
          <w:tcPr>
            <w:tcW w:w="696" w:type="dxa"/>
          </w:tcPr>
          <w:p w14:paraId="141469FB" w14:textId="77777777" w:rsidR="007B5302" w:rsidRPr="004E4F3D" w:rsidRDefault="007B5302" w:rsidP="00F805B9">
            <w:pPr>
              <w:spacing w:before="60"/>
              <w:rPr>
                <w:sz w:val="22"/>
                <w:szCs w:val="22"/>
                <w:lang w:val="en-US"/>
              </w:rPr>
            </w:pPr>
          </w:p>
        </w:tc>
        <w:tc>
          <w:tcPr>
            <w:tcW w:w="696" w:type="dxa"/>
          </w:tcPr>
          <w:p w14:paraId="6E328026" w14:textId="77777777" w:rsidR="007B5302" w:rsidRPr="004E4F3D" w:rsidRDefault="007B5302" w:rsidP="00F805B9">
            <w:pPr>
              <w:spacing w:before="60"/>
              <w:rPr>
                <w:sz w:val="22"/>
                <w:szCs w:val="22"/>
                <w:lang w:val="en-US"/>
              </w:rPr>
            </w:pPr>
          </w:p>
        </w:tc>
        <w:tc>
          <w:tcPr>
            <w:tcW w:w="696" w:type="dxa"/>
          </w:tcPr>
          <w:p w14:paraId="226B13F7" w14:textId="77777777" w:rsidR="007B5302" w:rsidRPr="004E4F3D" w:rsidRDefault="007B5302" w:rsidP="00F805B9">
            <w:pPr>
              <w:spacing w:before="60"/>
              <w:rPr>
                <w:sz w:val="22"/>
                <w:szCs w:val="22"/>
                <w:lang w:val="en-US"/>
              </w:rPr>
            </w:pPr>
          </w:p>
        </w:tc>
        <w:tc>
          <w:tcPr>
            <w:tcW w:w="696" w:type="dxa"/>
          </w:tcPr>
          <w:p w14:paraId="00E99C69" w14:textId="77777777" w:rsidR="007B5302" w:rsidRPr="004E4F3D" w:rsidRDefault="007B5302" w:rsidP="00F805B9">
            <w:pPr>
              <w:spacing w:before="60"/>
              <w:rPr>
                <w:sz w:val="22"/>
                <w:szCs w:val="22"/>
                <w:lang w:val="en-US"/>
              </w:rPr>
            </w:pPr>
          </w:p>
        </w:tc>
        <w:tc>
          <w:tcPr>
            <w:tcW w:w="696" w:type="dxa"/>
          </w:tcPr>
          <w:p w14:paraId="1D222C08" w14:textId="77777777" w:rsidR="007B5302" w:rsidRPr="004E4F3D" w:rsidRDefault="007B5302" w:rsidP="00F805B9">
            <w:pPr>
              <w:spacing w:before="60"/>
              <w:rPr>
                <w:sz w:val="22"/>
                <w:szCs w:val="22"/>
                <w:lang w:val="en-US"/>
              </w:rPr>
            </w:pPr>
          </w:p>
        </w:tc>
        <w:tc>
          <w:tcPr>
            <w:tcW w:w="696" w:type="dxa"/>
          </w:tcPr>
          <w:p w14:paraId="42FFF81D" w14:textId="4F3083BB" w:rsidR="007B5302" w:rsidRPr="004E4F3D" w:rsidRDefault="007B5302" w:rsidP="00F805B9">
            <w:pPr>
              <w:spacing w:before="60"/>
              <w:rPr>
                <w:sz w:val="22"/>
                <w:szCs w:val="22"/>
                <w:lang w:val="en-US"/>
              </w:rPr>
            </w:pPr>
            <w:r w:rsidRPr="004E4F3D">
              <w:rPr>
                <w:sz w:val="22"/>
                <w:szCs w:val="22"/>
                <w:lang w:val="en-US"/>
              </w:rPr>
              <w:t>174</w:t>
            </w:r>
          </w:p>
        </w:tc>
        <w:tc>
          <w:tcPr>
            <w:tcW w:w="708" w:type="dxa"/>
          </w:tcPr>
          <w:p w14:paraId="5121FDC0" w14:textId="6DD650BA" w:rsidR="007B5302" w:rsidRPr="004E4F3D" w:rsidRDefault="007B5302" w:rsidP="00F805B9">
            <w:pPr>
              <w:spacing w:before="60"/>
              <w:rPr>
                <w:sz w:val="22"/>
                <w:szCs w:val="22"/>
                <w:lang w:val="en-US"/>
              </w:rPr>
            </w:pPr>
            <w:r w:rsidRPr="004E4F3D">
              <w:rPr>
                <w:sz w:val="22"/>
                <w:szCs w:val="22"/>
                <w:lang w:val="en-US"/>
              </w:rPr>
              <w:t>154</w:t>
            </w:r>
          </w:p>
        </w:tc>
        <w:tc>
          <w:tcPr>
            <w:tcW w:w="709" w:type="dxa"/>
          </w:tcPr>
          <w:p w14:paraId="1D3F1703" w14:textId="38CD1F1C" w:rsidR="007B5302" w:rsidRPr="004E4F3D" w:rsidRDefault="00025F32" w:rsidP="00F805B9">
            <w:pPr>
              <w:spacing w:before="60"/>
              <w:rPr>
                <w:sz w:val="22"/>
                <w:szCs w:val="22"/>
                <w:lang w:val="en-US"/>
              </w:rPr>
            </w:pPr>
            <w:r w:rsidRPr="004E4F3D">
              <w:rPr>
                <w:sz w:val="22"/>
                <w:szCs w:val="22"/>
                <w:lang w:val="en-US"/>
              </w:rPr>
              <w:t>3</w:t>
            </w:r>
          </w:p>
        </w:tc>
        <w:tc>
          <w:tcPr>
            <w:tcW w:w="671" w:type="dxa"/>
          </w:tcPr>
          <w:p w14:paraId="1FA55C6A" w14:textId="2539065D" w:rsidR="007B5302" w:rsidRPr="004E4F3D" w:rsidRDefault="00025F32" w:rsidP="00F805B9">
            <w:pPr>
              <w:spacing w:before="60"/>
              <w:rPr>
                <w:sz w:val="22"/>
                <w:szCs w:val="22"/>
                <w:lang w:val="en-US"/>
              </w:rPr>
            </w:pPr>
            <w:r w:rsidRPr="004E4F3D">
              <w:rPr>
                <w:sz w:val="22"/>
                <w:szCs w:val="22"/>
                <w:lang w:val="en-US"/>
              </w:rPr>
              <w:t>173</w:t>
            </w:r>
          </w:p>
        </w:tc>
      </w:tr>
      <w:tr w:rsidR="007B5302" w:rsidRPr="004E4F3D" w14:paraId="1C20566E" w14:textId="77777777" w:rsidTr="0070089A">
        <w:tc>
          <w:tcPr>
            <w:tcW w:w="733" w:type="dxa"/>
          </w:tcPr>
          <w:p w14:paraId="2A47CACE" w14:textId="1069B6ED" w:rsidR="007B5302" w:rsidRPr="004E4F3D" w:rsidRDefault="00811EBC" w:rsidP="00F07E46">
            <w:pPr>
              <w:spacing w:before="60"/>
              <w:rPr>
                <w:sz w:val="22"/>
                <w:szCs w:val="22"/>
                <w:lang w:val="en-US"/>
              </w:rPr>
            </w:pPr>
            <w:r w:rsidRPr="004E4F3D">
              <w:rPr>
                <w:sz w:val="22"/>
                <w:szCs w:val="22"/>
                <w:lang w:val="en-US"/>
              </w:rPr>
              <w:t>App</w:t>
            </w:r>
          </w:p>
        </w:tc>
        <w:tc>
          <w:tcPr>
            <w:tcW w:w="696" w:type="dxa"/>
          </w:tcPr>
          <w:p w14:paraId="1F3C0686" w14:textId="77777777" w:rsidR="007B5302" w:rsidRPr="004E4F3D" w:rsidRDefault="007B5302" w:rsidP="00F07E46">
            <w:pPr>
              <w:spacing w:before="60"/>
              <w:rPr>
                <w:sz w:val="22"/>
                <w:szCs w:val="22"/>
                <w:lang w:val="en-US"/>
              </w:rPr>
            </w:pPr>
          </w:p>
        </w:tc>
        <w:tc>
          <w:tcPr>
            <w:tcW w:w="696" w:type="dxa"/>
          </w:tcPr>
          <w:p w14:paraId="5CD2F34F" w14:textId="77777777" w:rsidR="007B5302" w:rsidRPr="004E4F3D" w:rsidRDefault="007B5302" w:rsidP="00F07E46">
            <w:pPr>
              <w:spacing w:before="60"/>
              <w:rPr>
                <w:sz w:val="22"/>
                <w:szCs w:val="22"/>
                <w:lang w:val="en-US"/>
              </w:rPr>
            </w:pPr>
          </w:p>
        </w:tc>
        <w:tc>
          <w:tcPr>
            <w:tcW w:w="696" w:type="dxa"/>
          </w:tcPr>
          <w:p w14:paraId="23CCF31F" w14:textId="77777777" w:rsidR="007B5302" w:rsidRPr="004E4F3D" w:rsidRDefault="007B5302" w:rsidP="00F07E46">
            <w:pPr>
              <w:spacing w:before="60"/>
              <w:rPr>
                <w:sz w:val="22"/>
                <w:szCs w:val="22"/>
                <w:lang w:val="en-US"/>
              </w:rPr>
            </w:pPr>
          </w:p>
        </w:tc>
        <w:tc>
          <w:tcPr>
            <w:tcW w:w="696" w:type="dxa"/>
          </w:tcPr>
          <w:p w14:paraId="0897A270" w14:textId="77777777" w:rsidR="007B5302" w:rsidRPr="004E4F3D" w:rsidRDefault="007B5302" w:rsidP="00F07E46">
            <w:pPr>
              <w:spacing w:before="60"/>
              <w:rPr>
                <w:sz w:val="22"/>
                <w:szCs w:val="22"/>
                <w:lang w:val="en-US"/>
              </w:rPr>
            </w:pPr>
          </w:p>
        </w:tc>
        <w:tc>
          <w:tcPr>
            <w:tcW w:w="696" w:type="dxa"/>
          </w:tcPr>
          <w:p w14:paraId="3C3F62AD" w14:textId="77777777" w:rsidR="007B5302" w:rsidRPr="004E4F3D" w:rsidRDefault="007B5302" w:rsidP="00F07E46">
            <w:pPr>
              <w:spacing w:before="60"/>
              <w:rPr>
                <w:sz w:val="22"/>
                <w:szCs w:val="22"/>
                <w:lang w:val="en-US"/>
              </w:rPr>
            </w:pPr>
          </w:p>
        </w:tc>
        <w:tc>
          <w:tcPr>
            <w:tcW w:w="696" w:type="dxa"/>
          </w:tcPr>
          <w:p w14:paraId="66B96555" w14:textId="77777777" w:rsidR="007B5302" w:rsidRPr="004E4F3D" w:rsidRDefault="007B5302" w:rsidP="00F07E46">
            <w:pPr>
              <w:spacing w:before="60"/>
              <w:rPr>
                <w:sz w:val="22"/>
                <w:szCs w:val="22"/>
                <w:lang w:val="en-US"/>
              </w:rPr>
            </w:pPr>
          </w:p>
        </w:tc>
        <w:tc>
          <w:tcPr>
            <w:tcW w:w="696" w:type="dxa"/>
          </w:tcPr>
          <w:p w14:paraId="71714997" w14:textId="77777777" w:rsidR="007B5302" w:rsidRPr="004E4F3D" w:rsidRDefault="007B5302" w:rsidP="00F07E46">
            <w:pPr>
              <w:spacing w:before="60"/>
              <w:rPr>
                <w:sz w:val="22"/>
                <w:szCs w:val="22"/>
                <w:lang w:val="en-US"/>
              </w:rPr>
            </w:pPr>
          </w:p>
        </w:tc>
        <w:tc>
          <w:tcPr>
            <w:tcW w:w="696" w:type="dxa"/>
          </w:tcPr>
          <w:p w14:paraId="22210C49" w14:textId="77777777" w:rsidR="007B5302" w:rsidRPr="004E4F3D" w:rsidRDefault="007B5302" w:rsidP="00F07E46">
            <w:pPr>
              <w:spacing w:before="60"/>
              <w:rPr>
                <w:sz w:val="22"/>
                <w:szCs w:val="22"/>
                <w:lang w:val="en-US"/>
              </w:rPr>
            </w:pPr>
          </w:p>
        </w:tc>
        <w:tc>
          <w:tcPr>
            <w:tcW w:w="696" w:type="dxa"/>
          </w:tcPr>
          <w:p w14:paraId="68E10BAF" w14:textId="77777777" w:rsidR="007B5302" w:rsidRPr="004E4F3D" w:rsidRDefault="007B5302" w:rsidP="00F07E46">
            <w:pPr>
              <w:spacing w:before="60"/>
              <w:rPr>
                <w:sz w:val="22"/>
                <w:szCs w:val="22"/>
                <w:lang w:val="en-US"/>
              </w:rPr>
            </w:pPr>
          </w:p>
        </w:tc>
        <w:tc>
          <w:tcPr>
            <w:tcW w:w="696" w:type="dxa"/>
          </w:tcPr>
          <w:p w14:paraId="1C8A1723" w14:textId="77777777" w:rsidR="007B5302" w:rsidRPr="004E4F3D" w:rsidRDefault="007B5302" w:rsidP="00F07E46">
            <w:pPr>
              <w:spacing w:before="60"/>
              <w:rPr>
                <w:sz w:val="22"/>
                <w:szCs w:val="22"/>
                <w:lang w:val="en-US"/>
              </w:rPr>
            </w:pPr>
          </w:p>
        </w:tc>
        <w:tc>
          <w:tcPr>
            <w:tcW w:w="696" w:type="dxa"/>
          </w:tcPr>
          <w:p w14:paraId="78A65607" w14:textId="77777777" w:rsidR="007B5302" w:rsidRPr="004E4F3D" w:rsidRDefault="007B5302" w:rsidP="00F07E46">
            <w:pPr>
              <w:spacing w:before="60"/>
              <w:rPr>
                <w:sz w:val="22"/>
                <w:szCs w:val="22"/>
                <w:lang w:val="en-US"/>
              </w:rPr>
            </w:pPr>
          </w:p>
        </w:tc>
        <w:tc>
          <w:tcPr>
            <w:tcW w:w="696" w:type="dxa"/>
          </w:tcPr>
          <w:p w14:paraId="203F5337" w14:textId="77777777" w:rsidR="007B5302" w:rsidRPr="004E4F3D" w:rsidRDefault="007B5302" w:rsidP="00F07E46">
            <w:pPr>
              <w:spacing w:before="60"/>
              <w:rPr>
                <w:sz w:val="22"/>
                <w:szCs w:val="22"/>
                <w:lang w:val="en-US"/>
              </w:rPr>
            </w:pPr>
          </w:p>
        </w:tc>
        <w:tc>
          <w:tcPr>
            <w:tcW w:w="696" w:type="dxa"/>
          </w:tcPr>
          <w:p w14:paraId="38682472" w14:textId="77777777" w:rsidR="007B5302" w:rsidRPr="004E4F3D" w:rsidRDefault="007B5302" w:rsidP="00F07E46">
            <w:pPr>
              <w:spacing w:before="60"/>
              <w:rPr>
                <w:sz w:val="22"/>
                <w:szCs w:val="22"/>
                <w:lang w:val="en-US"/>
              </w:rPr>
            </w:pPr>
          </w:p>
        </w:tc>
        <w:tc>
          <w:tcPr>
            <w:tcW w:w="708" w:type="dxa"/>
          </w:tcPr>
          <w:p w14:paraId="6DEB503E" w14:textId="0A5F755C" w:rsidR="007B5302" w:rsidRPr="004E4F3D" w:rsidRDefault="009177A5" w:rsidP="00F07E46">
            <w:pPr>
              <w:spacing w:before="60"/>
              <w:rPr>
                <w:sz w:val="22"/>
                <w:szCs w:val="22"/>
                <w:lang w:val="en-US"/>
              </w:rPr>
            </w:pPr>
            <w:r>
              <w:rPr>
                <w:sz w:val="22"/>
                <w:szCs w:val="22"/>
                <w:lang w:val="en-US"/>
              </w:rPr>
              <w:t>1667</w:t>
            </w:r>
          </w:p>
        </w:tc>
        <w:tc>
          <w:tcPr>
            <w:tcW w:w="709" w:type="dxa"/>
          </w:tcPr>
          <w:p w14:paraId="77723E53" w14:textId="50AF4C63" w:rsidR="007B5302" w:rsidRPr="004E4F3D" w:rsidRDefault="007B5302" w:rsidP="00F07E46">
            <w:pPr>
              <w:spacing w:before="60"/>
              <w:rPr>
                <w:sz w:val="22"/>
                <w:szCs w:val="22"/>
                <w:lang w:val="en-US"/>
              </w:rPr>
            </w:pPr>
            <w:r w:rsidRPr="004E4F3D">
              <w:rPr>
                <w:sz w:val="22"/>
                <w:szCs w:val="22"/>
                <w:lang w:val="en-US"/>
              </w:rPr>
              <w:t>1595</w:t>
            </w:r>
          </w:p>
        </w:tc>
        <w:tc>
          <w:tcPr>
            <w:tcW w:w="671" w:type="dxa"/>
          </w:tcPr>
          <w:p w14:paraId="74CDF441" w14:textId="17B5E98A" w:rsidR="007B5302" w:rsidRPr="004E4F3D" w:rsidRDefault="00025F32" w:rsidP="00F07E46">
            <w:pPr>
              <w:spacing w:before="60"/>
              <w:rPr>
                <w:sz w:val="22"/>
                <w:szCs w:val="22"/>
                <w:lang w:val="en-US"/>
              </w:rPr>
            </w:pPr>
            <w:r w:rsidRPr="004E4F3D">
              <w:rPr>
                <w:sz w:val="22"/>
                <w:szCs w:val="22"/>
                <w:lang w:val="en-US"/>
              </w:rPr>
              <w:t>956</w:t>
            </w:r>
          </w:p>
        </w:tc>
      </w:tr>
    </w:tbl>
    <w:p w14:paraId="4A224311" w14:textId="77777777" w:rsidR="00811EBC" w:rsidRPr="004E4F3D" w:rsidRDefault="00811EBC" w:rsidP="000C78EF">
      <w:pPr>
        <w:spacing w:before="60"/>
        <w:rPr>
          <w:lang w:val="en-US"/>
        </w:rPr>
      </w:pPr>
    </w:p>
    <w:p w14:paraId="7ACD6C23" w14:textId="7B55D68C" w:rsidR="00414223" w:rsidRPr="004E4F3D" w:rsidRDefault="001316D5" w:rsidP="000C78EF">
      <w:pPr>
        <w:spacing w:before="60"/>
        <w:rPr>
          <w:lang w:val="en-US"/>
        </w:rPr>
        <w:sectPr w:rsidR="00414223" w:rsidRPr="004E4F3D" w:rsidSect="00A26297">
          <w:pgSz w:w="16840" w:h="11900" w:orient="landscape"/>
          <w:pgMar w:top="1800" w:right="1440" w:bottom="1800" w:left="1440" w:header="708" w:footer="708" w:gutter="0"/>
          <w:cols w:space="708"/>
          <w:docGrid w:linePitch="360"/>
        </w:sectPr>
      </w:pPr>
      <w:r w:rsidRPr="004E4F3D">
        <w:rPr>
          <w:lang w:val="en-US"/>
        </w:rPr>
        <w:t xml:space="preserve">Note: </w:t>
      </w:r>
      <w:r w:rsidR="00A26297" w:rsidRPr="004E4F3D">
        <w:rPr>
          <w:lang w:val="en-US"/>
        </w:rPr>
        <w:t>R</w:t>
      </w:r>
      <w:r w:rsidR="000C78EF" w:rsidRPr="004E4F3D">
        <w:rPr>
          <w:lang w:val="en-US"/>
        </w:rPr>
        <w:t xml:space="preserve">E= </w:t>
      </w:r>
      <w:r w:rsidR="000C78EF" w:rsidRPr="004E4F3D">
        <w:rPr>
          <w:i/>
          <w:lang w:val="en-US"/>
        </w:rPr>
        <w:t>Right of Establishment</w:t>
      </w:r>
      <w:r w:rsidR="000C78EF" w:rsidRPr="004E4F3D">
        <w:rPr>
          <w:lang w:val="en-US"/>
        </w:rPr>
        <w:t xml:space="preserve"> (articles 43-48</w:t>
      </w:r>
      <w:r w:rsidR="004C60B1" w:rsidRPr="004E4F3D">
        <w:rPr>
          <w:lang w:val="en-US"/>
        </w:rPr>
        <w:t xml:space="preserve"> TEC</w:t>
      </w:r>
      <w:r w:rsidR="000C78EF" w:rsidRPr="004E4F3D">
        <w:rPr>
          <w:lang w:val="en-US"/>
        </w:rPr>
        <w:t>)</w:t>
      </w:r>
      <w:r w:rsidR="00A26297" w:rsidRPr="004E4F3D">
        <w:rPr>
          <w:lang w:val="en-US"/>
        </w:rPr>
        <w:t>,</w:t>
      </w:r>
      <w:r w:rsidR="000C78EF" w:rsidRPr="004E4F3D">
        <w:rPr>
          <w:lang w:val="en-US"/>
        </w:rPr>
        <w:t xml:space="preserve"> </w:t>
      </w:r>
      <w:r w:rsidR="000C78EF" w:rsidRPr="004E4F3D">
        <w:rPr>
          <w:i/>
          <w:lang w:val="en-US"/>
        </w:rPr>
        <w:t>Tax</w:t>
      </w:r>
      <w:r w:rsidR="00A26297" w:rsidRPr="004E4F3D">
        <w:rPr>
          <w:i/>
          <w:lang w:val="en-US"/>
        </w:rPr>
        <w:t>es</w:t>
      </w:r>
      <w:r w:rsidR="000C78EF" w:rsidRPr="004E4F3D">
        <w:rPr>
          <w:lang w:val="en-US"/>
        </w:rPr>
        <w:t xml:space="preserve"> (art</w:t>
      </w:r>
      <w:r w:rsidR="004C60B1" w:rsidRPr="004E4F3D">
        <w:rPr>
          <w:lang w:val="en-US"/>
        </w:rPr>
        <w:t>s</w:t>
      </w:r>
      <w:r w:rsidR="000C78EF" w:rsidRPr="004E4F3D">
        <w:rPr>
          <w:lang w:val="en-US"/>
        </w:rPr>
        <w:t>. 90-93 TEC), A</w:t>
      </w:r>
      <w:r w:rsidR="00A26297" w:rsidRPr="004E4F3D">
        <w:rPr>
          <w:lang w:val="en-US"/>
        </w:rPr>
        <w:t>gri</w:t>
      </w:r>
      <w:r w:rsidR="000C78EF" w:rsidRPr="004E4F3D">
        <w:rPr>
          <w:lang w:val="en-US"/>
        </w:rPr>
        <w:t xml:space="preserve">= </w:t>
      </w:r>
      <w:r w:rsidR="000C78EF" w:rsidRPr="004E4F3D">
        <w:rPr>
          <w:i/>
          <w:lang w:val="en-US"/>
        </w:rPr>
        <w:t>Agriculture</w:t>
      </w:r>
      <w:r w:rsidR="000C78EF" w:rsidRPr="004E4F3D">
        <w:rPr>
          <w:lang w:val="en-US"/>
        </w:rPr>
        <w:t xml:space="preserve"> (art</w:t>
      </w:r>
      <w:r w:rsidR="004C60B1" w:rsidRPr="004E4F3D">
        <w:rPr>
          <w:lang w:val="en-US"/>
        </w:rPr>
        <w:t>s</w:t>
      </w:r>
      <w:r w:rsidR="000C78EF" w:rsidRPr="004E4F3D">
        <w:rPr>
          <w:lang w:val="en-US"/>
        </w:rPr>
        <w:t xml:space="preserve">. 32-38 TEC), </w:t>
      </w:r>
      <w:r w:rsidR="00A26297" w:rsidRPr="004E4F3D">
        <w:rPr>
          <w:lang w:val="en-US"/>
        </w:rPr>
        <w:t xml:space="preserve">FG= </w:t>
      </w:r>
      <w:r w:rsidR="000C78EF" w:rsidRPr="004E4F3D">
        <w:rPr>
          <w:i/>
          <w:lang w:val="en-US"/>
        </w:rPr>
        <w:t>Free movement of Goods</w:t>
      </w:r>
      <w:r w:rsidR="000C78EF" w:rsidRPr="004E4F3D">
        <w:rPr>
          <w:lang w:val="en-US"/>
        </w:rPr>
        <w:t xml:space="preserve"> (</w:t>
      </w:r>
      <w:r w:rsidR="004C60B1" w:rsidRPr="004E4F3D">
        <w:rPr>
          <w:lang w:val="en-US"/>
        </w:rPr>
        <w:t>arts.</w:t>
      </w:r>
      <w:r w:rsidR="000C78EF" w:rsidRPr="004E4F3D">
        <w:rPr>
          <w:lang w:val="en-US"/>
        </w:rPr>
        <w:t xml:space="preserve"> 23-31 TEC</w:t>
      </w:r>
      <w:r w:rsidR="00A26297" w:rsidRPr="004E4F3D">
        <w:rPr>
          <w:lang w:val="en-US"/>
        </w:rPr>
        <w:t>), Com</w:t>
      </w:r>
      <w:r w:rsidR="000C78EF" w:rsidRPr="004E4F3D">
        <w:rPr>
          <w:lang w:val="en-US"/>
        </w:rPr>
        <w:t xml:space="preserve">= </w:t>
      </w:r>
      <w:r w:rsidR="000C78EF" w:rsidRPr="004E4F3D">
        <w:rPr>
          <w:i/>
          <w:iCs/>
          <w:lang w:val="en-US"/>
        </w:rPr>
        <w:t>Competition</w:t>
      </w:r>
      <w:r w:rsidR="000C78EF" w:rsidRPr="004E4F3D">
        <w:rPr>
          <w:lang w:val="en-US"/>
        </w:rPr>
        <w:t xml:space="preserve"> (art</w:t>
      </w:r>
      <w:r w:rsidR="004C60B1" w:rsidRPr="004E4F3D">
        <w:rPr>
          <w:lang w:val="en-US"/>
        </w:rPr>
        <w:t>s</w:t>
      </w:r>
      <w:r w:rsidR="000C78EF" w:rsidRPr="004E4F3D">
        <w:rPr>
          <w:lang w:val="en-US"/>
        </w:rPr>
        <w:t>. 81-89 TEC), CU=</w:t>
      </w:r>
      <w:r w:rsidR="000C78EF" w:rsidRPr="004E4F3D">
        <w:rPr>
          <w:i/>
          <w:lang w:val="en-US"/>
        </w:rPr>
        <w:t>Customs Union</w:t>
      </w:r>
      <w:r w:rsidR="004C60B1" w:rsidRPr="004E4F3D">
        <w:rPr>
          <w:lang w:val="en-US"/>
        </w:rPr>
        <w:t xml:space="preserve"> (art</w:t>
      </w:r>
      <w:r w:rsidR="0027130C" w:rsidRPr="004E4F3D">
        <w:rPr>
          <w:lang w:val="en-US"/>
        </w:rPr>
        <w:t>s</w:t>
      </w:r>
      <w:r w:rsidR="004C60B1" w:rsidRPr="004E4F3D">
        <w:rPr>
          <w:lang w:val="en-US"/>
        </w:rPr>
        <w:t>. 131-135</w:t>
      </w:r>
      <w:r w:rsidR="000C78EF" w:rsidRPr="004E4F3D">
        <w:rPr>
          <w:lang w:val="en-US"/>
        </w:rPr>
        <w:t xml:space="preserve"> TEC), </w:t>
      </w:r>
      <w:r w:rsidR="00856761" w:rsidRPr="004E4F3D">
        <w:rPr>
          <w:lang w:val="en-US"/>
        </w:rPr>
        <w:t xml:space="preserve">FS= </w:t>
      </w:r>
      <w:r w:rsidR="00856761" w:rsidRPr="004E4F3D">
        <w:rPr>
          <w:i/>
          <w:lang w:val="en-US"/>
        </w:rPr>
        <w:t>Free Moveme</w:t>
      </w:r>
      <w:r w:rsidR="0052598E" w:rsidRPr="004E4F3D">
        <w:rPr>
          <w:i/>
          <w:lang w:val="en-US"/>
        </w:rPr>
        <w:t>nt of Services</w:t>
      </w:r>
      <w:r w:rsidR="0034278F" w:rsidRPr="004E4F3D">
        <w:rPr>
          <w:lang w:val="en-US"/>
        </w:rPr>
        <w:t xml:space="preserve"> (art</w:t>
      </w:r>
      <w:r w:rsidR="0027130C" w:rsidRPr="004E4F3D">
        <w:rPr>
          <w:lang w:val="en-US"/>
        </w:rPr>
        <w:t>s</w:t>
      </w:r>
      <w:r w:rsidR="0034278F" w:rsidRPr="004E4F3D">
        <w:rPr>
          <w:lang w:val="en-US"/>
        </w:rPr>
        <w:t>. 49-55</w:t>
      </w:r>
      <w:r w:rsidR="0027130C" w:rsidRPr="004E4F3D">
        <w:rPr>
          <w:lang w:val="en-US"/>
        </w:rPr>
        <w:t xml:space="preserve"> TEC</w:t>
      </w:r>
      <w:r w:rsidR="0052598E" w:rsidRPr="004E4F3D">
        <w:rPr>
          <w:lang w:val="en-US"/>
        </w:rPr>
        <w:t xml:space="preserve">), Tra= </w:t>
      </w:r>
      <w:r w:rsidR="0052598E" w:rsidRPr="004E4F3D">
        <w:rPr>
          <w:i/>
          <w:lang w:val="en-US"/>
        </w:rPr>
        <w:t>Transport</w:t>
      </w:r>
      <w:r w:rsidR="004C60B1" w:rsidRPr="004E4F3D">
        <w:rPr>
          <w:lang w:val="en-US"/>
        </w:rPr>
        <w:t xml:space="preserve"> (arts. 70-80</w:t>
      </w:r>
      <w:r w:rsidR="0027130C" w:rsidRPr="004E4F3D">
        <w:rPr>
          <w:lang w:val="en-US"/>
        </w:rPr>
        <w:t xml:space="preserve"> TEC</w:t>
      </w:r>
      <w:r w:rsidR="0052598E" w:rsidRPr="004E4F3D">
        <w:rPr>
          <w:lang w:val="en-US"/>
        </w:rPr>
        <w:t xml:space="preserve">), </w:t>
      </w:r>
      <w:r w:rsidR="00D929B4" w:rsidRPr="004E4F3D">
        <w:rPr>
          <w:lang w:val="en-US"/>
        </w:rPr>
        <w:t>FW</w:t>
      </w:r>
      <w:r w:rsidR="000C78EF" w:rsidRPr="004E4F3D">
        <w:rPr>
          <w:lang w:val="en-US"/>
        </w:rPr>
        <w:t xml:space="preserve"> = </w:t>
      </w:r>
      <w:r w:rsidR="000C78EF" w:rsidRPr="004E4F3D">
        <w:rPr>
          <w:i/>
          <w:iCs/>
          <w:lang w:val="en-US"/>
        </w:rPr>
        <w:t>Free Movement of Workers</w:t>
      </w:r>
      <w:r w:rsidR="000C78EF" w:rsidRPr="004E4F3D">
        <w:rPr>
          <w:lang w:val="en-US"/>
        </w:rPr>
        <w:t xml:space="preserve"> (art. 39-42 TEC), </w:t>
      </w:r>
      <w:r w:rsidR="00D929B4" w:rsidRPr="004E4F3D">
        <w:rPr>
          <w:lang w:val="en-US"/>
        </w:rPr>
        <w:t xml:space="preserve">FC= </w:t>
      </w:r>
      <w:r w:rsidR="00D929B4" w:rsidRPr="004E4F3D">
        <w:rPr>
          <w:i/>
          <w:lang w:val="en-US"/>
        </w:rPr>
        <w:t xml:space="preserve">Free Movement of </w:t>
      </w:r>
      <w:r w:rsidR="000C78EF" w:rsidRPr="004E4F3D">
        <w:rPr>
          <w:i/>
          <w:lang w:val="en-US"/>
        </w:rPr>
        <w:t>Capital</w:t>
      </w:r>
      <w:r w:rsidR="00D929B4" w:rsidRPr="004E4F3D">
        <w:rPr>
          <w:lang w:val="en-US"/>
        </w:rPr>
        <w:t xml:space="preserve"> (art</w:t>
      </w:r>
      <w:r w:rsidR="0027130C" w:rsidRPr="004E4F3D">
        <w:rPr>
          <w:lang w:val="en-US"/>
        </w:rPr>
        <w:t>s</w:t>
      </w:r>
      <w:r w:rsidR="00D929B4" w:rsidRPr="004E4F3D">
        <w:rPr>
          <w:lang w:val="en-US"/>
        </w:rPr>
        <w:t>. 56-60 TEC), Env</w:t>
      </w:r>
      <w:r w:rsidR="000C78EF" w:rsidRPr="004E4F3D">
        <w:rPr>
          <w:lang w:val="en-US"/>
        </w:rPr>
        <w:t>=</w:t>
      </w:r>
      <w:r w:rsidR="00D929B4" w:rsidRPr="004E4F3D">
        <w:rPr>
          <w:lang w:val="en-US"/>
        </w:rPr>
        <w:t xml:space="preserve"> </w:t>
      </w:r>
      <w:r w:rsidR="000C78EF" w:rsidRPr="004E4F3D">
        <w:rPr>
          <w:i/>
          <w:lang w:val="en-US"/>
        </w:rPr>
        <w:t>Environment</w:t>
      </w:r>
      <w:r w:rsidR="000C78EF" w:rsidRPr="004E4F3D">
        <w:rPr>
          <w:lang w:val="en-US"/>
        </w:rPr>
        <w:t xml:space="preserve"> (art</w:t>
      </w:r>
      <w:r w:rsidR="0027130C" w:rsidRPr="004E4F3D">
        <w:rPr>
          <w:lang w:val="en-US"/>
        </w:rPr>
        <w:t>s</w:t>
      </w:r>
      <w:r w:rsidR="0066749A" w:rsidRPr="004E4F3D">
        <w:rPr>
          <w:lang w:val="en-US"/>
        </w:rPr>
        <w:t>. 174</w:t>
      </w:r>
      <w:r w:rsidR="000C78EF" w:rsidRPr="004E4F3D">
        <w:rPr>
          <w:lang w:val="en-US"/>
        </w:rPr>
        <w:t xml:space="preserve">-176 TEC), </w:t>
      </w:r>
      <w:r w:rsidR="00D929B4" w:rsidRPr="004E4F3D">
        <w:rPr>
          <w:lang w:val="en-US"/>
        </w:rPr>
        <w:t>SP</w:t>
      </w:r>
      <w:r w:rsidR="000C78EF" w:rsidRPr="004E4F3D">
        <w:rPr>
          <w:lang w:val="en-US"/>
        </w:rPr>
        <w:t>=</w:t>
      </w:r>
      <w:r w:rsidR="00D929B4" w:rsidRPr="004E4F3D">
        <w:rPr>
          <w:lang w:val="en-US"/>
        </w:rPr>
        <w:t xml:space="preserve"> </w:t>
      </w:r>
      <w:r w:rsidR="000C78EF" w:rsidRPr="004E4F3D">
        <w:rPr>
          <w:i/>
          <w:lang w:val="en-US"/>
        </w:rPr>
        <w:t>Social Provisions</w:t>
      </w:r>
      <w:r w:rsidR="000C78EF" w:rsidRPr="004E4F3D">
        <w:rPr>
          <w:lang w:val="en-US"/>
        </w:rPr>
        <w:t xml:space="preserve"> (art. 136-145 TEC), </w:t>
      </w:r>
      <w:r w:rsidR="00CF449E" w:rsidRPr="004E4F3D">
        <w:rPr>
          <w:lang w:val="en-US"/>
        </w:rPr>
        <w:t>CP</w:t>
      </w:r>
      <w:r w:rsidR="000C78EF" w:rsidRPr="004E4F3D">
        <w:rPr>
          <w:lang w:val="en-US"/>
        </w:rPr>
        <w:t>=</w:t>
      </w:r>
      <w:r w:rsidR="000C78EF" w:rsidRPr="004E4F3D">
        <w:rPr>
          <w:i/>
          <w:lang w:val="en-US"/>
        </w:rPr>
        <w:t>Consumer Protection</w:t>
      </w:r>
      <w:r w:rsidR="00CF449E" w:rsidRPr="004E4F3D">
        <w:rPr>
          <w:lang w:val="en-US"/>
        </w:rPr>
        <w:t xml:space="preserve"> (art. 153 TEC), App</w:t>
      </w:r>
      <w:r w:rsidR="000C78EF" w:rsidRPr="004E4F3D">
        <w:rPr>
          <w:lang w:val="en-US"/>
        </w:rPr>
        <w:t>=</w:t>
      </w:r>
      <w:r w:rsidR="000C78EF" w:rsidRPr="004E4F3D">
        <w:rPr>
          <w:i/>
          <w:lang w:val="en-US"/>
        </w:rPr>
        <w:t xml:space="preserve">Approximation of Laws </w:t>
      </w:r>
      <w:r w:rsidR="000C78EF" w:rsidRPr="004E4F3D">
        <w:rPr>
          <w:lang w:val="en-US"/>
        </w:rPr>
        <w:t xml:space="preserve">(art. 94-97 TEC) CA = </w:t>
      </w:r>
      <w:r w:rsidR="00811EBC" w:rsidRPr="004E4F3D">
        <w:rPr>
          <w:lang w:val="en-US"/>
        </w:rPr>
        <w:t>Case Affecting, SM = Subject M</w:t>
      </w:r>
      <w:r w:rsidR="000C78EF" w:rsidRPr="004E4F3D">
        <w:rPr>
          <w:lang w:val="en-US"/>
        </w:rPr>
        <w:t>atter</w:t>
      </w:r>
      <w:r w:rsidRPr="004E4F3D">
        <w:rPr>
          <w:lang w:val="en-US"/>
        </w:rPr>
        <w:t>. References to treaty articles refer to the Nice Consolidated Version of The Treaty Est</w:t>
      </w:r>
      <w:r w:rsidR="00FA0C33" w:rsidRPr="004E4F3D">
        <w:rPr>
          <w:lang w:val="en-US"/>
        </w:rPr>
        <w:t>ablishing The European Community.</w:t>
      </w:r>
    </w:p>
    <w:p w14:paraId="00F9529F" w14:textId="16305B81" w:rsidR="00A611D7" w:rsidRPr="004E4F3D" w:rsidRDefault="00A611D7" w:rsidP="00A611D7">
      <w:pPr>
        <w:rPr>
          <w:lang w:val="en-US"/>
        </w:rPr>
      </w:pPr>
      <w:r w:rsidRPr="004E4F3D">
        <w:rPr>
          <w:i/>
          <w:iCs/>
          <w:lang w:val="en-US"/>
        </w:rPr>
        <w:lastRenderedPageBreak/>
        <w:t>Free Movement of Goods</w:t>
      </w:r>
      <w:r w:rsidRPr="004E4F3D">
        <w:rPr>
          <w:lang w:val="en-US"/>
        </w:rPr>
        <w:t xml:space="preserve"> (articles 23-31 TEC</w:t>
      </w:r>
      <w:r w:rsidRPr="004E4F3D">
        <w:rPr>
          <w:rStyle w:val="FootnoteReference"/>
          <w:lang w:val="en-US"/>
        </w:rPr>
        <w:footnoteReference w:id="2"/>
      </w:r>
      <w:r w:rsidRPr="004E4F3D">
        <w:rPr>
          <w:lang w:val="en-US"/>
        </w:rPr>
        <w:t xml:space="preserve">) constitutes the legal core of the internal market as concerns goods. For example, article 25 prohibits "Customs duties on imports and exports and charges having equivalent effect", and was at the heart of the famous </w:t>
      </w:r>
      <w:r w:rsidRPr="004E4F3D">
        <w:rPr>
          <w:i/>
          <w:iCs/>
          <w:lang w:val="en-US"/>
        </w:rPr>
        <w:t>Van Gend</w:t>
      </w:r>
      <w:r w:rsidRPr="004E4F3D">
        <w:rPr>
          <w:lang w:val="en-US"/>
        </w:rPr>
        <w:t xml:space="preserve">-decision </w:t>
      </w:r>
      <w:r w:rsidR="00620230" w:rsidRPr="004E4F3D">
        <w:rPr>
          <w:lang w:val="en-US"/>
        </w:rPr>
        <w:t>(C-26/62)</w:t>
      </w:r>
      <w:r w:rsidRPr="004E4F3D">
        <w:rPr>
          <w:lang w:val="en-US"/>
        </w:rPr>
        <w:t>. Conflicts typically concern whether a certain national regulation constitutes a restriction on the right to freely provide goods across the European market, or whether a national charge has equivalent effect as a customs duty. In case 416/00, for example, a question arose wh</w:t>
      </w:r>
      <w:r w:rsidR="00620230" w:rsidRPr="004E4F3D">
        <w:rPr>
          <w:lang w:val="en-US"/>
        </w:rPr>
        <w:t>ether an Italian statute</w:t>
      </w:r>
      <w:r w:rsidRPr="004E4F3D">
        <w:rPr>
          <w:lang w:val="en-US"/>
        </w:rPr>
        <w:t xml:space="preserve"> regarding the packaging of bread constituted a </w:t>
      </w:r>
      <w:r w:rsidR="00620230" w:rsidRPr="004E4F3D">
        <w:rPr>
          <w:lang w:val="en-US"/>
        </w:rPr>
        <w:t xml:space="preserve">quantitative restriction in the meaning of article 28 TEC, and thus would be an invalid obstacle </w:t>
      </w:r>
      <w:r w:rsidRPr="004E4F3D">
        <w:rPr>
          <w:lang w:val="en-US"/>
        </w:rPr>
        <w:t>to the free marketing of bread from other member states. Support for the legality of the nationa</w:t>
      </w:r>
      <w:r w:rsidR="00747EAB">
        <w:rPr>
          <w:lang w:val="en-US"/>
        </w:rPr>
        <w:t>l legislation was coded as favo</w:t>
      </w:r>
      <w:r w:rsidRPr="004E4F3D">
        <w:rPr>
          <w:lang w:val="en-US"/>
        </w:rPr>
        <w:t>ring preserved national sovereignty, while support for the invalidation of the national law with reference to EU free movement pr</w:t>
      </w:r>
      <w:r w:rsidR="00747EAB">
        <w:rPr>
          <w:lang w:val="en-US"/>
        </w:rPr>
        <w:t>inciples has been coded as favo</w:t>
      </w:r>
      <w:r w:rsidRPr="004E4F3D">
        <w:rPr>
          <w:lang w:val="en-US"/>
        </w:rPr>
        <w:t xml:space="preserve">ring deeper legal integration in this case. </w:t>
      </w:r>
      <w:r w:rsidR="00620230" w:rsidRPr="004E4F3D">
        <w:rPr>
          <w:lang w:val="en-US"/>
        </w:rPr>
        <w:t>The ECJ eventually decided that the Italian bread packaging regulation did not constitute a violation of EU law.</w:t>
      </w:r>
    </w:p>
    <w:p w14:paraId="592683C6" w14:textId="77777777" w:rsidR="007E4D84" w:rsidRPr="004E4F3D" w:rsidRDefault="007E4D84" w:rsidP="0051333B">
      <w:pPr>
        <w:rPr>
          <w:lang w:val="en-US"/>
        </w:rPr>
      </w:pPr>
    </w:p>
    <w:p w14:paraId="3B0A96AA" w14:textId="77777777" w:rsidR="00747EAB" w:rsidRDefault="0051333B" w:rsidP="0051333B">
      <w:pPr>
        <w:rPr>
          <w:lang w:val="en-US"/>
        </w:rPr>
      </w:pPr>
      <w:r w:rsidRPr="004E4F3D">
        <w:rPr>
          <w:i/>
          <w:iCs/>
          <w:lang w:val="en-US"/>
        </w:rPr>
        <w:t>Free Movement of Workers</w:t>
      </w:r>
      <w:r w:rsidRPr="004E4F3D">
        <w:rPr>
          <w:lang w:val="en-US"/>
        </w:rPr>
        <w:t xml:space="preserve"> (art. 39-42 TEC), </w:t>
      </w:r>
      <w:r w:rsidRPr="004E4F3D">
        <w:rPr>
          <w:i/>
          <w:iCs/>
          <w:lang w:val="en-US"/>
        </w:rPr>
        <w:t>Right of Establishment</w:t>
      </w:r>
      <w:r w:rsidRPr="004E4F3D">
        <w:rPr>
          <w:lang w:val="en-US"/>
        </w:rPr>
        <w:t xml:space="preserve"> (art. 43-48</w:t>
      </w:r>
      <w:r w:rsidR="0034278F" w:rsidRPr="004E4F3D">
        <w:rPr>
          <w:lang w:val="en-US"/>
        </w:rPr>
        <w:t>) and</w:t>
      </w:r>
      <w:r w:rsidR="00906B1B" w:rsidRPr="004E4F3D">
        <w:rPr>
          <w:lang w:val="en-US"/>
        </w:rPr>
        <w:t xml:space="preserve"> </w:t>
      </w:r>
      <w:r w:rsidR="00906B1B" w:rsidRPr="004E4F3D">
        <w:rPr>
          <w:i/>
          <w:lang w:val="en-US"/>
        </w:rPr>
        <w:t xml:space="preserve">Free Movement of </w:t>
      </w:r>
      <w:r w:rsidRPr="004E4F3D">
        <w:rPr>
          <w:i/>
          <w:iCs/>
          <w:lang w:val="en-US"/>
        </w:rPr>
        <w:t xml:space="preserve">Services </w:t>
      </w:r>
      <w:r w:rsidRPr="004E4F3D">
        <w:rPr>
          <w:lang w:val="en-US"/>
        </w:rPr>
        <w:t xml:space="preserve"> (art. 49-55) also constitute core parts of the legal framework </w:t>
      </w:r>
      <w:r w:rsidR="00A1465B" w:rsidRPr="004E4F3D">
        <w:rPr>
          <w:lang w:val="en-US"/>
        </w:rPr>
        <w:t>of the common m</w:t>
      </w:r>
      <w:r w:rsidRPr="004E4F3D">
        <w:rPr>
          <w:lang w:val="en-US"/>
        </w:rPr>
        <w:t xml:space="preserve">arket. The articles concerning </w:t>
      </w:r>
      <w:r w:rsidRPr="004E4F3D">
        <w:rPr>
          <w:i/>
          <w:lang w:val="en-US"/>
        </w:rPr>
        <w:t>Free Movement of Workers</w:t>
      </w:r>
      <w:r w:rsidR="00A1465B" w:rsidRPr="004E4F3D">
        <w:rPr>
          <w:lang w:val="en-US"/>
        </w:rPr>
        <w:t xml:space="preserve"> establish</w:t>
      </w:r>
      <w:r w:rsidRPr="004E4F3D">
        <w:rPr>
          <w:lang w:val="en-US"/>
        </w:rPr>
        <w:t xml:space="preserve"> each EU citizen has the right to move freely among the member states and accept offers of employment, and carry out that employment (all subject to certain restrictions). </w:t>
      </w:r>
      <w:r w:rsidRPr="004E4F3D">
        <w:rPr>
          <w:i/>
          <w:lang w:val="en-US"/>
        </w:rPr>
        <w:t>The Right of Establishment</w:t>
      </w:r>
      <w:r w:rsidRPr="004E4F3D">
        <w:rPr>
          <w:lang w:val="en-US"/>
        </w:rPr>
        <w:t xml:space="preserve"> includes the right to "take up and pursue activities as self-employed ... and to set up and manage undertakings, in particular companies and firms..." (art. 43 TEC). </w:t>
      </w:r>
      <w:r w:rsidR="00A1465B" w:rsidRPr="004E4F3D">
        <w:rPr>
          <w:i/>
          <w:lang w:val="en-US"/>
        </w:rPr>
        <w:t>Free Movement of S</w:t>
      </w:r>
      <w:r w:rsidRPr="004E4F3D">
        <w:rPr>
          <w:i/>
          <w:lang w:val="en-US"/>
        </w:rPr>
        <w:t>ervices</w:t>
      </w:r>
      <w:r w:rsidRPr="004E4F3D">
        <w:rPr>
          <w:lang w:val="en-US"/>
        </w:rPr>
        <w:t xml:space="preserve"> covers the right to freely provide services across </w:t>
      </w:r>
      <w:r w:rsidR="00A1465B" w:rsidRPr="004E4F3D">
        <w:rPr>
          <w:lang w:val="en-US"/>
        </w:rPr>
        <w:t>member state</w:t>
      </w:r>
      <w:r w:rsidRPr="004E4F3D">
        <w:rPr>
          <w:lang w:val="en-US"/>
        </w:rPr>
        <w:t xml:space="preserve"> borders, and has given rise to several contentious judgments, the "Laval-quartet"</w:t>
      </w:r>
      <w:r w:rsidRPr="004E4F3D">
        <w:rPr>
          <w:rStyle w:val="FootnoteReference"/>
          <w:lang w:val="en-US"/>
        </w:rPr>
        <w:footnoteReference w:id="3"/>
      </w:r>
      <w:r w:rsidRPr="004E4F3D">
        <w:rPr>
          <w:lang w:val="en-US"/>
        </w:rPr>
        <w:t xml:space="preserve"> being the most </w:t>
      </w:r>
      <w:r w:rsidR="00A1465B" w:rsidRPr="004E4F3D">
        <w:rPr>
          <w:lang w:val="en-US"/>
        </w:rPr>
        <w:t>debated</w:t>
      </w:r>
      <w:r w:rsidRPr="004E4F3D">
        <w:rPr>
          <w:lang w:val="en-US"/>
        </w:rPr>
        <w:t xml:space="preserve">. </w:t>
      </w:r>
    </w:p>
    <w:p w14:paraId="4038B7B1" w14:textId="77777777" w:rsidR="00747EAB" w:rsidRDefault="00747EAB" w:rsidP="0051333B">
      <w:pPr>
        <w:rPr>
          <w:lang w:val="en-US"/>
        </w:rPr>
      </w:pPr>
    </w:p>
    <w:p w14:paraId="6F1CA01D" w14:textId="1FCD6781" w:rsidR="005A735E" w:rsidRPr="004E4F3D" w:rsidRDefault="0051333B" w:rsidP="005A735E">
      <w:pPr>
        <w:rPr>
          <w:lang w:val="en-US"/>
        </w:rPr>
      </w:pPr>
      <w:r w:rsidRPr="004E4F3D">
        <w:rPr>
          <w:lang w:val="en-US"/>
        </w:rPr>
        <w:t xml:space="preserve">Conflicts often arise </w:t>
      </w:r>
      <w:r w:rsidR="00747EAB">
        <w:rPr>
          <w:lang w:val="en-US"/>
        </w:rPr>
        <w:t xml:space="preserve">in these areas </w:t>
      </w:r>
      <w:r w:rsidRPr="004E4F3D">
        <w:rPr>
          <w:lang w:val="en-US"/>
        </w:rPr>
        <w:t xml:space="preserve">when a firm based in one </w:t>
      </w:r>
      <w:r w:rsidR="00A1465B" w:rsidRPr="004E4F3D">
        <w:rPr>
          <w:lang w:val="en-US"/>
        </w:rPr>
        <w:t>member state</w:t>
      </w:r>
      <w:r w:rsidRPr="004E4F3D">
        <w:rPr>
          <w:lang w:val="en-US"/>
        </w:rPr>
        <w:t xml:space="preserve"> conduct</w:t>
      </w:r>
      <w:r w:rsidR="00A1465B" w:rsidRPr="004E4F3D">
        <w:rPr>
          <w:lang w:val="en-US"/>
        </w:rPr>
        <w:t>s</w:t>
      </w:r>
      <w:r w:rsidRPr="004E4F3D">
        <w:rPr>
          <w:lang w:val="en-US"/>
        </w:rPr>
        <w:t xml:space="preserve"> business in another </w:t>
      </w:r>
      <w:r w:rsidR="00A1465B" w:rsidRPr="004E4F3D">
        <w:rPr>
          <w:lang w:val="en-US"/>
        </w:rPr>
        <w:t>member state</w:t>
      </w:r>
      <w:r w:rsidRPr="004E4F3D">
        <w:rPr>
          <w:lang w:val="en-US"/>
        </w:rPr>
        <w:t xml:space="preserve">, </w:t>
      </w:r>
      <w:r w:rsidR="00A1465B" w:rsidRPr="004E4F3D">
        <w:rPr>
          <w:lang w:val="en-US"/>
        </w:rPr>
        <w:t>invoking</w:t>
      </w:r>
      <w:r w:rsidRPr="004E4F3D">
        <w:rPr>
          <w:lang w:val="en-US"/>
        </w:rPr>
        <w:t xml:space="preserve"> the freedom to provide services, </w:t>
      </w:r>
      <w:r w:rsidR="00A1465B" w:rsidRPr="004E4F3D">
        <w:rPr>
          <w:lang w:val="en-US"/>
        </w:rPr>
        <w:t xml:space="preserve">the </w:t>
      </w:r>
      <w:r w:rsidRPr="004E4F3D">
        <w:rPr>
          <w:lang w:val="en-US"/>
        </w:rPr>
        <w:t xml:space="preserve">right </w:t>
      </w:r>
      <w:r w:rsidR="008637A2" w:rsidRPr="004E4F3D">
        <w:rPr>
          <w:lang w:val="en-US"/>
        </w:rPr>
        <w:t>of</w:t>
      </w:r>
      <w:r w:rsidRPr="004E4F3D">
        <w:rPr>
          <w:lang w:val="en-US"/>
        </w:rPr>
        <w:t xml:space="preserve"> establishment or </w:t>
      </w:r>
      <w:r w:rsidR="008637A2" w:rsidRPr="004E4F3D">
        <w:rPr>
          <w:lang w:val="en-US"/>
        </w:rPr>
        <w:t xml:space="preserve">the </w:t>
      </w:r>
      <w:r w:rsidRPr="004E4F3D">
        <w:rPr>
          <w:lang w:val="en-US"/>
        </w:rPr>
        <w:t xml:space="preserve">free movement of workers to challenge various fees and regulations of the "host" </w:t>
      </w:r>
      <w:r w:rsidR="008637A2" w:rsidRPr="004E4F3D">
        <w:rPr>
          <w:lang w:val="en-US"/>
        </w:rPr>
        <w:t>member state</w:t>
      </w:r>
      <w:r w:rsidRPr="004E4F3D">
        <w:rPr>
          <w:lang w:val="en-US"/>
        </w:rPr>
        <w:t xml:space="preserve">. </w:t>
      </w:r>
      <w:r w:rsidR="00747EAB">
        <w:rPr>
          <w:lang w:val="en-US"/>
        </w:rPr>
        <w:t xml:space="preserve"> </w:t>
      </w:r>
      <w:r w:rsidR="005A735E" w:rsidRPr="004E4F3D">
        <w:rPr>
          <w:lang w:val="en-US"/>
        </w:rPr>
        <w:t>In the Laval case, for example, one of the issues concerned whether it was compatible with EU law for a Swedish trade union to use a blockade to force a Latvian employer to sign a collective agreement. To the Swede</w:t>
      </w:r>
      <w:r w:rsidR="00747EAB">
        <w:rPr>
          <w:lang w:val="en-US"/>
        </w:rPr>
        <w:t>s, the traditional Swedish labo</w:t>
      </w:r>
      <w:r w:rsidR="005A735E" w:rsidRPr="004E4F3D">
        <w:rPr>
          <w:lang w:val="en-US"/>
        </w:rPr>
        <w:t xml:space="preserve">r market model, </w:t>
      </w:r>
      <w:r w:rsidR="00747EAB">
        <w:rPr>
          <w:lang w:val="en-US"/>
        </w:rPr>
        <w:t>which builds on</w:t>
      </w:r>
      <w:r w:rsidR="005A735E" w:rsidRPr="004E4F3D">
        <w:rPr>
          <w:lang w:val="en-US"/>
        </w:rPr>
        <w:t xml:space="preserve"> collective agreements between unions and employers rather than legislation, was at stake. The ECJ’s decision to rule against the unions was coded as a “More Europe” decision. The Commission and the General Advocate took the opposite position, together with Sweden, Germany, France, Spain, Italy and several other “older</w:t>
      </w:r>
      <w:r w:rsidR="00353285" w:rsidRPr="004E4F3D">
        <w:rPr>
          <w:lang w:val="en-US"/>
        </w:rPr>
        <w:t>” member states. On the other side, s</w:t>
      </w:r>
      <w:r w:rsidR="005A735E" w:rsidRPr="004E4F3D">
        <w:rPr>
          <w:lang w:val="en-US"/>
        </w:rPr>
        <w:t>upporting the ECJ’s decision</w:t>
      </w:r>
      <w:r w:rsidR="00353285" w:rsidRPr="004E4F3D">
        <w:rPr>
          <w:lang w:val="en-US"/>
        </w:rPr>
        <w:t>,</w:t>
      </w:r>
      <w:r w:rsidR="005A735E" w:rsidRPr="004E4F3D">
        <w:rPr>
          <w:lang w:val="en-US"/>
        </w:rPr>
        <w:t xml:space="preserve"> were </w:t>
      </w:r>
      <w:r w:rsidR="00353285" w:rsidRPr="004E4F3D">
        <w:rPr>
          <w:lang w:val="en-US"/>
        </w:rPr>
        <w:t xml:space="preserve">the newer member states; </w:t>
      </w:r>
      <w:r w:rsidR="005A735E" w:rsidRPr="004E4F3D">
        <w:rPr>
          <w:lang w:val="en-US"/>
        </w:rPr>
        <w:t>Poland, the Czech Republic, and the three Baltic states.</w:t>
      </w:r>
    </w:p>
    <w:p w14:paraId="4DDFC656" w14:textId="77777777" w:rsidR="0051333B" w:rsidRPr="004E4F3D" w:rsidRDefault="0051333B" w:rsidP="0051333B">
      <w:pPr>
        <w:rPr>
          <w:lang w:val="en-US"/>
        </w:rPr>
      </w:pPr>
    </w:p>
    <w:p w14:paraId="1CC8B712" w14:textId="359A1DBF" w:rsidR="0051333B" w:rsidRPr="004E4F3D" w:rsidRDefault="0051333B" w:rsidP="0051333B">
      <w:pPr>
        <w:rPr>
          <w:lang w:val="en-US"/>
        </w:rPr>
      </w:pPr>
      <w:r w:rsidRPr="004E4F3D">
        <w:rPr>
          <w:lang w:val="en-US"/>
        </w:rPr>
        <w:t xml:space="preserve">The articles concerning </w:t>
      </w:r>
      <w:r w:rsidR="00A907E3" w:rsidRPr="004E4F3D">
        <w:rPr>
          <w:i/>
          <w:lang w:val="en-US"/>
        </w:rPr>
        <w:t>Free movement of C</w:t>
      </w:r>
      <w:r w:rsidRPr="004E4F3D">
        <w:rPr>
          <w:i/>
          <w:lang w:val="en-US"/>
        </w:rPr>
        <w:t xml:space="preserve">apital </w:t>
      </w:r>
      <w:r w:rsidRPr="004E4F3D">
        <w:rPr>
          <w:lang w:val="en-US"/>
        </w:rPr>
        <w:t>(art. 56-60 TEC) establishes that “all restrictions on the movement of capital</w:t>
      </w:r>
      <w:r w:rsidR="00A907E3" w:rsidRPr="004E4F3D">
        <w:rPr>
          <w:lang w:val="en-US"/>
        </w:rPr>
        <w:t xml:space="preserve"> [and payments]</w:t>
      </w:r>
      <w:r w:rsidRPr="004E4F3D">
        <w:rPr>
          <w:lang w:val="en-US"/>
        </w:rPr>
        <w:t xml:space="preserve"> between Member States</w:t>
      </w:r>
      <w:r w:rsidR="005B4EFF" w:rsidRPr="004E4F3D">
        <w:rPr>
          <w:lang w:val="en-US"/>
        </w:rPr>
        <w:t>,</w:t>
      </w:r>
      <w:r w:rsidRPr="004E4F3D">
        <w:rPr>
          <w:lang w:val="en-US"/>
        </w:rPr>
        <w:t xml:space="preserve"> and between Member States and thir</w:t>
      </w:r>
      <w:r w:rsidR="00A907E3" w:rsidRPr="004E4F3D">
        <w:rPr>
          <w:lang w:val="en-US"/>
        </w:rPr>
        <w:t>d countries</w:t>
      </w:r>
      <w:r w:rsidR="005B4EFF" w:rsidRPr="004E4F3D">
        <w:rPr>
          <w:lang w:val="en-US"/>
        </w:rPr>
        <w:t>,</w:t>
      </w:r>
      <w:r w:rsidR="00A907E3" w:rsidRPr="004E4F3D">
        <w:rPr>
          <w:lang w:val="en-US"/>
        </w:rPr>
        <w:t xml:space="preserve"> shall be </w:t>
      </w:r>
      <w:r w:rsidR="00A907E3" w:rsidRPr="004E4F3D">
        <w:rPr>
          <w:lang w:val="en-US"/>
        </w:rPr>
        <w:lastRenderedPageBreak/>
        <w:t>prohibited</w:t>
      </w:r>
      <w:r w:rsidRPr="004E4F3D">
        <w:rPr>
          <w:lang w:val="en-US"/>
        </w:rPr>
        <w:t>”</w:t>
      </w:r>
      <w:r w:rsidR="00A907E3" w:rsidRPr="004E4F3D">
        <w:rPr>
          <w:lang w:val="en-US"/>
        </w:rPr>
        <w:t xml:space="preserve"> (art. 56).</w:t>
      </w:r>
      <w:r w:rsidR="00962F55">
        <w:rPr>
          <w:lang w:val="en-US"/>
        </w:rPr>
        <w:t xml:space="preserve">  O</w:t>
      </w:r>
      <w:r w:rsidRPr="004E4F3D">
        <w:rPr>
          <w:lang w:val="en-US"/>
        </w:rPr>
        <w:t xml:space="preserve">ne example </w:t>
      </w:r>
      <w:r w:rsidR="00A907E3" w:rsidRPr="004E4F3D">
        <w:rPr>
          <w:lang w:val="en-US"/>
        </w:rPr>
        <w:t xml:space="preserve">in our data </w:t>
      </w:r>
      <w:r w:rsidRPr="004E4F3D">
        <w:rPr>
          <w:lang w:val="en-US"/>
        </w:rPr>
        <w:t>is C-318/07</w:t>
      </w:r>
      <w:r w:rsidR="00A907E3" w:rsidRPr="004E4F3D">
        <w:rPr>
          <w:lang w:val="en-US"/>
        </w:rPr>
        <w:t xml:space="preserve">, which concerns tax benefits for donations to charitable bodies. </w:t>
      </w:r>
      <w:r w:rsidR="002414C4" w:rsidRPr="004E4F3D">
        <w:rPr>
          <w:lang w:val="en-US"/>
        </w:rPr>
        <w:t xml:space="preserve">The question raised was whether </w:t>
      </w:r>
      <w:r w:rsidRPr="004E4F3D">
        <w:rPr>
          <w:lang w:val="en-US"/>
        </w:rPr>
        <w:t xml:space="preserve">it is incompatible with the principle of free movement of capital for </w:t>
      </w:r>
      <w:r w:rsidR="002414C4" w:rsidRPr="004E4F3D">
        <w:rPr>
          <w:lang w:val="en-US"/>
        </w:rPr>
        <w:t>a</w:t>
      </w:r>
      <w:r w:rsidRPr="004E4F3D">
        <w:rPr>
          <w:lang w:val="en-US"/>
        </w:rPr>
        <w:t xml:space="preserve"> national law </w:t>
      </w:r>
      <w:r w:rsidR="005B4EFF" w:rsidRPr="004E4F3D">
        <w:rPr>
          <w:lang w:val="en-US"/>
        </w:rPr>
        <w:t>(German in this case)</w:t>
      </w:r>
      <w:r w:rsidR="002414C4" w:rsidRPr="004E4F3D">
        <w:rPr>
          <w:lang w:val="en-US"/>
        </w:rPr>
        <w:t xml:space="preserve"> </w:t>
      </w:r>
      <w:r w:rsidRPr="004E4F3D">
        <w:rPr>
          <w:lang w:val="en-US"/>
        </w:rPr>
        <w:t xml:space="preserve">to </w:t>
      </w:r>
      <w:r w:rsidR="00A907E3" w:rsidRPr="004E4F3D">
        <w:rPr>
          <w:lang w:val="en-US"/>
        </w:rPr>
        <w:t>give</w:t>
      </w:r>
      <w:r w:rsidRPr="004E4F3D">
        <w:rPr>
          <w:lang w:val="en-US"/>
        </w:rPr>
        <w:t xml:space="preserve"> a tax benefit on donations to charitable bodies</w:t>
      </w:r>
      <w:r w:rsidR="00DE339E" w:rsidRPr="004E4F3D">
        <w:rPr>
          <w:lang w:val="en-US"/>
        </w:rPr>
        <w:t>,</w:t>
      </w:r>
      <w:r w:rsidRPr="004E4F3D">
        <w:rPr>
          <w:lang w:val="en-US"/>
        </w:rPr>
        <w:t xml:space="preserve"> which is preconditioned on the charitable body being resident in that </w:t>
      </w:r>
      <w:r w:rsidR="00A907E3" w:rsidRPr="004E4F3D">
        <w:rPr>
          <w:lang w:val="en-US"/>
        </w:rPr>
        <w:t>member state</w:t>
      </w:r>
      <w:r w:rsidRPr="004E4F3D">
        <w:rPr>
          <w:lang w:val="en-US"/>
        </w:rPr>
        <w:t xml:space="preserve">. Such a requirement could be seen as an indirect impingement on the free movement of capital (by subsidizing capital that remains within the MS). A “yes” to the question above has been coded as a position that equals “More Europe”, “no” the opposite. </w:t>
      </w:r>
      <w:r w:rsidR="005B4EFF" w:rsidRPr="004E4F3D">
        <w:rPr>
          <w:lang w:val="en-US"/>
        </w:rPr>
        <w:t xml:space="preserve">The ECJ ruled that the German law was incompatible with EU law. Here the ECJ was opposed by Germany, France, Ireland and the UK, </w:t>
      </w:r>
      <w:r w:rsidR="00193A54" w:rsidRPr="004E4F3D">
        <w:rPr>
          <w:lang w:val="en-US"/>
        </w:rPr>
        <w:t>but</w:t>
      </w:r>
      <w:r w:rsidR="005B4EFF" w:rsidRPr="004E4F3D">
        <w:rPr>
          <w:lang w:val="en-US"/>
        </w:rPr>
        <w:t xml:space="preserve"> supported by Estonia (and the General Advocate in its </w:t>
      </w:r>
      <w:r w:rsidR="000433F4" w:rsidRPr="004E4F3D">
        <w:rPr>
          <w:lang w:val="en-US"/>
        </w:rPr>
        <w:t>opinion</w:t>
      </w:r>
      <w:r w:rsidR="005B4EFF" w:rsidRPr="004E4F3D">
        <w:rPr>
          <w:lang w:val="en-US"/>
        </w:rPr>
        <w:t>).</w:t>
      </w:r>
    </w:p>
    <w:p w14:paraId="5B24019B" w14:textId="77777777" w:rsidR="0051333B" w:rsidRPr="004E4F3D" w:rsidRDefault="0051333B" w:rsidP="0051333B">
      <w:pPr>
        <w:rPr>
          <w:lang w:val="en-US"/>
        </w:rPr>
      </w:pPr>
    </w:p>
    <w:p w14:paraId="77A59D7B" w14:textId="1F6CD4C8" w:rsidR="004C341E" w:rsidRPr="004E4F3D" w:rsidRDefault="0051333B" w:rsidP="0051333B">
      <w:pPr>
        <w:rPr>
          <w:lang w:val="en-US"/>
        </w:rPr>
      </w:pPr>
      <w:r w:rsidRPr="004E4F3D">
        <w:rPr>
          <w:i/>
          <w:lang w:val="en-US"/>
        </w:rPr>
        <w:t>Transport</w:t>
      </w:r>
      <w:r w:rsidRPr="004E4F3D">
        <w:rPr>
          <w:lang w:val="en-US"/>
        </w:rPr>
        <w:t xml:space="preserve"> (art. 70-80 TEC) sets up the EU:s common transport policy, regulating cross-border transports within the Union. </w:t>
      </w:r>
      <w:r w:rsidR="004C341E" w:rsidRPr="004E4F3D">
        <w:rPr>
          <w:lang w:val="en-US"/>
        </w:rPr>
        <w:t xml:space="preserve">In case C-435/00, a Greek regulation setting higher harbor fees for passengers travelling to third countries than those travelling to EU-countries was challenged. The ECJ ruled that the Greek regulation was </w:t>
      </w:r>
      <w:r w:rsidR="00CA406D" w:rsidRPr="004E4F3D">
        <w:rPr>
          <w:lang w:val="en-US"/>
        </w:rPr>
        <w:t>in conflict</w:t>
      </w:r>
      <w:r w:rsidR="004C341E" w:rsidRPr="004E4F3D">
        <w:rPr>
          <w:lang w:val="en-US"/>
        </w:rPr>
        <w:t xml:space="preserve"> with relevant EU laws, </w:t>
      </w:r>
      <w:r w:rsidR="00786A55" w:rsidRPr="004E4F3D">
        <w:rPr>
          <w:lang w:val="en-US"/>
        </w:rPr>
        <w:t xml:space="preserve">a position </w:t>
      </w:r>
      <w:r w:rsidR="00CA406D" w:rsidRPr="004E4F3D">
        <w:rPr>
          <w:lang w:val="en-US"/>
        </w:rPr>
        <w:t xml:space="preserve">which was </w:t>
      </w:r>
      <w:r w:rsidR="00786A55" w:rsidRPr="004E4F3D">
        <w:rPr>
          <w:lang w:val="en-US"/>
        </w:rPr>
        <w:t xml:space="preserve">coded as </w:t>
      </w:r>
      <w:r w:rsidR="00DB3B7F">
        <w:rPr>
          <w:lang w:val="en-US"/>
        </w:rPr>
        <w:t>More Europe</w:t>
      </w:r>
      <w:r w:rsidR="004C341E" w:rsidRPr="004E4F3D">
        <w:rPr>
          <w:lang w:val="en-US"/>
        </w:rPr>
        <w:t xml:space="preserve">. The Commission took the same position, while no member states made an </w:t>
      </w:r>
      <w:r w:rsidR="00785C13" w:rsidRPr="004E4F3D">
        <w:rPr>
          <w:lang w:val="en-US"/>
        </w:rPr>
        <w:t>observation in this case. The General-Advocate, on the other hand,</w:t>
      </w:r>
      <w:r w:rsidR="004C341E" w:rsidRPr="004E4F3D">
        <w:rPr>
          <w:lang w:val="en-US"/>
        </w:rPr>
        <w:t xml:space="preserve"> gave a </w:t>
      </w:r>
      <w:r w:rsidR="00785C13" w:rsidRPr="004E4F3D">
        <w:rPr>
          <w:lang w:val="en-US"/>
        </w:rPr>
        <w:t xml:space="preserve">rather </w:t>
      </w:r>
      <w:r w:rsidR="004C341E" w:rsidRPr="004E4F3D">
        <w:rPr>
          <w:lang w:val="en-US"/>
        </w:rPr>
        <w:t xml:space="preserve">complicated opinion, partly not answering the question (due to criticism of its formulation), partly giving a non-answer which stated well-known EU legal principles without giving them concrete meaning in the issue at hand, and finally by stating that some provisions of the Greek legislation were incompatible with the relevant EU legislation. This </w:t>
      </w:r>
      <w:r w:rsidR="001C5166" w:rsidRPr="004E4F3D">
        <w:rPr>
          <w:lang w:val="en-US"/>
        </w:rPr>
        <w:t>position was treated as</w:t>
      </w:r>
      <w:r w:rsidR="004C341E" w:rsidRPr="004E4F3D">
        <w:rPr>
          <w:lang w:val="en-US"/>
        </w:rPr>
        <w:t xml:space="preserve"> neutral in the final analysis, i.e. as not having a clear implication on the More Europe scale.</w:t>
      </w:r>
    </w:p>
    <w:p w14:paraId="39C21B74" w14:textId="77777777" w:rsidR="0051333B" w:rsidRPr="004E4F3D" w:rsidRDefault="0051333B" w:rsidP="0051333B">
      <w:pPr>
        <w:rPr>
          <w:color w:val="FF0000"/>
          <w:lang w:val="en-US"/>
        </w:rPr>
      </w:pPr>
    </w:p>
    <w:p w14:paraId="6683277F" w14:textId="2F4CEC32" w:rsidR="007F416A" w:rsidRPr="00CB0E70" w:rsidRDefault="0051333B" w:rsidP="0051333B">
      <w:pPr>
        <w:rPr>
          <w:lang w:val="en-GB"/>
        </w:rPr>
      </w:pPr>
      <w:r w:rsidRPr="004E4F3D">
        <w:rPr>
          <w:i/>
          <w:iCs/>
          <w:lang w:val="en-US"/>
        </w:rPr>
        <w:t>Competition</w:t>
      </w:r>
      <w:r w:rsidRPr="004E4F3D">
        <w:rPr>
          <w:lang w:val="en-US"/>
        </w:rPr>
        <w:t xml:space="preserve"> (arts. 81-89 TEC) constitutes the basis for anti-cartel enforcement</w:t>
      </w:r>
      <w:r w:rsidR="00583F99" w:rsidRPr="004E4F3D">
        <w:rPr>
          <w:lang w:val="en-US"/>
        </w:rPr>
        <w:t xml:space="preserve"> within the EU, and</w:t>
      </w:r>
      <w:r w:rsidRPr="004E4F3D">
        <w:rPr>
          <w:lang w:val="en-US"/>
        </w:rPr>
        <w:t xml:space="preserve"> </w:t>
      </w:r>
      <w:r w:rsidR="00580098" w:rsidRPr="004E4F3D">
        <w:rPr>
          <w:lang w:val="en-US"/>
        </w:rPr>
        <w:t>the provisions on</w:t>
      </w:r>
      <w:r w:rsidRPr="004E4F3D">
        <w:rPr>
          <w:lang w:val="en-US"/>
        </w:rPr>
        <w:t xml:space="preserve"> State Aid. </w:t>
      </w:r>
      <w:r w:rsidR="00CB0E70">
        <w:rPr>
          <w:lang w:val="en-GB"/>
        </w:rPr>
        <w:t xml:space="preserve">One example in our data set is case C-393/04, in which a Belgian tax exemption for engines used in natural gas stations was challenged on the grounds that it constituted State Aid and discriminated against companies using engines with other industrial gases. The Belgian Government defended its exemption (preserved national sovereignty), and the ECJ, the General Advocate and the Commission all agreed with the Belgian position in this case. </w:t>
      </w:r>
      <w:r w:rsidR="00CB0E70" w:rsidRPr="004E4F3D">
        <w:rPr>
          <w:lang w:val="en-US"/>
        </w:rPr>
        <w:t>C</w:t>
      </w:r>
      <w:r w:rsidR="00CB0E70">
        <w:rPr>
          <w:lang w:val="en-US"/>
        </w:rPr>
        <w:t>ompetition c</w:t>
      </w:r>
      <w:r w:rsidR="00CB0E70" w:rsidRPr="004E4F3D">
        <w:rPr>
          <w:lang w:val="en-US"/>
        </w:rPr>
        <w:t xml:space="preserve">ases often overlap with the customs and free movement of goods-categories. </w:t>
      </w:r>
      <w:r w:rsidRPr="004E4F3D">
        <w:rPr>
          <w:i/>
          <w:lang w:val="en-US"/>
        </w:rPr>
        <w:t>Customs Union</w:t>
      </w:r>
      <w:r w:rsidRPr="004E4F3D">
        <w:rPr>
          <w:lang w:val="en-US"/>
        </w:rPr>
        <w:t xml:space="preserve"> (</w:t>
      </w:r>
      <w:r w:rsidR="00E36ACD" w:rsidRPr="004E4F3D">
        <w:rPr>
          <w:lang w:val="en-US"/>
        </w:rPr>
        <w:t>art. 131-</w:t>
      </w:r>
      <w:r w:rsidRPr="004E4F3D">
        <w:rPr>
          <w:lang w:val="en-US"/>
        </w:rPr>
        <w:t>135)</w:t>
      </w:r>
      <w:r w:rsidR="00725AFF" w:rsidRPr="004E4F3D">
        <w:rPr>
          <w:lang w:val="en-US"/>
        </w:rPr>
        <w:t xml:space="preserve"> </w:t>
      </w:r>
      <w:r w:rsidRPr="004E4F3D">
        <w:rPr>
          <w:lang w:val="en-US"/>
        </w:rPr>
        <w:t xml:space="preserve">includes the EU:s </w:t>
      </w:r>
      <w:r w:rsidRPr="004E4F3D">
        <w:rPr>
          <w:iCs/>
          <w:lang w:val="en-US"/>
        </w:rPr>
        <w:t>Common Commercial Policy</w:t>
      </w:r>
      <w:r w:rsidR="00E36ACD" w:rsidRPr="004E4F3D">
        <w:rPr>
          <w:lang w:val="en-US"/>
        </w:rPr>
        <w:t>. The questions raised in this area co</w:t>
      </w:r>
      <w:r w:rsidR="00725AFF" w:rsidRPr="004E4F3D">
        <w:rPr>
          <w:lang w:val="en-US"/>
        </w:rPr>
        <w:t xml:space="preserve">ncern external trade policy, such as </w:t>
      </w:r>
      <w:r w:rsidRPr="004E4F3D">
        <w:rPr>
          <w:lang w:val="en-US"/>
        </w:rPr>
        <w:t>custom</w:t>
      </w:r>
      <w:r w:rsidR="00E36ACD" w:rsidRPr="004E4F3D">
        <w:rPr>
          <w:lang w:val="en-US"/>
        </w:rPr>
        <w:t>s</w:t>
      </w:r>
      <w:r w:rsidRPr="004E4F3D">
        <w:rPr>
          <w:lang w:val="en-US"/>
        </w:rPr>
        <w:t xml:space="preserve"> duties, the classification of various products </w:t>
      </w:r>
      <w:r w:rsidR="00E36ACD" w:rsidRPr="004E4F3D">
        <w:rPr>
          <w:lang w:val="en-US"/>
        </w:rPr>
        <w:t>(e.g</w:t>
      </w:r>
      <w:r w:rsidR="0034202D" w:rsidRPr="004E4F3D">
        <w:rPr>
          <w:lang w:val="en-US"/>
        </w:rPr>
        <w:t>. C-372/06), and</w:t>
      </w:r>
      <w:r w:rsidRPr="004E4F3D">
        <w:rPr>
          <w:lang w:val="en-US"/>
        </w:rPr>
        <w:t xml:space="preserve"> </w:t>
      </w:r>
      <w:r w:rsidR="00E36ACD" w:rsidRPr="004E4F3D">
        <w:rPr>
          <w:lang w:val="en-US"/>
        </w:rPr>
        <w:t>the boundaries of</w:t>
      </w:r>
      <w:r w:rsidRPr="004E4F3D">
        <w:rPr>
          <w:lang w:val="en-US"/>
        </w:rPr>
        <w:t xml:space="preserve"> the competence of national custom</w:t>
      </w:r>
      <w:r w:rsidR="00E36ACD" w:rsidRPr="004E4F3D">
        <w:rPr>
          <w:lang w:val="en-US"/>
        </w:rPr>
        <w:t>s</w:t>
      </w:r>
      <w:r w:rsidRPr="004E4F3D">
        <w:rPr>
          <w:lang w:val="en-US"/>
        </w:rPr>
        <w:t xml:space="preserve"> authorities (C-226/99). </w:t>
      </w:r>
    </w:p>
    <w:p w14:paraId="3DF5947A" w14:textId="77777777" w:rsidR="0051333B" w:rsidRPr="004E4F3D" w:rsidRDefault="0051333B" w:rsidP="0051333B">
      <w:pPr>
        <w:rPr>
          <w:color w:val="FF0000"/>
          <w:lang w:val="en-US"/>
        </w:rPr>
      </w:pPr>
    </w:p>
    <w:p w14:paraId="07B92340" w14:textId="71DE998C" w:rsidR="009D2F1B" w:rsidRPr="004E4F3D" w:rsidRDefault="00D91A85" w:rsidP="009D2F1B">
      <w:pPr>
        <w:rPr>
          <w:lang w:val="en-US"/>
        </w:rPr>
      </w:pPr>
      <w:r w:rsidRPr="004E4F3D">
        <w:rPr>
          <w:iCs/>
          <w:lang w:val="en-US"/>
        </w:rPr>
        <w:t xml:space="preserve">The EUs competence with respect to </w:t>
      </w:r>
      <w:r w:rsidRPr="004E4F3D">
        <w:rPr>
          <w:i/>
          <w:iCs/>
          <w:lang w:val="en-US"/>
        </w:rPr>
        <w:t>tax</w:t>
      </w:r>
      <w:r w:rsidR="0027130C" w:rsidRPr="004E4F3D">
        <w:rPr>
          <w:i/>
          <w:iCs/>
          <w:lang w:val="en-US"/>
        </w:rPr>
        <w:t xml:space="preserve">es </w:t>
      </w:r>
      <w:r w:rsidR="0027130C" w:rsidRPr="004E4F3D">
        <w:rPr>
          <w:iCs/>
          <w:lang w:val="en-US"/>
        </w:rPr>
        <w:t xml:space="preserve">[arts. 90-93 TEC] </w:t>
      </w:r>
      <w:r w:rsidRPr="004E4F3D">
        <w:rPr>
          <w:iCs/>
          <w:lang w:val="en-US"/>
        </w:rPr>
        <w:t xml:space="preserve">concerns indirect rather than direct taxation, and the decision rule in the Council is normally unanimity also for secondary legislation. </w:t>
      </w:r>
      <w:r w:rsidR="00787A56" w:rsidRPr="004E4F3D">
        <w:rPr>
          <w:lang w:val="en-US"/>
        </w:rPr>
        <w:t>Many</w:t>
      </w:r>
      <w:r w:rsidR="0051333B" w:rsidRPr="004E4F3D">
        <w:rPr>
          <w:lang w:val="en-US"/>
        </w:rPr>
        <w:t xml:space="preserve"> </w:t>
      </w:r>
      <w:r w:rsidR="00787A56" w:rsidRPr="004E4F3D">
        <w:rPr>
          <w:lang w:val="en-US"/>
        </w:rPr>
        <w:t xml:space="preserve">tax </w:t>
      </w:r>
      <w:r w:rsidR="0051333B" w:rsidRPr="004E4F3D">
        <w:rPr>
          <w:lang w:val="en-US"/>
        </w:rPr>
        <w:t xml:space="preserve">cases in </w:t>
      </w:r>
      <w:r w:rsidRPr="004E4F3D">
        <w:rPr>
          <w:lang w:val="en-US"/>
        </w:rPr>
        <w:t>our data set</w:t>
      </w:r>
      <w:r w:rsidR="0051333B" w:rsidRPr="004E4F3D">
        <w:rPr>
          <w:lang w:val="en-US"/>
        </w:rPr>
        <w:t xml:space="preserve"> concern</w:t>
      </w:r>
      <w:r w:rsidR="00BA2781" w:rsidRPr="004E4F3D">
        <w:rPr>
          <w:lang w:val="en-US"/>
        </w:rPr>
        <w:t xml:space="preserve"> Directive 77/388/EEC</w:t>
      </w:r>
      <w:r w:rsidR="0051333B" w:rsidRPr="004E4F3D">
        <w:rPr>
          <w:lang w:val="en-US"/>
        </w:rPr>
        <w:t xml:space="preserve"> </w:t>
      </w:r>
      <w:r w:rsidR="00BA2781" w:rsidRPr="004E4F3D">
        <w:rPr>
          <w:lang w:val="en-US"/>
        </w:rPr>
        <w:t>on the harmonization of the laws of the Member States relating to turnover taxes</w:t>
      </w:r>
      <w:r w:rsidR="00A4502B" w:rsidRPr="004E4F3D">
        <w:rPr>
          <w:lang w:val="en-US"/>
        </w:rPr>
        <w:t>. The cases</w:t>
      </w:r>
      <w:r w:rsidR="009D2F1B" w:rsidRPr="004E4F3D">
        <w:rPr>
          <w:lang w:val="en-US"/>
        </w:rPr>
        <w:t xml:space="preserve"> often</w:t>
      </w:r>
      <w:r w:rsidRPr="004E4F3D">
        <w:rPr>
          <w:lang w:val="en-US"/>
        </w:rPr>
        <w:t xml:space="preserve"> deal with questions of </w:t>
      </w:r>
      <w:r w:rsidR="0051333B" w:rsidRPr="004E4F3D">
        <w:rPr>
          <w:lang w:val="en-US"/>
        </w:rPr>
        <w:t xml:space="preserve">whether a certain </w:t>
      </w:r>
      <w:r w:rsidRPr="004E4F3D">
        <w:rPr>
          <w:lang w:val="en-US"/>
        </w:rPr>
        <w:t xml:space="preserve">national tax regime, or </w:t>
      </w:r>
      <w:r w:rsidR="0051333B" w:rsidRPr="004E4F3D">
        <w:rPr>
          <w:lang w:val="en-US"/>
        </w:rPr>
        <w:t>VAT exemption</w:t>
      </w:r>
      <w:r w:rsidRPr="004E4F3D">
        <w:rPr>
          <w:lang w:val="en-US"/>
        </w:rPr>
        <w:t>,</w:t>
      </w:r>
      <w:r w:rsidR="0051333B" w:rsidRPr="004E4F3D">
        <w:rPr>
          <w:lang w:val="en-US"/>
        </w:rPr>
        <w:t xml:space="preserve"> is in compliance with </w:t>
      </w:r>
      <w:r w:rsidRPr="004E4F3D">
        <w:rPr>
          <w:lang w:val="en-US"/>
        </w:rPr>
        <w:t>the existing EU law</w:t>
      </w:r>
      <w:r w:rsidR="0051333B" w:rsidRPr="004E4F3D">
        <w:rPr>
          <w:lang w:val="en-US"/>
        </w:rPr>
        <w:t xml:space="preserve">. </w:t>
      </w:r>
      <w:r w:rsidR="009D2F1B" w:rsidRPr="004E4F3D">
        <w:rPr>
          <w:lang w:val="en-US"/>
        </w:rPr>
        <w:t xml:space="preserve">For example, in case C-305/95 a litigant that had been excluded from a British VAT-deduction, challenged this exclusion with reference to Directive 77/388/EEC, claiming that the exclusion was incompatible with EU law.  While </w:t>
      </w:r>
      <w:r w:rsidR="009D2F1B" w:rsidRPr="004E4F3D">
        <w:rPr>
          <w:lang w:val="en-US"/>
        </w:rPr>
        <w:lastRenderedPageBreak/>
        <w:t xml:space="preserve">the Commission </w:t>
      </w:r>
      <w:r w:rsidR="00F831C6" w:rsidRPr="004E4F3D">
        <w:rPr>
          <w:lang w:val="en-US"/>
        </w:rPr>
        <w:t>argued that EU law did</w:t>
      </w:r>
      <w:r w:rsidR="009D2F1B" w:rsidRPr="004E4F3D">
        <w:rPr>
          <w:lang w:val="en-US"/>
        </w:rPr>
        <w:t xml:space="preserve"> not authorise such exclusions (coded as More Eur</w:t>
      </w:r>
      <w:r w:rsidR="00F831C6" w:rsidRPr="004E4F3D">
        <w:rPr>
          <w:lang w:val="en-US"/>
        </w:rPr>
        <w:t>ope), the ECJ ruled that it did (</w:t>
      </w:r>
      <w:r w:rsidR="00DE339E" w:rsidRPr="004E4F3D">
        <w:rPr>
          <w:lang w:val="en-US"/>
        </w:rPr>
        <w:t>preserved national sovereignty</w:t>
      </w:r>
      <w:r w:rsidR="00F831C6" w:rsidRPr="004E4F3D">
        <w:rPr>
          <w:lang w:val="en-US"/>
        </w:rPr>
        <w:t>). The General Advocate</w:t>
      </w:r>
      <w:r w:rsidR="009D2F1B" w:rsidRPr="004E4F3D">
        <w:rPr>
          <w:lang w:val="en-US"/>
        </w:rPr>
        <w:t xml:space="preserve"> took the same position as the ECJ, together with Denmark, Greece, France, Ireland, Finland, Sweden and the UK. </w:t>
      </w:r>
    </w:p>
    <w:p w14:paraId="747DC4D2" w14:textId="77777777" w:rsidR="0051333B" w:rsidRPr="004E4F3D" w:rsidRDefault="0051333B" w:rsidP="0051333B">
      <w:pPr>
        <w:rPr>
          <w:lang w:val="en-US"/>
        </w:rPr>
      </w:pPr>
    </w:p>
    <w:p w14:paraId="533AE5E7" w14:textId="61CD4AC1" w:rsidR="00787A56" w:rsidRPr="004E4F3D" w:rsidRDefault="0051333B" w:rsidP="0051333B">
      <w:pPr>
        <w:rPr>
          <w:lang w:val="en-US"/>
        </w:rPr>
      </w:pPr>
      <w:r w:rsidRPr="004E4F3D">
        <w:rPr>
          <w:i/>
          <w:lang w:val="en-US"/>
        </w:rPr>
        <w:t xml:space="preserve">Social Provisions </w:t>
      </w:r>
      <w:r w:rsidRPr="004E4F3D">
        <w:rPr>
          <w:lang w:val="en-US"/>
        </w:rPr>
        <w:t xml:space="preserve">(art. 136-145 TEC) </w:t>
      </w:r>
      <w:r w:rsidR="00787A56" w:rsidRPr="004E4F3D">
        <w:rPr>
          <w:lang w:val="en-US"/>
        </w:rPr>
        <w:t>relate to</w:t>
      </w:r>
      <w:r w:rsidRPr="004E4F3D">
        <w:rPr>
          <w:lang w:val="en-US"/>
        </w:rPr>
        <w:t xml:space="preserve"> </w:t>
      </w:r>
      <w:r w:rsidR="00787A56" w:rsidRPr="004E4F3D">
        <w:rPr>
          <w:lang w:val="en-US"/>
        </w:rPr>
        <w:t xml:space="preserve">health and safety at the work place, </w:t>
      </w:r>
      <w:r w:rsidRPr="004E4F3D">
        <w:rPr>
          <w:lang w:val="en-US"/>
        </w:rPr>
        <w:t>terms of employment, employment of third-country nationals (i.e. non-EU citizens), social exclusion, and more. The co</w:t>
      </w:r>
      <w:r w:rsidR="003728CE" w:rsidRPr="004E4F3D">
        <w:rPr>
          <w:lang w:val="en-US"/>
        </w:rPr>
        <w:t>mpetencies of the EU within these</w:t>
      </w:r>
      <w:r w:rsidRPr="004E4F3D">
        <w:rPr>
          <w:lang w:val="en-US"/>
        </w:rPr>
        <w:t xml:space="preserve"> area</w:t>
      </w:r>
      <w:r w:rsidR="003728CE" w:rsidRPr="004E4F3D">
        <w:rPr>
          <w:lang w:val="en-US"/>
        </w:rPr>
        <w:t>s</w:t>
      </w:r>
      <w:r w:rsidRPr="004E4F3D">
        <w:rPr>
          <w:lang w:val="en-US"/>
        </w:rPr>
        <w:t xml:space="preserve"> vary</w:t>
      </w:r>
      <w:r w:rsidR="003728CE" w:rsidRPr="004E4F3D">
        <w:rPr>
          <w:lang w:val="en-US"/>
        </w:rPr>
        <w:t>. Typically,</w:t>
      </w:r>
      <w:r w:rsidRPr="004E4F3D">
        <w:rPr>
          <w:lang w:val="en-US"/>
        </w:rPr>
        <w:t xml:space="preserve"> the EU can</w:t>
      </w:r>
      <w:r w:rsidR="003728CE" w:rsidRPr="004E4F3D">
        <w:rPr>
          <w:lang w:val="en-US"/>
        </w:rPr>
        <w:t>,</w:t>
      </w:r>
      <w:r w:rsidRPr="004E4F3D">
        <w:rPr>
          <w:lang w:val="en-US"/>
        </w:rPr>
        <w:t xml:space="preserve"> under certain conditions</w:t>
      </w:r>
      <w:r w:rsidR="003728CE" w:rsidRPr="004E4F3D">
        <w:rPr>
          <w:lang w:val="en-US"/>
        </w:rPr>
        <w:t>,</w:t>
      </w:r>
      <w:r w:rsidRPr="004E4F3D">
        <w:rPr>
          <w:lang w:val="en-US"/>
        </w:rPr>
        <w:t xml:space="preserve"> establish minimum requirements. The cases within this category cover a broad range of issues, from </w:t>
      </w:r>
      <w:r w:rsidR="00122B23" w:rsidRPr="004E4F3D">
        <w:rPr>
          <w:lang w:val="en-US"/>
        </w:rPr>
        <w:t xml:space="preserve">the protection of union </w:t>
      </w:r>
      <w:r w:rsidRPr="004E4F3D">
        <w:rPr>
          <w:lang w:val="en-US"/>
        </w:rPr>
        <w:t>representative</w:t>
      </w:r>
      <w:r w:rsidR="00122B23" w:rsidRPr="004E4F3D">
        <w:rPr>
          <w:lang w:val="en-US"/>
        </w:rPr>
        <w:t>s</w:t>
      </w:r>
      <w:r w:rsidRPr="004E4F3D">
        <w:rPr>
          <w:lang w:val="en-US"/>
        </w:rPr>
        <w:t xml:space="preserve"> against dismissal (C-405/08) to equal pay between men and women (C-351/00). In the last </w:t>
      </w:r>
      <w:r w:rsidR="003728CE" w:rsidRPr="004E4F3D">
        <w:rPr>
          <w:lang w:val="en-US"/>
        </w:rPr>
        <w:t>case</w:t>
      </w:r>
      <w:r w:rsidRPr="004E4F3D">
        <w:rPr>
          <w:lang w:val="en-US"/>
        </w:rPr>
        <w:t>, the question was raised whether article 141 TEC, which stipulates that “</w:t>
      </w:r>
      <w:r w:rsidR="00971EAC" w:rsidRPr="004E4F3D">
        <w:rPr>
          <w:lang w:val="en-US"/>
        </w:rPr>
        <w:t>e</w:t>
      </w:r>
      <w:r w:rsidRPr="004E4F3D">
        <w:rPr>
          <w:lang w:val="en-US"/>
        </w:rPr>
        <w:t>ach Member State shall ensure that the principle of equal pay for male and female workers for equal work or work of</w:t>
      </w:r>
      <w:r w:rsidR="00971EAC" w:rsidRPr="004E4F3D">
        <w:rPr>
          <w:lang w:val="en-US"/>
        </w:rPr>
        <w:t xml:space="preserve"> equal value is applied”, covered</w:t>
      </w:r>
      <w:r w:rsidRPr="004E4F3D">
        <w:rPr>
          <w:lang w:val="en-US"/>
        </w:rPr>
        <w:t xml:space="preserve"> a </w:t>
      </w:r>
      <w:r w:rsidR="00971EAC" w:rsidRPr="004E4F3D">
        <w:rPr>
          <w:lang w:val="en-US"/>
        </w:rPr>
        <w:t xml:space="preserve">Finish </w:t>
      </w:r>
      <w:r w:rsidRPr="004E4F3D">
        <w:rPr>
          <w:lang w:val="en-US"/>
        </w:rPr>
        <w:t xml:space="preserve">national pensions scheme. The position that </w:t>
      </w:r>
      <w:r w:rsidR="00971EAC" w:rsidRPr="004E4F3D">
        <w:rPr>
          <w:i/>
          <w:lang w:val="en-US"/>
        </w:rPr>
        <w:t>it did</w:t>
      </w:r>
      <w:r w:rsidR="00971EAC" w:rsidRPr="004E4F3D">
        <w:rPr>
          <w:lang w:val="en-US"/>
        </w:rPr>
        <w:t>, which was taken by the Commission, the AG and the ECJ,</w:t>
      </w:r>
      <w:r w:rsidRPr="004E4F3D">
        <w:rPr>
          <w:lang w:val="en-US"/>
        </w:rPr>
        <w:t xml:space="preserve"> was coded as </w:t>
      </w:r>
      <w:r w:rsidR="00872EDA" w:rsidRPr="004E4F3D">
        <w:rPr>
          <w:lang w:val="en-US"/>
        </w:rPr>
        <w:t xml:space="preserve">“More Europe”, </w:t>
      </w:r>
      <w:r w:rsidR="00971EAC" w:rsidRPr="004E4F3D">
        <w:rPr>
          <w:lang w:val="en-US"/>
        </w:rPr>
        <w:t xml:space="preserve">while </w:t>
      </w:r>
      <w:r w:rsidR="00872EDA" w:rsidRPr="004E4F3D">
        <w:rPr>
          <w:lang w:val="en-US"/>
        </w:rPr>
        <w:t xml:space="preserve">the opposite </w:t>
      </w:r>
      <w:r w:rsidR="00971EAC" w:rsidRPr="004E4F3D">
        <w:rPr>
          <w:lang w:val="en-US"/>
        </w:rPr>
        <w:t>position</w:t>
      </w:r>
      <w:r w:rsidR="00835C11" w:rsidRPr="004E4F3D">
        <w:rPr>
          <w:lang w:val="en-US"/>
        </w:rPr>
        <w:t>,</w:t>
      </w:r>
      <w:r w:rsidR="00971EAC" w:rsidRPr="004E4F3D">
        <w:rPr>
          <w:lang w:val="en-US"/>
        </w:rPr>
        <w:t xml:space="preserve"> defended by the Finish government</w:t>
      </w:r>
      <w:r w:rsidR="00835C11" w:rsidRPr="004E4F3D">
        <w:rPr>
          <w:lang w:val="en-US"/>
        </w:rPr>
        <w:t>,</w:t>
      </w:r>
      <w:r w:rsidR="00971EAC" w:rsidRPr="004E4F3D">
        <w:rPr>
          <w:lang w:val="en-US"/>
        </w:rPr>
        <w:t xml:space="preserve"> w</w:t>
      </w:r>
      <w:r w:rsidR="00872EDA" w:rsidRPr="004E4F3D">
        <w:rPr>
          <w:lang w:val="en-US"/>
        </w:rPr>
        <w:t xml:space="preserve">as </w:t>
      </w:r>
      <w:r w:rsidR="00971EAC" w:rsidRPr="004E4F3D">
        <w:rPr>
          <w:lang w:val="en-US"/>
        </w:rPr>
        <w:t xml:space="preserve">coded as </w:t>
      </w:r>
      <w:r w:rsidR="00872EDA" w:rsidRPr="004E4F3D">
        <w:rPr>
          <w:lang w:val="en-US"/>
        </w:rPr>
        <w:t>preserved national sovereignty.</w:t>
      </w:r>
      <w:r w:rsidRPr="004E4F3D">
        <w:rPr>
          <w:lang w:val="en-US"/>
        </w:rPr>
        <w:t xml:space="preserve"> </w:t>
      </w:r>
    </w:p>
    <w:p w14:paraId="52B1FE98" w14:textId="77777777" w:rsidR="00971EAC" w:rsidRPr="004E4F3D" w:rsidRDefault="00971EAC" w:rsidP="0051333B">
      <w:pPr>
        <w:rPr>
          <w:lang w:val="en-US"/>
        </w:rPr>
      </w:pPr>
    </w:p>
    <w:p w14:paraId="7D2C4073" w14:textId="22FB6A25" w:rsidR="004E4F3D" w:rsidRPr="004E4F3D" w:rsidRDefault="0051333B" w:rsidP="00B30F57">
      <w:pPr>
        <w:rPr>
          <w:rStyle w:val="Emphasis"/>
          <w:i w:val="0"/>
          <w:lang w:val="en-US"/>
        </w:rPr>
      </w:pPr>
      <w:r w:rsidRPr="004E4F3D">
        <w:rPr>
          <w:i/>
          <w:lang w:val="en-US"/>
        </w:rPr>
        <w:t>Environment</w:t>
      </w:r>
      <w:r w:rsidRPr="004E4F3D">
        <w:rPr>
          <w:lang w:val="en-US"/>
        </w:rPr>
        <w:t xml:space="preserve"> (174-176) </w:t>
      </w:r>
      <w:r w:rsidR="00E202A1" w:rsidRPr="004E4F3D">
        <w:rPr>
          <w:lang w:val="en-US"/>
        </w:rPr>
        <w:t>includes the articles that lay</w:t>
      </w:r>
      <w:r w:rsidRPr="004E4F3D">
        <w:rPr>
          <w:lang w:val="en-US"/>
        </w:rPr>
        <w:t xml:space="preserve"> the foundation for the EU:s environmental policies. In C-231/97</w:t>
      </w:r>
      <w:r w:rsidR="004E4F3D" w:rsidRPr="004E4F3D">
        <w:rPr>
          <w:lang w:val="en-US"/>
        </w:rPr>
        <w:t xml:space="preserve"> a wood-treatment facility in the Netherlands, owned by a Dutch company, was accused of emitting steam containing a</w:t>
      </w:r>
      <w:r w:rsidR="004E4F3D" w:rsidRPr="004E4F3D">
        <w:rPr>
          <w:rStyle w:val="Emphasis"/>
          <w:i w:val="0"/>
          <w:lang w:val="en-US"/>
        </w:rPr>
        <w:t xml:space="preserve">rsenic, copper and chromium. The legal question concerned whether the term ”discharge” </w:t>
      </w:r>
      <w:r w:rsidR="004E4F3D">
        <w:rPr>
          <w:rStyle w:val="Emphasis"/>
          <w:i w:val="0"/>
          <w:lang w:val="en-US"/>
        </w:rPr>
        <w:t xml:space="preserve">as </w:t>
      </w:r>
      <w:r w:rsidR="004E4F3D" w:rsidRPr="004E4F3D">
        <w:rPr>
          <w:rStyle w:val="Emphasis"/>
          <w:i w:val="0"/>
          <w:lang w:val="en-US"/>
        </w:rPr>
        <w:t xml:space="preserve">used in </w:t>
      </w:r>
      <w:r w:rsidR="004E4F3D" w:rsidRPr="004E4F3D">
        <w:rPr>
          <w:lang w:val="en-US"/>
        </w:rPr>
        <w:t xml:space="preserve">directive 76/464/EEC covered the emissions, thereby making it fall </w:t>
      </w:r>
      <w:r w:rsidR="004E4F3D" w:rsidRPr="004E4F3D">
        <w:rPr>
          <w:rStyle w:val="Emphasis"/>
          <w:i w:val="0"/>
          <w:lang w:val="en-US"/>
        </w:rPr>
        <w:t>under the ambit of EU environmental regulations</w:t>
      </w:r>
      <w:r w:rsidR="000359A0">
        <w:rPr>
          <w:rStyle w:val="Emphasis"/>
          <w:i w:val="0"/>
          <w:lang w:val="en-US"/>
        </w:rPr>
        <w:t>. The position that it did</w:t>
      </w:r>
      <w:r w:rsidR="004E4F3D">
        <w:rPr>
          <w:rStyle w:val="Emphasis"/>
          <w:i w:val="0"/>
          <w:lang w:val="en-US"/>
        </w:rPr>
        <w:t xml:space="preserve"> was taken by the </w:t>
      </w:r>
      <w:r w:rsidR="004E4F3D" w:rsidRPr="004E4F3D">
        <w:rPr>
          <w:lang w:val="en-US"/>
        </w:rPr>
        <w:t xml:space="preserve">ECJ, </w:t>
      </w:r>
      <w:r w:rsidR="004E4F3D">
        <w:rPr>
          <w:lang w:val="en-US"/>
        </w:rPr>
        <w:t>the General Advocate, the</w:t>
      </w:r>
      <w:r w:rsidR="004E4F3D" w:rsidRPr="004E4F3D">
        <w:rPr>
          <w:lang w:val="en-US"/>
        </w:rPr>
        <w:t xml:space="preserve"> Commission</w:t>
      </w:r>
      <w:r w:rsidR="004E4F3D">
        <w:rPr>
          <w:lang w:val="en-US"/>
        </w:rPr>
        <w:t xml:space="preserve"> and the Finish government</w:t>
      </w:r>
      <w:r w:rsidR="000359A0">
        <w:rPr>
          <w:lang w:val="en-US"/>
        </w:rPr>
        <w:t>, and was coded as More Europe. The opposite position, coded as preserved national sovereignty, was forwarded by France and the Netherlands.</w:t>
      </w:r>
    </w:p>
    <w:p w14:paraId="21B52213" w14:textId="77777777" w:rsidR="0051333B" w:rsidRPr="004E4F3D" w:rsidRDefault="0051333B" w:rsidP="0051333B">
      <w:pPr>
        <w:rPr>
          <w:lang w:val="en-US"/>
        </w:rPr>
      </w:pPr>
    </w:p>
    <w:p w14:paraId="2B7746E1" w14:textId="334B1698" w:rsidR="0066451C" w:rsidRPr="004E4F3D" w:rsidRDefault="0051333B" w:rsidP="0066451C">
      <w:pPr>
        <w:rPr>
          <w:lang w:val="en-US"/>
        </w:rPr>
      </w:pPr>
      <w:r w:rsidRPr="004E4F3D">
        <w:rPr>
          <w:i/>
          <w:lang w:val="en-US"/>
        </w:rPr>
        <w:t>Consumer Protection</w:t>
      </w:r>
      <w:r w:rsidRPr="004E4F3D">
        <w:rPr>
          <w:lang w:val="en-US"/>
        </w:rPr>
        <w:t xml:space="preserve"> (</w:t>
      </w:r>
      <w:r w:rsidR="00E202A1" w:rsidRPr="004E4F3D">
        <w:rPr>
          <w:lang w:val="en-US"/>
        </w:rPr>
        <w:t xml:space="preserve">art. </w:t>
      </w:r>
      <w:r w:rsidRPr="004E4F3D">
        <w:rPr>
          <w:lang w:val="en-US"/>
        </w:rPr>
        <w:t>153) involves a wide range of issues</w:t>
      </w:r>
      <w:r w:rsidR="00E202A1" w:rsidRPr="004E4F3D">
        <w:rPr>
          <w:lang w:val="en-US"/>
        </w:rPr>
        <w:t>. Many cases concern</w:t>
      </w:r>
      <w:r w:rsidRPr="004E4F3D">
        <w:rPr>
          <w:lang w:val="en-US"/>
        </w:rPr>
        <w:t xml:space="preserve"> the </w:t>
      </w:r>
      <w:r w:rsidR="00EE7B89" w:rsidRPr="004E4F3D">
        <w:rPr>
          <w:lang w:val="en-US"/>
        </w:rPr>
        <w:t>labeling</w:t>
      </w:r>
      <w:r w:rsidRPr="004E4F3D">
        <w:rPr>
          <w:lang w:val="en-US"/>
        </w:rPr>
        <w:t xml:space="preserve"> </w:t>
      </w:r>
      <w:r w:rsidR="00E202A1" w:rsidRPr="004E4F3D">
        <w:rPr>
          <w:lang w:val="en-US"/>
        </w:rPr>
        <w:t xml:space="preserve">or advertisement </w:t>
      </w:r>
      <w:r w:rsidRPr="004E4F3D">
        <w:rPr>
          <w:lang w:val="en-US"/>
        </w:rPr>
        <w:t xml:space="preserve">of products on the internal market. </w:t>
      </w:r>
      <w:r w:rsidR="00E202A1" w:rsidRPr="004E4F3D">
        <w:rPr>
          <w:lang w:val="en-US"/>
        </w:rPr>
        <w:t>One</w:t>
      </w:r>
      <w:r w:rsidRPr="004E4F3D">
        <w:rPr>
          <w:lang w:val="en-US"/>
        </w:rPr>
        <w:t xml:space="preserve"> example is C-239/02 in which </w:t>
      </w:r>
      <w:r w:rsidR="00E202A1" w:rsidRPr="004E4F3D">
        <w:rPr>
          <w:lang w:val="en-US"/>
        </w:rPr>
        <w:t>the</w:t>
      </w:r>
      <w:r w:rsidRPr="004E4F3D">
        <w:rPr>
          <w:lang w:val="en-US"/>
        </w:rPr>
        <w:t xml:space="preserve"> question is raised </w:t>
      </w:r>
      <w:r w:rsidR="00EE7B89">
        <w:rPr>
          <w:lang w:val="en-US"/>
        </w:rPr>
        <w:t>whether a directive on the labe</w:t>
      </w:r>
      <w:r w:rsidRPr="004E4F3D">
        <w:rPr>
          <w:lang w:val="en-US"/>
        </w:rPr>
        <w:t>ling, presentation and advertising of foodstuffs (2000/13/EC) preclude</w:t>
      </w:r>
      <w:r w:rsidR="00E202A1" w:rsidRPr="004E4F3D">
        <w:rPr>
          <w:lang w:val="en-US"/>
        </w:rPr>
        <w:t>s</w:t>
      </w:r>
      <w:r w:rsidRPr="004E4F3D">
        <w:rPr>
          <w:lang w:val="en-US"/>
        </w:rPr>
        <w:t xml:space="preserve"> </w:t>
      </w:r>
      <w:r w:rsidR="00EE7B89">
        <w:rPr>
          <w:lang w:val="en-US"/>
        </w:rPr>
        <w:t>a Belgian provision</w:t>
      </w:r>
      <w:r w:rsidRPr="004E4F3D">
        <w:rPr>
          <w:lang w:val="en-US"/>
        </w:rPr>
        <w:t xml:space="preserve"> </w:t>
      </w:r>
      <w:r w:rsidR="00E202A1" w:rsidRPr="004E4F3D">
        <w:rPr>
          <w:lang w:val="en-US"/>
        </w:rPr>
        <w:t>that</w:t>
      </w:r>
      <w:r w:rsidRPr="004E4F3D">
        <w:rPr>
          <w:lang w:val="en-US"/>
        </w:rPr>
        <w:t xml:space="preserve"> prohibits certain phrasing in advertisement (</w:t>
      </w:r>
      <w:r w:rsidR="00E202A1" w:rsidRPr="004E4F3D">
        <w:rPr>
          <w:lang w:val="en-US"/>
        </w:rPr>
        <w:t>e.g. the</w:t>
      </w:r>
      <w:r w:rsidRPr="004E4F3D">
        <w:rPr>
          <w:lang w:val="en-US"/>
        </w:rPr>
        <w:t xml:space="preserve"> word “slimming”). The position that the directive precludes such national</w:t>
      </w:r>
      <w:r w:rsidR="00EE7B89">
        <w:rPr>
          <w:lang w:val="en-US"/>
        </w:rPr>
        <w:t xml:space="preserve"> legislation has been coded as </w:t>
      </w:r>
      <w:r w:rsidRPr="004E4F3D">
        <w:rPr>
          <w:lang w:val="en-US"/>
        </w:rPr>
        <w:t>More</w:t>
      </w:r>
      <w:r w:rsidR="00EE7B89">
        <w:rPr>
          <w:lang w:val="en-US"/>
        </w:rPr>
        <w:t xml:space="preserve"> Europe, the opposite as preserved national sovereignty</w:t>
      </w:r>
      <w:r w:rsidRPr="004E4F3D">
        <w:rPr>
          <w:lang w:val="en-US"/>
        </w:rPr>
        <w:t>.</w:t>
      </w:r>
      <w:r w:rsidR="0066451C" w:rsidRPr="004E4F3D">
        <w:rPr>
          <w:lang w:val="en-US"/>
        </w:rPr>
        <w:t xml:space="preserve"> </w:t>
      </w:r>
      <w:r w:rsidR="00EE7B89">
        <w:rPr>
          <w:lang w:val="en-GB"/>
        </w:rPr>
        <w:t>The ECJ, the Commission and the AG took the former position, while the Belgian government took the latter.</w:t>
      </w:r>
    </w:p>
    <w:p w14:paraId="230FA879" w14:textId="77777777" w:rsidR="00D864AF" w:rsidRPr="004E4F3D" w:rsidRDefault="00D864AF" w:rsidP="0051333B">
      <w:pPr>
        <w:rPr>
          <w:lang w:val="en-US"/>
        </w:rPr>
      </w:pPr>
    </w:p>
    <w:p w14:paraId="2E3A05BF" w14:textId="7416DC9A" w:rsidR="002E2FB6" w:rsidRDefault="00D864AF" w:rsidP="0051333B">
      <w:pPr>
        <w:rPr>
          <w:lang w:val="en-US"/>
        </w:rPr>
      </w:pPr>
      <w:r w:rsidRPr="004E4F3D">
        <w:rPr>
          <w:i/>
          <w:iCs/>
          <w:lang w:val="en-US"/>
        </w:rPr>
        <w:t>Agriculture</w:t>
      </w:r>
      <w:r w:rsidRPr="004E4F3D">
        <w:rPr>
          <w:lang w:val="en-US"/>
        </w:rPr>
        <w:t xml:space="preserve"> (articles 32-38 TEC) is one of the core competencies of the EU, and consequently a fairly large category in the data set. Questions arising in this area involve issues such as how much substances that can be added to a product before it requires re-classification (C-410/08), how a certain sugar production quota should be interpreted (C-365/08), or if the vitamin D-level of a certain "supplementary feedingstuff" constitutes a valid ground for a member state </w:t>
      </w:r>
      <w:r w:rsidR="002E2FB6">
        <w:rPr>
          <w:lang w:val="en-US"/>
        </w:rPr>
        <w:t xml:space="preserve">(Germany) </w:t>
      </w:r>
      <w:r w:rsidRPr="004E4F3D">
        <w:rPr>
          <w:lang w:val="en-US"/>
        </w:rPr>
        <w:t>to prohibit its marketing within that state (C-145/02</w:t>
      </w:r>
      <w:r w:rsidR="00291535">
        <w:rPr>
          <w:lang w:val="en-US"/>
        </w:rPr>
        <w:t xml:space="preserve">). </w:t>
      </w:r>
      <w:r w:rsidR="002E2FB6" w:rsidRPr="001414DC">
        <w:rPr>
          <w:lang w:val="en-GB"/>
        </w:rPr>
        <w:t>In the last case,</w:t>
      </w:r>
      <w:r w:rsidR="002E2FB6">
        <w:rPr>
          <w:lang w:val="en-GB"/>
        </w:rPr>
        <w:t xml:space="preserve"> the German government defended its statute, a position </w:t>
      </w:r>
      <w:r w:rsidR="004C7F5D">
        <w:rPr>
          <w:lang w:val="en-GB"/>
        </w:rPr>
        <w:t>that</w:t>
      </w:r>
      <w:r w:rsidR="002E2FB6">
        <w:rPr>
          <w:lang w:val="en-GB"/>
        </w:rPr>
        <w:t xml:space="preserve"> was coded as preserved national sovereignty. The ECJ, on the other hand, ruled that the </w:t>
      </w:r>
      <w:r w:rsidR="002E2FB6">
        <w:rPr>
          <w:lang w:val="en-GB"/>
        </w:rPr>
        <w:lastRenderedPageBreak/>
        <w:t>German regulation was in violation with EU law, a position shared by the Commission and the General Advocate.</w:t>
      </w:r>
    </w:p>
    <w:p w14:paraId="4DD8090A" w14:textId="77777777" w:rsidR="0051333B" w:rsidRPr="004E4F3D" w:rsidRDefault="0051333B" w:rsidP="0051333B">
      <w:pPr>
        <w:rPr>
          <w:lang w:val="en-US"/>
        </w:rPr>
      </w:pPr>
    </w:p>
    <w:p w14:paraId="73DFA224" w14:textId="60614DC6" w:rsidR="0051333B" w:rsidRPr="004E4F3D" w:rsidRDefault="0051333B" w:rsidP="0051333B">
      <w:pPr>
        <w:rPr>
          <w:lang w:val="en-US"/>
        </w:rPr>
      </w:pPr>
      <w:r w:rsidRPr="004E4F3D">
        <w:rPr>
          <w:i/>
          <w:lang w:val="en-US"/>
        </w:rPr>
        <w:t>Approximation of Laws</w:t>
      </w:r>
      <w:r w:rsidR="0027130C" w:rsidRPr="004E4F3D">
        <w:rPr>
          <w:lang w:val="en-US"/>
        </w:rPr>
        <w:t xml:space="preserve"> [arts. 94-97 TEC]</w:t>
      </w:r>
      <w:r w:rsidRPr="004E4F3D">
        <w:rPr>
          <w:lang w:val="en-US"/>
        </w:rPr>
        <w:t xml:space="preserve"> is a broad category, which stipulates the process of aligning national legislation with EU </w:t>
      </w:r>
      <w:r w:rsidR="0027130C" w:rsidRPr="004E4F3D">
        <w:rPr>
          <w:rStyle w:val="Emphasis"/>
          <w:i w:val="0"/>
          <w:lang w:val="en-US"/>
        </w:rPr>
        <w:t>law</w:t>
      </w:r>
      <w:r w:rsidRPr="004E4F3D">
        <w:rPr>
          <w:lang w:val="en-US"/>
        </w:rPr>
        <w:t xml:space="preserve"> for the purpose of “approximation of such laws, regulations or administrative provisions of the Member States as directly affect the establishment or f</w:t>
      </w:r>
      <w:r w:rsidR="0027130C" w:rsidRPr="004E4F3D">
        <w:rPr>
          <w:lang w:val="en-US"/>
        </w:rPr>
        <w:t>unctioning of the common market” (a</w:t>
      </w:r>
      <w:r w:rsidRPr="004E4F3D">
        <w:rPr>
          <w:lang w:val="en-US"/>
        </w:rPr>
        <w:t>rt</w:t>
      </w:r>
      <w:r w:rsidR="0027130C" w:rsidRPr="004E4F3D">
        <w:rPr>
          <w:lang w:val="en-US"/>
        </w:rPr>
        <w:t>.</w:t>
      </w:r>
      <w:r w:rsidRPr="004E4F3D">
        <w:rPr>
          <w:lang w:val="en-US"/>
        </w:rPr>
        <w:t xml:space="preserve"> 94). As can </w:t>
      </w:r>
      <w:r w:rsidR="0027130C" w:rsidRPr="004E4F3D">
        <w:rPr>
          <w:lang w:val="en-US"/>
        </w:rPr>
        <w:t xml:space="preserve">be </w:t>
      </w:r>
      <w:r w:rsidRPr="004E4F3D">
        <w:rPr>
          <w:lang w:val="en-US"/>
        </w:rPr>
        <w:t>see</w:t>
      </w:r>
      <w:r w:rsidR="0027130C" w:rsidRPr="004E4F3D">
        <w:rPr>
          <w:lang w:val="en-US"/>
        </w:rPr>
        <w:t>n in Table A1</w:t>
      </w:r>
      <w:r w:rsidRPr="004E4F3D">
        <w:rPr>
          <w:lang w:val="en-US"/>
        </w:rPr>
        <w:t xml:space="preserve">, </w:t>
      </w:r>
      <w:r w:rsidR="00BB676B" w:rsidRPr="004E4F3D">
        <w:rPr>
          <w:lang w:val="en-US"/>
        </w:rPr>
        <w:t>this category</w:t>
      </w:r>
      <w:r w:rsidRPr="004E4F3D">
        <w:rPr>
          <w:lang w:val="en-US"/>
        </w:rPr>
        <w:t xml:space="preserve"> has substantial overlap with </w:t>
      </w:r>
      <w:r w:rsidR="009A6DA5" w:rsidRPr="004E4F3D">
        <w:rPr>
          <w:lang w:val="en-US"/>
        </w:rPr>
        <w:t>most</w:t>
      </w:r>
      <w:r w:rsidRPr="004E4F3D">
        <w:rPr>
          <w:lang w:val="en-US"/>
        </w:rPr>
        <w:t xml:space="preserve"> other categories and examples can include cases from all of these.</w:t>
      </w:r>
      <w:r w:rsidR="009A6DA5" w:rsidRPr="004E4F3D">
        <w:rPr>
          <w:lang w:val="en-US"/>
        </w:rPr>
        <w:t xml:space="preserve"> For that reason, we do not distinguish approximation of laws as a specific policy area in the analyses.</w:t>
      </w:r>
    </w:p>
    <w:p w14:paraId="2776D552" w14:textId="2855FA3E" w:rsidR="00334CED" w:rsidRPr="004E4F3D" w:rsidRDefault="00334CED">
      <w:pPr>
        <w:rPr>
          <w:b/>
          <w:lang w:val="en-US"/>
        </w:rPr>
      </w:pPr>
      <w:r w:rsidRPr="004E4F3D">
        <w:rPr>
          <w:b/>
          <w:lang w:val="en-US"/>
        </w:rPr>
        <w:br w:type="page"/>
      </w:r>
    </w:p>
    <w:p w14:paraId="591C49CA" w14:textId="274F5283" w:rsidR="00BA0421" w:rsidRPr="004E4F3D" w:rsidRDefault="00BA0421">
      <w:pPr>
        <w:rPr>
          <w:b/>
          <w:lang w:val="en-US"/>
        </w:rPr>
      </w:pPr>
      <w:r w:rsidRPr="004E4F3D">
        <w:rPr>
          <w:b/>
          <w:lang w:val="en-US"/>
        </w:rPr>
        <w:lastRenderedPageBreak/>
        <w:t>Voting rule</w:t>
      </w:r>
      <w:r w:rsidR="0045713D" w:rsidRPr="004E4F3D">
        <w:rPr>
          <w:b/>
          <w:lang w:val="en-US"/>
        </w:rPr>
        <w:t xml:space="preserve"> across policy areas</w:t>
      </w:r>
    </w:p>
    <w:p w14:paraId="2D47A041" w14:textId="77777777" w:rsidR="00BA0421" w:rsidRPr="004E4F3D" w:rsidRDefault="00BA0421">
      <w:pPr>
        <w:rPr>
          <w:lang w:val="en-US"/>
        </w:rPr>
      </w:pPr>
    </w:p>
    <w:p w14:paraId="2E5278B8" w14:textId="0F9199A1" w:rsidR="009D0EDE" w:rsidRPr="004E4F3D" w:rsidRDefault="009535F2">
      <w:pPr>
        <w:rPr>
          <w:lang w:val="en-US"/>
        </w:rPr>
      </w:pPr>
      <w:r w:rsidRPr="004E4F3D">
        <w:rPr>
          <w:lang w:val="en-US"/>
        </w:rPr>
        <w:t xml:space="preserve">Figure A.1. Voting rule over policy </w:t>
      </w:r>
      <w:r w:rsidR="009D0EDE" w:rsidRPr="004E4F3D">
        <w:rPr>
          <w:lang w:val="en-US"/>
        </w:rPr>
        <w:t xml:space="preserve">areas </w:t>
      </w:r>
    </w:p>
    <w:p w14:paraId="0A7C991C" w14:textId="5DC17604" w:rsidR="009D0EDE" w:rsidRPr="004E4F3D" w:rsidRDefault="009D0EDE">
      <w:pPr>
        <w:rPr>
          <w:lang w:val="en-US"/>
        </w:rPr>
      </w:pPr>
    </w:p>
    <w:p w14:paraId="61D95DA7" w14:textId="77777777" w:rsidR="00262896" w:rsidRDefault="00262896" w:rsidP="00EC382B">
      <w:pPr>
        <w:pStyle w:val="CommentText"/>
        <w:rPr>
          <w:rFonts w:cs="Times New Roman"/>
        </w:rPr>
      </w:pPr>
      <w:r>
        <w:rPr>
          <w:rFonts w:cs="Times New Roman"/>
          <w:noProof/>
        </w:rPr>
        <w:drawing>
          <wp:inline distT="0" distB="0" distL="0" distR="0" wp14:anchorId="22E5B998" wp14:editId="1831FC8B">
            <wp:extent cx="5029200" cy="3657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67439AA" w14:textId="6AEAC694" w:rsidR="001C67CA" w:rsidRPr="004E4F3D" w:rsidRDefault="00EC382B" w:rsidP="00EC382B">
      <w:pPr>
        <w:pStyle w:val="CommentText"/>
        <w:rPr>
          <w:rFonts w:cs="Times New Roman"/>
        </w:rPr>
      </w:pPr>
      <w:r w:rsidRPr="004E4F3D">
        <w:rPr>
          <w:rFonts w:cs="Times New Roman"/>
        </w:rPr>
        <w:t xml:space="preserve">Note: </w:t>
      </w:r>
      <w:r w:rsidR="00FF16CC" w:rsidRPr="004E4F3D">
        <w:rPr>
          <w:rFonts w:cs="Times New Roman"/>
        </w:rPr>
        <w:t xml:space="preserve">The figure shows the number of issues in each category where the relevant act referred to in the case </w:t>
      </w:r>
      <w:r w:rsidR="00293657" w:rsidRPr="004E4F3D">
        <w:rPr>
          <w:rFonts w:cs="Times New Roman"/>
        </w:rPr>
        <w:t xml:space="preserve">(as indicated by “Case Affecting” in the EUR-lex coding) </w:t>
      </w:r>
      <w:r w:rsidR="00FF16CC" w:rsidRPr="004E4F3D">
        <w:rPr>
          <w:rFonts w:cs="Times New Roman"/>
        </w:rPr>
        <w:t xml:space="preserve">could be revised by a qualified majority vote in the Council or if unanimity was required, or </w:t>
      </w:r>
      <w:r w:rsidR="00293657" w:rsidRPr="004E4F3D">
        <w:rPr>
          <w:rFonts w:cs="Times New Roman"/>
        </w:rPr>
        <w:t>if</w:t>
      </w:r>
      <w:r w:rsidR="00FF16CC" w:rsidRPr="004E4F3D">
        <w:rPr>
          <w:rFonts w:cs="Times New Roman"/>
        </w:rPr>
        <w:t xml:space="preserve"> no single specific voting rule could be determined (mixed rule). </w:t>
      </w:r>
      <w:r w:rsidR="009735C4" w:rsidRPr="004E4F3D">
        <w:t xml:space="preserve">Mixed rule refers to cases where the concerned acts include a </w:t>
      </w:r>
      <w:r w:rsidR="003B0EC5" w:rsidRPr="004E4F3D">
        <w:t>combination</w:t>
      </w:r>
      <w:r w:rsidR="009735C4" w:rsidRPr="004E4F3D">
        <w:t xml:space="preserve"> of acts that are changed with QMV and unanimity, or where the legal basis of the concerned acts stipulates both QMV and unanimity for various circumstances.</w:t>
      </w:r>
    </w:p>
    <w:p w14:paraId="519A0A01" w14:textId="77777777" w:rsidR="001C67CA" w:rsidRPr="004E4F3D" w:rsidRDefault="001C67CA" w:rsidP="00EC382B">
      <w:pPr>
        <w:pStyle w:val="CommentText"/>
        <w:rPr>
          <w:rFonts w:cs="Times New Roman"/>
        </w:rPr>
      </w:pPr>
    </w:p>
    <w:p w14:paraId="1C5D546F" w14:textId="7DB5A70F" w:rsidR="00FF16CC" w:rsidRPr="004E4F3D" w:rsidRDefault="00BE7AE3" w:rsidP="00EC382B">
      <w:pPr>
        <w:pStyle w:val="CommentText"/>
        <w:rPr>
          <w:rFonts w:cs="Times New Roman"/>
        </w:rPr>
      </w:pPr>
      <w:r w:rsidRPr="004E4F3D">
        <w:rPr>
          <w:rFonts w:cs="Times New Roman"/>
        </w:rPr>
        <w:t>The figure shows</w:t>
      </w:r>
      <w:r w:rsidR="00E139C3" w:rsidRPr="004E4F3D">
        <w:rPr>
          <w:rFonts w:cs="Times New Roman"/>
        </w:rPr>
        <w:t xml:space="preserve"> that</w:t>
      </w:r>
      <w:r w:rsidRPr="004E4F3D">
        <w:rPr>
          <w:rFonts w:cs="Times New Roman"/>
        </w:rPr>
        <w:t xml:space="preserve"> while</w:t>
      </w:r>
      <w:r w:rsidR="00B12943">
        <w:rPr>
          <w:rFonts w:cs="Times New Roman"/>
        </w:rPr>
        <w:t xml:space="preserve"> </w:t>
      </w:r>
      <w:r w:rsidR="00C41A7D">
        <w:rPr>
          <w:rFonts w:cs="Times New Roman"/>
        </w:rPr>
        <w:t>a</w:t>
      </w:r>
      <w:r w:rsidR="00B12943">
        <w:rPr>
          <w:rFonts w:cs="Times New Roman"/>
        </w:rPr>
        <w:t xml:space="preserve">griculture </w:t>
      </w:r>
      <w:r w:rsidR="00B12943" w:rsidRPr="00C41A7D">
        <w:rPr>
          <w:rFonts w:cs="Times New Roman"/>
        </w:rPr>
        <w:t xml:space="preserve">and </w:t>
      </w:r>
      <w:r w:rsidR="00C41A7D">
        <w:rPr>
          <w:rFonts w:cs="Times New Roman"/>
        </w:rPr>
        <w:t>c</w:t>
      </w:r>
      <w:r w:rsidR="00B12943" w:rsidRPr="00C41A7D">
        <w:rPr>
          <w:rFonts w:cs="Times New Roman"/>
        </w:rPr>
        <w:t xml:space="preserve">ustoms </w:t>
      </w:r>
      <w:r w:rsidR="00C41A7D">
        <w:rPr>
          <w:rFonts w:cs="Times New Roman"/>
        </w:rPr>
        <w:t>c</w:t>
      </w:r>
      <w:r w:rsidR="00B12943" w:rsidRPr="00C41A7D">
        <w:rPr>
          <w:rFonts w:cs="Times New Roman"/>
        </w:rPr>
        <w:t>ooperation</w:t>
      </w:r>
      <w:r w:rsidR="00B12943">
        <w:rPr>
          <w:rFonts w:cs="Times New Roman"/>
        </w:rPr>
        <w:t>-issues</w:t>
      </w:r>
      <w:r w:rsidR="00FF16CC" w:rsidRPr="004E4F3D">
        <w:rPr>
          <w:rFonts w:cs="Times New Roman"/>
        </w:rPr>
        <w:t xml:space="preserve"> mainly include QMV cases, </w:t>
      </w:r>
      <w:r w:rsidR="00C41A7D">
        <w:rPr>
          <w:rFonts w:cs="Times New Roman"/>
        </w:rPr>
        <w:t>t</w:t>
      </w:r>
      <w:r w:rsidR="00FF16CC" w:rsidRPr="004E4F3D">
        <w:rPr>
          <w:rFonts w:cs="Times New Roman"/>
        </w:rPr>
        <w:t xml:space="preserve">ax issues </w:t>
      </w:r>
      <w:r w:rsidR="0070668B" w:rsidRPr="004E4F3D">
        <w:rPr>
          <w:rFonts w:cs="Times New Roman"/>
        </w:rPr>
        <w:t xml:space="preserve">and issues relating to the </w:t>
      </w:r>
      <w:r w:rsidR="00C41A7D">
        <w:rPr>
          <w:rFonts w:cs="Times New Roman"/>
        </w:rPr>
        <w:t>f</w:t>
      </w:r>
      <w:r w:rsidR="0070668B" w:rsidRPr="004E4F3D">
        <w:rPr>
          <w:rFonts w:cs="Times New Roman"/>
        </w:rPr>
        <w:t xml:space="preserve">ree </w:t>
      </w:r>
      <w:r w:rsidR="00C41A7D">
        <w:rPr>
          <w:rFonts w:cs="Times New Roman"/>
        </w:rPr>
        <w:t>m</w:t>
      </w:r>
      <w:r w:rsidR="0070668B" w:rsidRPr="004E4F3D">
        <w:rPr>
          <w:rFonts w:cs="Times New Roman"/>
        </w:rPr>
        <w:t xml:space="preserve">ovement of </w:t>
      </w:r>
      <w:r w:rsidR="00C41A7D">
        <w:rPr>
          <w:rFonts w:cs="Times New Roman"/>
        </w:rPr>
        <w:t>c</w:t>
      </w:r>
      <w:r w:rsidR="0070668B" w:rsidRPr="004E4F3D">
        <w:rPr>
          <w:rFonts w:cs="Times New Roman"/>
        </w:rPr>
        <w:t xml:space="preserve">apital </w:t>
      </w:r>
      <w:r w:rsidR="00FF16CC" w:rsidRPr="004E4F3D">
        <w:rPr>
          <w:rFonts w:cs="Times New Roman"/>
        </w:rPr>
        <w:t xml:space="preserve">are normally decided with unanimity. If the voting rule is unanimity this is usually so (more than 90 per cent) because the </w:t>
      </w:r>
      <w:r w:rsidR="009735C4" w:rsidRPr="004E4F3D">
        <w:rPr>
          <w:rFonts w:cs="Times New Roman"/>
        </w:rPr>
        <w:t>provision interpreted</w:t>
      </w:r>
      <w:r w:rsidR="00FF16CC" w:rsidRPr="004E4F3D">
        <w:rPr>
          <w:rFonts w:cs="Times New Roman"/>
        </w:rPr>
        <w:t xml:space="preserve"> </w:t>
      </w:r>
      <w:r w:rsidR="009735C4" w:rsidRPr="004E4F3D">
        <w:rPr>
          <w:rFonts w:cs="Times New Roman"/>
        </w:rPr>
        <w:t>is</w:t>
      </w:r>
      <w:r w:rsidR="00FF16CC" w:rsidRPr="004E4F3D">
        <w:rPr>
          <w:rFonts w:cs="Times New Roman"/>
        </w:rPr>
        <w:t xml:space="preserve"> a treaty article, except for tax issues where only about 10 per cent of the issues concern primary law</w:t>
      </w:r>
      <w:r w:rsidR="009735C4" w:rsidRPr="004E4F3D">
        <w:rPr>
          <w:rFonts w:cs="Times New Roman"/>
        </w:rPr>
        <w:t>.</w:t>
      </w:r>
    </w:p>
    <w:p w14:paraId="5D54058C" w14:textId="77777777" w:rsidR="00EC382B" w:rsidRPr="004E4F3D" w:rsidRDefault="00EC382B" w:rsidP="00EC382B">
      <w:pPr>
        <w:pStyle w:val="CommentText"/>
        <w:rPr>
          <w:rFonts w:cs="Times New Roman"/>
        </w:rPr>
      </w:pPr>
    </w:p>
    <w:p w14:paraId="7B65A180" w14:textId="77777777" w:rsidR="00EC382B" w:rsidRPr="004E4F3D" w:rsidRDefault="00EC382B" w:rsidP="00EC382B">
      <w:pPr>
        <w:pStyle w:val="CommentText"/>
        <w:rPr>
          <w:rFonts w:cs="Times New Roman"/>
        </w:rPr>
      </w:pPr>
    </w:p>
    <w:p w14:paraId="690A6A89" w14:textId="77777777" w:rsidR="009D0EDE" w:rsidRPr="004E4F3D" w:rsidRDefault="009D0EDE">
      <w:pPr>
        <w:rPr>
          <w:lang w:val="en-US"/>
        </w:rPr>
      </w:pPr>
    </w:p>
    <w:p w14:paraId="200460D7" w14:textId="77777777" w:rsidR="001C67CA" w:rsidRPr="004E4F3D" w:rsidRDefault="001C67CA">
      <w:pPr>
        <w:rPr>
          <w:b/>
          <w:lang w:val="en-US"/>
        </w:rPr>
      </w:pPr>
      <w:r w:rsidRPr="004E4F3D">
        <w:rPr>
          <w:b/>
          <w:lang w:val="en-US"/>
        </w:rPr>
        <w:br w:type="page"/>
      </w:r>
    </w:p>
    <w:p w14:paraId="2A227B99" w14:textId="1D7EAECB" w:rsidR="00C23243" w:rsidRPr="004E4F3D" w:rsidRDefault="00C23243">
      <w:pPr>
        <w:rPr>
          <w:b/>
          <w:lang w:val="en-US"/>
        </w:rPr>
      </w:pPr>
      <w:r w:rsidRPr="004E4F3D">
        <w:rPr>
          <w:b/>
          <w:lang w:val="en-US"/>
        </w:rPr>
        <w:lastRenderedPageBreak/>
        <w:t xml:space="preserve">Positioning on the More Europe </w:t>
      </w:r>
      <w:r w:rsidR="00BA0421" w:rsidRPr="004E4F3D">
        <w:rPr>
          <w:b/>
          <w:lang w:val="en-US"/>
        </w:rPr>
        <w:t>dimension</w:t>
      </w:r>
    </w:p>
    <w:p w14:paraId="1129FE97" w14:textId="77777777" w:rsidR="009D0EDE" w:rsidRPr="004E4F3D" w:rsidRDefault="009D0EDE" w:rsidP="009D0EDE">
      <w:pPr>
        <w:spacing w:line="480" w:lineRule="auto"/>
        <w:rPr>
          <w:rFonts w:cs="Times New Roman"/>
          <w:lang w:val="en-US"/>
        </w:rPr>
      </w:pPr>
    </w:p>
    <w:p w14:paraId="003D9461" w14:textId="5C158D1B" w:rsidR="00F22CDB" w:rsidRDefault="00703A6D" w:rsidP="00BA0421">
      <w:pPr>
        <w:rPr>
          <w:rFonts w:cs="Times New Roman"/>
          <w:lang w:val="en-US"/>
        </w:rPr>
      </w:pPr>
      <w:r w:rsidRPr="004E4F3D">
        <w:rPr>
          <w:rFonts w:cs="Times New Roman"/>
          <w:lang w:val="en-US"/>
        </w:rPr>
        <w:t>Figure A2</w:t>
      </w:r>
      <w:r w:rsidR="009D0EDE" w:rsidRPr="004E4F3D">
        <w:rPr>
          <w:rFonts w:cs="Times New Roman"/>
          <w:lang w:val="en-US"/>
        </w:rPr>
        <w:t xml:space="preserve">. </w:t>
      </w:r>
      <w:r w:rsidR="007E4D84" w:rsidRPr="004E4F3D">
        <w:rPr>
          <w:rFonts w:cs="Times New Roman"/>
          <w:lang w:val="en-US"/>
        </w:rPr>
        <w:t>How do the ECJ’s decisions relate to</w:t>
      </w:r>
      <w:r w:rsidR="009D0EDE" w:rsidRPr="004E4F3D">
        <w:rPr>
          <w:rFonts w:cs="Times New Roman"/>
          <w:lang w:val="en-US"/>
        </w:rPr>
        <w:t xml:space="preserve"> More E</w:t>
      </w:r>
      <w:r w:rsidR="007E4D84" w:rsidRPr="004E4F3D">
        <w:rPr>
          <w:rFonts w:cs="Times New Roman"/>
          <w:lang w:val="en-US"/>
        </w:rPr>
        <w:t>urope in different policy areas?</w:t>
      </w:r>
    </w:p>
    <w:p w14:paraId="0F3C590F" w14:textId="77777777" w:rsidR="00F22CDB" w:rsidRDefault="00F22CDB" w:rsidP="00BA0421">
      <w:pPr>
        <w:rPr>
          <w:rFonts w:cs="Times New Roman"/>
          <w:lang w:val="en-US"/>
        </w:rPr>
      </w:pPr>
    </w:p>
    <w:p w14:paraId="41D333C7" w14:textId="77777777" w:rsidR="00055DAE" w:rsidRDefault="00055DAE" w:rsidP="00BA0421">
      <w:pPr>
        <w:rPr>
          <w:rFonts w:cs="Times New Roman"/>
          <w:lang w:val="en-US"/>
        </w:rPr>
      </w:pPr>
      <w:r>
        <w:rPr>
          <w:rFonts w:cs="Times New Roman"/>
          <w:noProof/>
          <w:lang w:val="en-US"/>
        </w:rPr>
        <w:drawing>
          <wp:inline distT="0" distB="0" distL="0" distR="0" wp14:anchorId="39CCD90D" wp14:editId="5C734712">
            <wp:extent cx="5029200" cy="3657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7A2D060" w14:textId="77777777" w:rsidR="00055DAE" w:rsidRDefault="00055DAE" w:rsidP="00BA0421">
      <w:pPr>
        <w:rPr>
          <w:rFonts w:cs="Times New Roman"/>
          <w:lang w:val="en-US"/>
        </w:rPr>
      </w:pPr>
    </w:p>
    <w:p w14:paraId="7A12ACAE" w14:textId="5E763381" w:rsidR="009D0EDE" w:rsidRPr="00601476" w:rsidRDefault="009D0EDE" w:rsidP="00BA0421">
      <w:pPr>
        <w:rPr>
          <w:rFonts w:cs="Times New Roman"/>
          <w:lang w:val="en-US"/>
        </w:rPr>
      </w:pPr>
      <w:r w:rsidRPr="004E4F3D">
        <w:rPr>
          <w:rFonts w:cs="Times New Roman"/>
          <w:lang w:val="en-US"/>
        </w:rPr>
        <w:t xml:space="preserve">Note: Only categories that contain more than </w:t>
      </w:r>
      <w:r w:rsidR="007E4D84" w:rsidRPr="004E4F3D">
        <w:rPr>
          <w:rFonts w:cs="Times New Roman"/>
          <w:lang w:val="en-US"/>
        </w:rPr>
        <w:t>100</w:t>
      </w:r>
      <w:r w:rsidRPr="004E4F3D">
        <w:rPr>
          <w:rFonts w:cs="Times New Roman"/>
          <w:lang w:val="en-US"/>
        </w:rPr>
        <w:t xml:space="preserve"> issues (i.e. questions from the national courts) are shown</w:t>
      </w:r>
      <w:r w:rsidRPr="00601476">
        <w:rPr>
          <w:rFonts w:cs="Times New Roman"/>
          <w:lang w:val="en-US"/>
        </w:rPr>
        <w:t>.</w:t>
      </w:r>
      <w:r w:rsidR="003F39A7" w:rsidRPr="00601476">
        <w:rPr>
          <w:rFonts w:cs="Times New Roman"/>
          <w:lang w:val="en-US"/>
        </w:rPr>
        <w:t xml:space="preserve"> The figure is s</w:t>
      </w:r>
      <w:r w:rsidR="006E6BC0" w:rsidRPr="00601476">
        <w:rPr>
          <w:rFonts w:cs="Times New Roman"/>
          <w:lang w:val="en-US"/>
        </w:rPr>
        <w:t xml:space="preserve">orted on </w:t>
      </w:r>
      <w:r w:rsidR="00C7311B" w:rsidRPr="00601476">
        <w:rPr>
          <w:rFonts w:cs="Times New Roman"/>
          <w:lang w:val="en-US"/>
        </w:rPr>
        <w:t xml:space="preserve">the </w:t>
      </w:r>
      <w:r w:rsidR="006E6BC0" w:rsidRPr="00601476">
        <w:rPr>
          <w:rFonts w:cs="Times New Roman"/>
          <w:lang w:val="en-US"/>
        </w:rPr>
        <w:t>net position</w:t>
      </w:r>
      <w:r w:rsidR="00C7311B" w:rsidRPr="00601476">
        <w:rPr>
          <w:rFonts w:cs="Times New Roman"/>
          <w:lang w:val="en-US"/>
        </w:rPr>
        <w:t>ing</w:t>
      </w:r>
      <w:r w:rsidR="006E6BC0" w:rsidRPr="00601476">
        <w:rPr>
          <w:rFonts w:cs="Times New Roman"/>
          <w:lang w:val="en-US"/>
        </w:rPr>
        <w:t xml:space="preserve"> </w:t>
      </w:r>
      <w:r w:rsidR="00C7311B" w:rsidRPr="00601476">
        <w:rPr>
          <w:rFonts w:cs="Times New Roman"/>
          <w:lang w:val="en-US"/>
        </w:rPr>
        <w:t>on</w:t>
      </w:r>
      <w:r w:rsidR="00ED5245" w:rsidRPr="00601476">
        <w:rPr>
          <w:rFonts w:cs="Times New Roman"/>
          <w:lang w:val="en-US"/>
        </w:rPr>
        <w:t xml:space="preserve"> More Europe (</w:t>
      </w:r>
      <w:r w:rsidR="00C7311B" w:rsidRPr="00601476">
        <w:rPr>
          <w:rFonts w:cs="Times New Roman"/>
          <w:lang w:val="en-US"/>
        </w:rPr>
        <w:t xml:space="preserve">i.e. </w:t>
      </w:r>
      <w:r w:rsidR="00693936" w:rsidRPr="00601476">
        <w:rPr>
          <w:rFonts w:cs="Times New Roman"/>
          <w:lang w:val="en-US"/>
        </w:rPr>
        <w:t>(More Europe – Preserved National Sovereignty)/Total number of issues)</w:t>
      </w:r>
      <w:r w:rsidR="0047258D" w:rsidRPr="00601476">
        <w:rPr>
          <w:rFonts w:cs="Times New Roman"/>
          <w:lang w:val="en-US"/>
        </w:rPr>
        <w:t>.</w:t>
      </w:r>
    </w:p>
    <w:p w14:paraId="15CCCDC6" w14:textId="77777777" w:rsidR="003F39A7" w:rsidRPr="004E4F3D" w:rsidRDefault="003F39A7" w:rsidP="00BA0421">
      <w:pPr>
        <w:rPr>
          <w:rFonts w:cs="Times New Roman"/>
          <w:lang w:val="en-US"/>
        </w:rPr>
      </w:pPr>
    </w:p>
    <w:p w14:paraId="6CFEE60A" w14:textId="4D13E0E8" w:rsidR="003F39A7" w:rsidRPr="004E4F3D" w:rsidRDefault="003F39A7" w:rsidP="00BA0421">
      <w:pPr>
        <w:rPr>
          <w:rFonts w:cs="Times New Roman"/>
          <w:lang w:val="en-US"/>
        </w:rPr>
      </w:pPr>
      <w:r w:rsidRPr="004E4F3D">
        <w:rPr>
          <w:rFonts w:cs="Times New Roman"/>
          <w:lang w:val="en-US"/>
        </w:rPr>
        <w:t>Overall, the ECJ has a share of More Europe judgments of 36 per cent</w:t>
      </w:r>
      <w:r w:rsidR="001F0A13" w:rsidRPr="004E4F3D">
        <w:rPr>
          <w:rFonts w:cs="Times New Roman"/>
          <w:lang w:val="en-US"/>
        </w:rPr>
        <w:t xml:space="preserve"> (1391 issues)</w:t>
      </w:r>
      <w:r w:rsidRPr="004E4F3D">
        <w:rPr>
          <w:rFonts w:cs="Times New Roman"/>
          <w:lang w:val="en-US"/>
        </w:rPr>
        <w:t>, while the share of judgments in favor of preserved national sovereignty is 25 per cent</w:t>
      </w:r>
      <w:r w:rsidR="001F0A13" w:rsidRPr="004E4F3D">
        <w:rPr>
          <w:rFonts w:cs="Times New Roman"/>
          <w:lang w:val="en-US"/>
        </w:rPr>
        <w:t xml:space="preserve"> (965 issues)</w:t>
      </w:r>
      <w:r w:rsidRPr="004E4F3D">
        <w:rPr>
          <w:rFonts w:cs="Times New Roman"/>
          <w:lang w:val="en-US"/>
        </w:rPr>
        <w:t xml:space="preserve">. In 39 per cent of the issues </w:t>
      </w:r>
      <w:r w:rsidR="001F0A13" w:rsidRPr="004E4F3D">
        <w:rPr>
          <w:rFonts w:cs="Times New Roman"/>
          <w:lang w:val="en-US"/>
        </w:rPr>
        <w:t xml:space="preserve">(1489) </w:t>
      </w:r>
      <w:r w:rsidRPr="004E4F3D">
        <w:rPr>
          <w:rFonts w:cs="Times New Roman"/>
          <w:lang w:val="en-US"/>
        </w:rPr>
        <w:t xml:space="preserve">there was no clear implication of the judgment on the More Europe dimension. The policy areas where the ECJ has the strongest tendency towards More Europe are </w:t>
      </w:r>
      <w:r w:rsidR="00023381" w:rsidRPr="004E4F3D">
        <w:rPr>
          <w:rFonts w:cs="Times New Roman"/>
          <w:lang w:val="en-US"/>
        </w:rPr>
        <w:t xml:space="preserve">social provisions and </w:t>
      </w:r>
      <w:r w:rsidR="002F363E" w:rsidRPr="004E4F3D">
        <w:rPr>
          <w:rFonts w:cs="Times New Roman"/>
          <w:lang w:val="en-US"/>
        </w:rPr>
        <w:t xml:space="preserve">the </w:t>
      </w:r>
      <w:r w:rsidR="00023381" w:rsidRPr="004E4F3D">
        <w:rPr>
          <w:rFonts w:cs="Times New Roman"/>
          <w:lang w:val="en-US"/>
        </w:rPr>
        <w:t>free movement of workers</w:t>
      </w:r>
      <w:r w:rsidR="007805D7" w:rsidRPr="004E4F3D">
        <w:rPr>
          <w:rFonts w:cs="Times New Roman"/>
          <w:lang w:val="en-US"/>
        </w:rPr>
        <w:t>, while the tendency towards preserved national sovereignty is strongest in issues concerning</w:t>
      </w:r>
      <w:r w:rsidR="00023381" w:rsidRPr="004E4F3D">
        <w:rPr>
          <w:rFonts w:cs="Times New Roman"/>
          <w:lang w:val="en-US"/>
        </w:rPr>
        <w:t xml:space="preserve"> competition and </w:t>
      </w:r>
      <w:r w:rsidR="00946D8B" w:rsidRPr="004E4F3D">
        <w:rPr>
          <w:rFonts w:cs="Times New Roman"/>
          <w:lang w:val="en-US"/>
        </w:rPr>
        <w:t>trade policy (customs union)</w:t>
      </w:r>
      <w:r w:rsidR="007805D7" w:rsidRPr="004E4F3D">
        <w:rPr>
          <w:rFonts w:cs="Times New Roman"/>
          <w:lang w:val="en-US"/>
        </w:rPr>
        <w:t>.</w:t>
      </w:r>
      <w:r w:rsidRPr="004E4F3D">
        <w:rPr>
          <w:rFonts w:cs="Times New Roman"/>
          <w:lang w:val="en-US"/>
        </w:rPr>
        <w:t xml:space="preserve"> </w:t>
      </w:r>
    </w:p>
    <w:p w14:paraId="5E0EE294" w14:textId="77777777" w:rsidR="00BA0421" w:rsidRDefault="00BA0421" w:rsidP="00BA0421">
      <w:pPr>
        <w:rPr>
          <w:lang w:val="en-US"/>
        </w:rPr>
      </w:pPr>
    </w:p>
    <w:p w14:paraId="3862B1FE" w14:textId="5302A486" w:rsidR="004776CC" w:rsidRPr="004E4F3D" w:rsidRDefault="004776CC" w:rsidP="00BA0421">
      <w:pPr>
        <w:rPr>
          <w:lang w:val="en-US"/>
        </w:rPr>
      </w:pPr>
    </w:p>
    <w:p w14:paraId="015AE22B" w14:textId="77777777" w:rsidR="002F1D9A" w:rsidRPr="004E4F3D" w:rsidRDefault="002F1D9A" w:rsidP="00377FDA">
      <w:pPr>
        <w:spacing w:line="480" w:lineRule="auto"/>
        <w:rPr>
          <w:rFonts w:cs="Times New Roman"/>
          <w:i/>
          <w:lang w:val="en-US"/>
        </w:rPr>
      </w:pPr>
    </w:p>
    <w:p w14:paraId="16A3458B" w14:textId="77777777" w:rsidR="002F1D9A" w:rsidRPr="004E4F3D" w:rsidRDefault="002F1D9A" w:rsidP="00377FDA">
      <w:pPr>
        <w:spacing w:line="480" w:lineRule="auto"/>
        <w:rPr>
          <w:rFonts w:cs="Times New Roman"/>
          <w:i/>
          <w:lang w:val="en-US"/>
        </w:rPr>
      </w:pPr>
    </w:p>
    <w:p w14:paraId="485EA59A" w14:textId="7203E680" w:rsidR="003B6855" w:rsidRPr="004E4F3D" w:rsidRDefault="003B6855">
      <w:pPr>
        <w:rPr>
          <w:rFonts w:cs="Times New Roman"/>
          <w:i/>
          <w:lang w:val="en-US"/>
        </w:rPr>
      </w:pPr>
    </w:p>
    <w:p w14:paraId="39A47881" w14:textId="77777777" w:rsidR="003B6855" w:rsidRPr="004E4F3D" w:rsidRDefault="003B6855">
      <w:pPr>
        <w:rPr>
          <w:rFonts w:cs="Times New Roman"/>
          <w:i/>
          <w:lang w:val="en-US"/>
        </w:rPr>
      </w:pPr>
      <w:r w:rsidRPr="004E4F3D">
        <w:rPr>
          <w:rFonts w:cs="Times New Roman"/>
          <w:i/>
          <w:lang w:val="en-US"/>
        </w:rPr>
        <w:br w:type="page"/>
      </w:r>
    </w:p>
    <w:p w14:paraId="58818D47" w14:textId="1ADD16B7" w:rsidR="006E5407" w:rsidRPr="00D047FD" w:rsidRDefault="00703A6D" w:rsidP="003B6855">
      <w:pPr>
        <w:rPr>
          <w:rFonts w:cs="Times New Roman"/>
          <w:lang w:val="en-US"/>
        </w:rPr>
      </w:pPr>
      <w:r w:rsidRPr="004E4F3D">
        <w:rPr>
          <w:rFonts w:cs="Times New Roman"/>
          <w:lang w:val="en-US"/>
        </w:rPr>
        <w:lastRenderedPageBreak/>
        <w:t>Figure A3</w:t>
      </w:r>
      <w:r w:rsidR="00377FDA" w:rsidRPr="004E4F3D">
        <w:rPr>
          <w:rFonts w:cs="Times New Roman"/>
          <w:lang w:val="en-US"/>
        </w:rPr>
        <w:t xml:space="preserve">. </w:t>
      </w:r>
      <w:r w:rsidR="00F662D2" w:rsidRPr="004E4F3D">
        <w:rPr>
          <w:rFonts w:cs="Times New Roman"/>
          <w:lang w:val="en-US"/>
        </w:rPr>
        <w:t>Member states (net) positioning</w:t>
      </w:r>
      <w:r w:rsidR="00377FDA" w:rsidRPr="004E4F3D">
        <w:rPr>
          <w:rFonts w:cs="Times New Roman"/>
          <w:lang w:val="en-US"/>
        </w:rPr>
        <w:t xml:space="preserve"> on More Europe in different policy areas.</w:t>
      </w:r>
    </w:p>
    <w:p w14:paraId="66050E36" w14:textId="77777777" w:rsidR="006E5407" w:rsidRDefault="006E5407" w:rsidP="003B6855">
      <w:pPr>
        <w:rPr>
          <w:rFonts w:cs="Times New Roman"/>
          <w:lang w:val="en-US"/>
        </w:rPr>
      </w:pPr>
    </w:p>
    <w:p w14:paraId="1AF9EC8D" w14:textId="12806B74" w:rsidR="00D047FD" w:rsidRDefault="00D047FD" w:rsidP="003B6855">
      <w:pPr>
        <w:rPr>
          <w:rFonts w:cs="Times New Roman"/>
          <w:lang w:val="en-US"/>
        </w:rPr>
      </w:pPr>
      <w:r>
        <w:rPr>
          <w:rFonts w:cs="Times New Roman"/>
          <w:noProof/>
          <w:lang w:val="en-US"/>
        </w:rPr>
        <w:drawing>
          <wp:inline distT="0" distB="0" distL="0" distR="0" wp14:anchorId="51F7A0A9" wp14:editId="3A776C3E">
            <wp:extent cx="5029200" cy="3657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EBD236D" w14:textId="77777777" w:rsidR="00D047FD" w:rsidRDefault="00D047FD" w:rsidP="003B6855">
      <w:pPr>
        <w:rPr>
          <w:rFonts w:cs="Times New Roman"/>
          <w:lang w:val="en-US"/>
        </w:rPr>
      </w:pPr>
    </w:p>
    <w:p w14:paraId="75AFC247" w14:textId="3A9DBD2A" w:rsidR="003B6855" w:rsidRPr="00601476" w:rsidRDefault="003B6855" w:rsidP="003B6855">
      <w:pPr>
        <w:rPr>
          <w:rFonts w:cs="Times New Roman"/>
          <w:lang w:val="en-US"/>
        </w:rPr>
      </w:pPr>
      <w:r w:rsidRPr="004E4F3D">
        <w:rPr>
          <w:rFonts w:cs="Times New Roman"/>
          <w:lang w:val="en-US"/>
        </w:rPr>
        <w:t xml:space="preserve">Note: Only categories that contain more than </w:t>
      </w:r>
      <w:r w:rsidR="00331D81" w:rsidRPr="004E4F3D">
        <w:rPr>
          <w:rFonts w:cs="Times New Roman"/>
          <w:lang w:val="en-US"/>
        </w:rPr>
        <w:t>100</w:t>
      </w:r>
      <w:r w:rsidRPr="004E4F3D">
        <w:rPr>
          <w:rFonts w:cs="Times New Roman"/>
          <w:lang w:val="en-US"/>
        </w:rPr>
        <w:t xml:space="preserve"> issues (i.e. questions from the national courts) are </w:t>
      </w:r>
      <w:r w:rsidRPr="00601476">
        <w:rPr>
          <w:rFonts w:cs="Times New Roman"/>
          <w:lang w:val="en-US"/>
        </w:rPr>
        <w:t xml:space="preserve">shown. The figure is sorted on </w:t>
      </w:r>
      <w:r w:rsidR="000E5363" w:rsidRPr="00601476">
        <w:rPr>
          <w:rFonts w:cs="Times New Roman"/>
          <w:lang w:val="en-US"/>
        </w:rPr>
        <w:t xml:space="preserve">the member states’ </w:t>
      </w:r>
      <w:r w:rsidRPr="00601476">
        <w:rPr>
          <w:rFonts w:cs="Times New Roman"/>
          <w:lang w:val="en-US"/>
        </w:rPr>
        <w:t>net position in favor of More Europe (</w:t>
      </w:r>
      <w:r w:rsidR="000E5363" w:rsidRPr="00601476">
        <w:rPr>
          <w:rFonts w:cs="Times New Roman"/>
          <w:lang w:val="en-US"/>
        </w:rPr>
        <w:t xml:space="preserve">i.e. </w:t>
      </w:r>
      <w:r w:rsidRPr="00601476">
        <w:rPr>
          <w:rFonts w:cs="Times New Roman"/>
          <w:lang w:val="en-US"/>
        </w:rPr>
        <w:t>(More Europe – Preserved National Sovereignty)/Total number of issues).</w:t>
      </w:r>
    </w:p>
    <w:p w14:paraId="72BD20B1" w14:textId="77777777" w:rsidR="003B6855" w:rsidRPr="00601476" w:rsidRDefault="003B6855" w:rsidP="003B6855">
      <w:pPr>
        <w:rPr>
          <w:rFonts w:cs="Times New Roman"/>
          <w:lang w:val="en-US"/>
        </w:rPr>
      </w:pPr>
    </w:p>
    <w:p w14:paraId="5C9C0CBA" w14:textId="5BBF47DB" w:rsidR="003B6855" w:rsidRPr="004E4F3D" w:rsidRDefault="003B6855" w:rsidP="003B6855">
      <w:pPr>
        <w:rPr>
          <w:rFonts w:cs="Times New Roman"/>
          <w:lang w:val="en-US"/>
        </w:rPr>
      </w:pPr>
      <w:r w:rsidRPr="004E4F3D">
        <w:rPr>
          <w:rFonts w:cs="Times New Roman"/>
          <w:lang w:val="en-US"/>
        </w:rPr>
        <w:t>Overall, the member states have a shar</w:t>
      </w:r>
      <w:r w:rsidR="00541F65" w:rsidRPr="004E4F3D">
        <w:rPr>
          <w:rFonts w:cs="Times New Roman"/>
          <w:lang w:val="en-US"/>
        </w:rPr>
        <w:t>e of More Europe judgments of 17</w:t>
      </w:r>
      <w:r w:rsidRPr="004E4F3D">
        <w:rPr>
          <w:rFonts w:cs="Times New Roman"/>
          <w:lang w:val="en-US"/>
        </w:rPr>
        <w:t xml:space="preserve"> per cent</w:t>
      </w:r>
      <w:r w:rsidR="00541F65" w:rsidRPr="004E4F3D">
        <w:rPr>
          <w:rFonts w:cs="Times New Roman"/>
          <w:lang w:val="en-US"/>
        </w:rPr>
        <w:t xml:space="preserve"> (646 issues)</w:t>
      </w:r>
      <w:r w:rsidRPr="004E4F3D">
        <w:rPr>
          <w:rFonts w:cs="Times New Roman"/>
          <w:lang w:val="en-US"/>
        </w:rPr>
        <w:t>, while the share of judgments in favor of pres</w:t>
      </w:r>
      <w:r w:rsidR="00541F65" w:rsidRPr="004E4F3D">
        <w:rPr>
          <w:rFonts w:cs="Times New Roman"/>
          <w:lang w:val="en-US"/>
        </w:rPr>
        <w:t>erved national sovereignty is 45</w:t>
      </w:r>
      <w:r w:rsidRPr="004E4F3D">
        <w:rPr>
          <w:rFonts w:cs="Times New Roman"/>
          <w:lang w:val="en-US"/>
        </w:rPr>
        <w:t xml:space="preserve"> per cent</w:t>
      </w:r>
      <w:r w:rsidR="00541F65" w:rsidRPr="004E4F3D">
        <w:rPr>
          <w:rFonts w:cs="Times New Roman"/>
          <w:lang w:val="en-US"/>
        </w:rPr>
        <w:t xml:space="preserve"> (1719 issues). In 38</w:t>
      </w:r>
      <w:r w:rsidRPr="004E4F3D">
        <w:rPr>
          <w:rFonts w:cs="Times New Roman"/>
          <w:lang w:val="en-US"/>
        </w:rPr>
        <w:t xml:space="preserve"> per cent of the issues </w:t>
      </w:r>
      <w:r w:rsidR="00541F65" w:rsidRPr="004E4F3D">
        <w:rPr>
          <w:rFonts w:cs="Times New Roman"/>
          <w:lang w:val="en-US"/>
        </w:rPr>
        <w:t xml:space="preserve">(1480) </w:t>
      </w:r>
      <w:r w:rsidRPr="004E4F3D">
        <w:rPr>
          <w:rFonts w:cs="Times New Roman"/>
          <w:lang w:val="en-US"/>
        </w:rPr>
        <w:t xml:space="preserve">there was no </w:t>
      </w:r>
      <w:r w:rsidR="000E5363" w:rsidRPr="004E4F3D">
        <w:rPr>
          <w:rFonts w:cs="Times New Roman"/>
          <w:lang w:val="en-US"/>
        </w:rPr>
        <w:t xml:space="preserve">net member state position </w:t>
      </w:r>
      <w:r w:rsidR="001476B2" w:rsidRPr="004E4F3D">
        <w:rPr>
          <w:rFonts w:cs="Times New Roman"/>
          <w:lang w:val="en-US"/>
        </w:rPr>
        <w:t>in either direction</w:t>
      </w:r>
      <w:r w:rsidRPr="004E4F3D">
        <w:rPr>
          <w:rFonts w:cs="Times New Roman"/>
          <w:lang w:val="en-US"/>
        </w:rPr>
        <w:t xml:space="preserve"> on the More Europe dimension. The policy areas where the </w:t>
      </w:r>
      <w:r w:rsidR="00D8299E" w:rsidRPr="004E4F3D">
        <w:rPr>
          <w:rFonts w:cs="Times New Roman"/>
          <w:lang w:val="en-US"/>
        </w:rPr>
        <w:t>member states have</w:t>
      </w:r>
      <w:r w:rsidRPr="004E4F3D">
        <w:rPr>
          <w:rFonts w:cs="Times New Roman"/>
          <w:lang w:val="en-US"/>
        </w:rPr>
        <w:t xml:space="preserve"> the strongest tendency towards More Europe are </w:t>
      </w:r>
      <w:r w:rsidR="00395C45" w:rsidRPr="004E4F3D">
        <w:rPr>
          <w:rFonts w:cs="Times New Roman"/>
          <w:lang w:val="en-US"/>
        </w:rPr>
        <w:t xml:space="preserve">agriculture, </w:t>
      </w:r>
      <w:r w:rsidR="006E5407">
        <w:rPr>
          <w:rFonts w:cs="Times New Roman"/>
          <w:lang w:val="en-US"/>
        </w:rPr>
        <w:t>consumer protection</w:t>
      </w:r>
      <w:r w:rsidR="00395C45" w:rsidRPr="004E4F3D">
        <w:rPr>
          <w:rFonts w:cs="Times New Roman"/>
          <w:lang w:val="en-US"/>
        </w:rPr>
        <w:t xml:space="preserve"> and trade policy</w:t>
      </w:r>
      <w:r w:rsidR="006E5407">
        <w:rPr>
          <w:rFonts w:cs="Times New Roman"/>
          <w:lang w:val="en-US"/>
        </w:rPr>
        <w:t xml:space="preserve"> (C</w:t>
      </w:r>
      <w:r w:rsidR="00601476">
        <w:rPr>
          <w:rFonts w:cs="Times New Roman"/>
          <w:lang w:val="en-US"/>
        </w:rPr>
        <w:t>ustoms Union)</w:t>
      </w:r>
      <w:r w:rsidRPr="004E4F3D">
        <w:rPr>
          <w:rFonts w:cs="Times New Roman"/>
          <w:lang w:val="en-US"/>
        </w:rPr>
        <w:t xml:space="preserve">, while the tendency towards preserved national sovereignty is strongest in issues concerning </w:t>
      </w:r>
      <w:r w:rsidR="00395C45" w:rsidRPr="004E4F3D">
        <w:rPr>
          <w:rFonts w:cs="Times New Roman"/>
          <w:lang w:val="en-US"/>
        </w:rPr>
        <w:t>the</w:t>
      </w:r>
      <w:r w:rsidRPr="004E4F3D">
        <w:rPr>
          <w:rFonts w:cs="Times New Roman"/>
          <w:lang w:val="en-US"/>
        </w:rPr>
        <w:t xml:space="preserve"> free movement of workers</w:t>
      </w:r>
      <w:r w:rsidR="00395C45" w:rsidRPr="004E4F3D">
        <w:rPr>
          <w:rFonts w:cs="Times New Roman"/>
          <w:lang w:val="en-US"/>
        </w:rPr>
        <w:t xml:space="preserve"> and services</w:t>
      </w:r>
      <w:r w:rsidRPr="004E4F3D">
        <w:rPr>
          <w:rFonts w:cs="Times New Roman"/>
          <w:lang w:val="en-US"/>
        </w:rPr>
        <w:t xml:space="preserve">. </w:t>
      </w:r>
    </w:p>
    <w:p w14:paraId="4230EAFF" w14:textId="77777777" w:rsidR="00377FDA" w:rsidRPr="004E4F3D" w:rsidRDefault="00377FDA" w:rsidP="00377FDA">
      <w:pPr>
        <w:spacing w:line="480" w:lineRule="auto"/>
        <w:rPr>
          <w:rFonts w:cs="Times New Roman"/>
          <w:lang w:val="en-US"/>
        </w:rPr>
      </w:pPr>
    </w:p>
    <w:p w14:paraId="2EEAFBFB" w14:textId="77777777" w:rsidR="00F122BC" w:rsidRPr="004E4F3D" w:rsidRDefault="00F122BC">
      <w:pPr>
        <w:rPr>
          <w:rFonts w:cs="Times New Roman"/>
          <w:i/>
          <w:lang w:val="en-US"/>
        </w:rPr>
      </w:pPr>
      <w:r w:rsidRPr="004E4F3D">
        <w:rPr>
          <w:rFonts w:cs="Times New Roman"/>
          <w:i/>
          <w:lang w:val="en-US"/>
        </w:rPr>
        <w:br w:type="page"/>
      </w:r>
    </w:p>
    <w:p w14:paraId="6D453C71" w14:textId="45EEC718" w:rsidR="007117FA" w:rsidRPr="00F774C3" w:rsidRDefault="00CE1E75" w:rsidP="00F774C3">
      <w:pPr>
        <w:spacing w:line="480" w:lineRule="auto"/>
        <w:rPr>
          <w:rFonts w:cs="Times New Roman"/>
          <w:lang w:val="en-US"/>
        </w:rPr>
      </w:pPr>
      <w:r w:rsidRPr="004E4F3D">
        <w:rPr>
          <w:rFonts w:cs="Times New Roman"/>
          <w:lang w:val="en-US"/>
        </w:rPr>
        <w:lastRenderedPageBreak/>
        <w:t>Figure A4</w:t>
      </w:r>
      <w:r w:rsidR="00377FDA" w:rsidRPr="004E4F3D">
        <w:rPr>
          <w:rFonts w:cs="Times New Roman"/>
          <w:lang w:val="en-US"/>
        </w:rPr>
        <w:t xml:space="preserve">. </w:t>
      </w:r>
      <w:r w:rsidR="00F662D2" w:rsidRPr="004E4F3D">
        <w:rPr>
          <w:rFonts w:cs="Times New Roman"/>
          <w:lang w:val="en-US"/>
        </w:rPr>
        <w:t>Commission positioning</w:t>
      </w:r>
      <w:r w:rsidR="00377FDA" w:rsidRPr="004E4F3D">
        <w:rPr>
          <w:rFonts w:cs="Times New Roman"/>
          <w:lang w:val="en-US"/>
        </w:rPr>
        <w:t xml:space="preserve"> on More Europe in different policy areas.</w:t>
      </w:r>
      <w:r w:rsidR="007117FA" w:rsidRPr="007117FA">
        <w:rPr>
          <w:rFonts w:cs="Times New Roman"/>
          <w:noProof/>
          <w:lang w:val="en-GB" w:eastAsia="en-GB"/>
        </w:rPr>
        <w:t xml:space="preserve"> </w:t>
      </w:r>
    </w:p>
    <w:p w14:paraId="0FC5A4A5" w14:textId="7633828A" w:rsidR="007117FA" w:rsidRDefault="00F774C3" w:rsidP="0041392F">
      <w:pPr>
        <w:rPr>
          <w:rFonts w:cs="Times New Roman"/>
          <w:noProof/>
          <w:lang w:val="en-GB" w:eastAsia="en-GB"/>
        </w:rPr>
      </w:pPr>
      <w:r>
        <w:rPr>
          <w:rFonts w:cs="Times New Roman"/>
          <w:noProof/>
          <w:lang w:val="en-US"/>
        </w:rPr>
        <w:drawing>
          <wp:inline distT="0" distB="0" distL="0" distR="0" wp14:anchorId="5A3244A3" wp14:editId="12738EA1">
            <wp:extent cx="5029200" cy="3657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458C7AC" w14:textId="77777777" w:rsidR="00F774C3" w:rsidRDefault="00F774C3" w:rsidP="0041392F">
      <w:pPr>
        <w:rPr>
          <w:rFonts w:cs="Times New Roman"/>
          <w:lang w:val="en-US"/>
        </w:rPr>
      </w:pPr>
    </w:p>
    <w:p w14:paraId="3EB99C49" w14:textId="142CA514" w:rsidR="0041392F" w:rsidRPr="00601476" w:rsidRDefault="0041392F" w:rsidP="0041392F">
      <w:pPr>
        <w:rPr>
          <w:rFonts w:cs="Times New Roman"/>
          <w:lang w:val="en-US"/>
        </w:rPr>
      </w:pPr>
      <w:r w:rsidRPr="004E4F3D">
        <w:rPr>
          <w:rFonts w:cs="Times New Roman"/>
          <w:lang w:val="en-US"/>
        </w:rPr>
        <w:t>Note: Only cate</w:t>
      </w:r>
      <w:r w:rsidR="00CE1E75" w:rsidRPr="004E4F3D">
        <w:rPr>
          <w:rFonts w:cs="Times New Roman"/>
          <w:lang w:val="en-US"/>
        </w:rPr>
        <w:t>gories that contain more than 100</w:t>
      </w:r>
      <w:r w:rsidRPr="004E4F3D">
        <w:rPr>
          <w:rFonts w:cs="Times New Roman"/>
          <w:lang w:val="en-US"/>
        </w:rPr>
        <w:t xml:space="preserve"> issues (i.e. questions from the national </w:t>
      </w:r>
      <w:r w:rsidRPr="00601476">
        <w:rPr>
          <w:rFonts w:cs="Times New Roman"/>
          <w:lang w:val="en-US"/>
        </w:rPr>
        <w:t>courts) are shown. The figure is sorted on net position in favor of More Europe ((More Europe – Preserved National Sovereignty)/Total number of issues).</w:t>
      </w:r>
    </w:p>
    <w:p w14:paraId="71AD76F5" w14:textId="77777777" w:rsidR="0041392F" w:rsidRPr="004E4F3D" w:rsidRDefault="0041392F" w:rsidP="0041392F">
      <w:pPr>
        <w:rPr>
          <w:rFonts w:cs="Times New Roman"/>
          <w:lang w:val="en-US"/>
        </w:rPr>
      </w:pPr>
    </w:p>
    <w:p w14:paraId="26B97810" w14:textId="071C9BB5" w:rsidR="0041392F" w:rsidRPr="004E4F3D" w:rsidRDefault="0041392F" w:rsidP="0041392F">
      <w:pPr>
        <w:rPr>
          <w:rFonts w:cs="Times New Roman"/>
          <w:lang w:val="en-US"/>
        </w:rPr>
      </w:pPr>
      <w:r w:rsidRPr="004E4F3D">
        <w:rPr>
          <w:rFonts w:cs="Times New Roman"/>
          <w:lang w:val="en-US"/>
        </w:rPr>
        <w:t>Overall, the Commission has a share of More Europe judgments of 38 per cent</w:t>
      </w:r>
      <w:r w:rsidR="002A5EFA" w:rsidRPr="004E4F3D">
        <w:rPr>
          <w:rFonts w:cs="Times New Roman"/>
          <w:lang w:val="en-US"/>
        </w:rPr>
        <w:t xml:space="preserve"> (1456 issues)</w:t>
      </w:r>
      <w:r w:rsidRPr="004E4F3D">
        <w:rPr>
          <w:rFonts w:cs="Times New Roman"/>
          <w:lang w:val="en-US"/>
        </w:rPr>
        <w:t>, while the share of judgments in favor of preserved national sovereignty is 26 per cent</w:t>
      </w:r>
      <w:r w:rsidR="002A5EFA" w:rsidRPr="004E4F3D">
        <w:rPr>
          <w:rFonts w:cs="Times New Roman"/>
          <w:lang w:val="en-US"/>
        </w:rPr>
        <w:t xml:space="preserve"> (985 issues)</w:t>
      </w:r>
      <w:r w:rsidRPr="004E4F3D">
        <w:rPr>
          <w:rFonts w:cs="Times New Roman"/>
          <w:lang w:val="en-US"/>
        </w:rPr>
        <w:t xml:space="preserve">. In 37 per cent of the issues </w:t>
      </w:r>
      <w:r w:rsidR="00455794" w:rsidRPr="004E4F3D">
        <w:rPr>
          <w:rFonts w:cs="Times New Roman"/>
          <w:lang w:val="en-US"/>
        </w:rPr>
        <w:t xml:space="preserve">(1404) </w:t>
      </w:r>
      <w:r w:rsidRPr="004E4F3D">
        <w:rPr>
          <w:rFonts w:cs="Times New Roman"/>
          <w:lang w:val="en-US"/>
        </w:rPr>
        <w:t xml:space="preserve">there was no clear implication of the </w:t>
      </w:r>
      <w:r w:rsidR="00434D7C" w:rsidRPr="004E4F3D">
        <w:rPr>
          <w:rFonts w:cs="Times New Roman"/>
          <w:lang w:val="en-US"/>
        </w:rPr>
        <w:t xml:space="preserve">Commission’s position </w:t>
      </w:r>
      <w:r w:rsidRPr="004E4F3D">
        <w:rPr>
          <w:rFonts w:cs="Times New Roman"/>
          <w:lang w:val="en-US"/>
        </w:rPr>
        <w:t xml:space="preserve">on the More Europe dimension. The policy areas where the Commission has the strongest tendency towards More Europe are </w:t>
      </w:r>
      <w:r w:rsidR="00C7379E" w:rsidRPr="004E4F3D">
        <w:rPr>
          <w:rFonts w:cs="Times New Roman"/>
          <w:lang w:val="en-US"/>
        </w:rPr>
        <w:t xml:space="preserve">social provisions and </w:t>
      </w:r>
      <w:r w:rsidR="00434D7C" w:rsidRPr="004E4F3D">
        <w:rPr>
          <w:rFonts w:cs="Times New Roman"/>
          <w:lang w:val="en-US"/>
        </w:rPr>
        <w:t xml:space="preserve">the </w:t>
      </w:r>
      <w:r w:rsidR="00C7379E" w:rsidRPr="004E4F3D">
        <w:rPr>
          <w:rFonts w:cs="Times New Roman"/>
          <w:lang w:val="en-US"/>
        </w:rPr>
        <w:t>free movement of workers</w:t>
      </w:r>
      <w:r w:rsidR="004A6774" w:rsidRPr="004E4F3D">
        <w:rPr>
          <w:rFonts w:cs="Times New Roman"/>
          <w:lang w:val="en-US"/>
        </w:rPr>
        <w:t xml:space="preserve">, </w:t>
      </w:r>
      <w:r w:rsidRPr="004E4F3D">
        <w:rPr>
          <w:rFonts w:cs="Times New Roman"/>
          <w:lang w:val="en-US"/>
        </w:rPr>
        <w:t>while the tendency towards preserved national sovereignty is strongest in issues concerning</w:t>
      </w:r>
      <w:r w:rsidR="00C7379E" w:rsidRPr="004E4F3D">
        <w:rPr>
          <w:rFonts w:cs="Times New Roman"/>
          <w:lang w:val="en-US"/>
        </w:rPr>
        <w:t xml:space="preserve"> competition and </w:t>
      </w:r>
      <w:r w:rsidR="00434D7C" w:rsidRPr="004E4F3D">
        <w:rPr>
          <w:rFonts w:cs="Times New Roman"/>
          <w:lang w:val="en-US"/>
        </w:rPr>
        <w:t>trade policy</w:t>
      </w:r>
      <w:r w:rsidR="00601476">
        <w:rPr>
          <w:rFonts w:cs="Times New Roman"/>
          <w:lang w:val="en-US"/>
        </w:rPr>
        <w:t xml:space="preserve"> (Customs Union).</w:t>
      </w:r>
    </w:p>
    <w:p w14:paraId="4E2DFFC2" w14:textId="77777777" w:rsidR="00F122BC" w:rsidRPr="004E4F3D" w:rsidRDefault="00F122BC" w:rsidP="00BA0421">
      <w:pPr>
        <w:rPr>
          <w:lang w:val="en-US"/>
        </w:rPr>
      </w:pPr>
    </w:p>
    <w:p w14:paraId="1C1CD571" w14:textId="77777777" w:rsidR="00F122BC" w:rsidRPr="004E4F3D" w:rsidRDefault="00F122BC" w:rsidP="00BA0421">
      <w:pPr>
        <w:rPr>
          <w:lang w:val="en-US"/>
        </w:rPr>
      </w:pPr>
    </w:p>
    <w:p w14:paraId="293CC75C" w14:textId="7167355C" w:rsidR="00BA0421" w:rsidRPr="004E4F3D" w:rsidRDefault="001C67CA" w:rsidP="00BA0421">
      <w:pPr>
        <w:rPr>
          <w:i/>
          <w:lang w:val="en-US"/>
        </w:rPr>
      </w:pPr>
      <w:r w:rsidRPr="004E4F3D">
        <w:rPr>
          <w:i/>
          <w:lang w:val="en-US"/>
        </w:rPr>
        <w:br w:type="page"/>
      </w:r>
    </w:p>
    <w:p w14:paraId="02D6A7B3" w14:textId="77777777" w:rsidR="00BA0421" w:rsidRPr="004E4F3D" w:rsidRDefault="00BA0421">
      <w:pPr>
        <w:rPr>
          <w:lang w:val="en-US"/>
        </w:rPr>
      </w:pPr>
    </w:p>
    <w:p w14:paraId="4FDCA449" w14:textId="77777777" w:rsidR="00C23243" w:rsidRPr="004E4F3D" w:rsidRDefault="00C23243">
      <w:pPr>
        <w:rPr>
          <w:lang w:val="en-US"/>
        </w:rPr>
      </w:pPr>
    </w:p>
    <w:p w14:paraId="763F67B8" w14:textId="1F76F280" w:rsidR="00B35783" w:rsidRPr="004E4F3D" w:rsidRDefault="00B35783">
      <w:pPr>
        <w:rPr>
          <w:b/>
          <w:lang w:val="en-US"/>
        </w:rPr>
      </w:pPr>
    </w:p>
    <w:p w14:paraId="0489B653" w14:textId="56218DF1" w:rsidR="009D0EDE" w:rsidRPr="004E4F3D" w:rsidRDefault="009D0EDE">
      <w:pPr>
        <w:rPr>
          <w:lang w:val="en-US"/>
        </w:rPr>
      </w:pPr>
      <w:r w:rsidRPr="004E4F3D">
        <w:rPr>
          <w:b/>
          <w:lang w:val="en-US"/>
        </w:rPr>
        <w:t>Measures of conflict</w:t>
      </w:r>
      <w:r w:rsidR="000B664D" w:rsidRPr="004E4F3D">
        <w:rPr>
          <w:b/>
          <w:lang w:val="en-US"/>
        </w:rPr>
        <w:t xml:space="preserve"> and agreement</w:t>
      </w:r>
    </w:p>
    <w:p w14:paraId="6A49EAF3" w14:textId="77777777" w:rsidR="009D0EDE" w:rsidRPr="004E4F3D" w:rsidRDefault="009D0EDE">
      <w:pPr>
        <w:rPr>
          <w:lang w:val="en-US"/>
        </w:rPr>
      </w:pPr>
    </w:p>
    <w:p w14:paraId="37A31D5E" w14:textId="34C9F6B4" w:rsidR="009B5BFE" w:rsidRPr="00E00593" w:rsidRDefault="00E751E1" w:rsidP="00273857">
      <w:pPr>
        <w:rPr>
          <w:lang w:val="en-US"/>
        </w:rPr>
      </w:pPr>
      <w:r w:rsidRPr="001E1F83">
        <w:rPr>
          <w:lang w:val="en-US"/>
        </w:rPr>
        <w:t>Figure A5</w:t>
      </w:r>
      <w:r w:rsidR="0047258D" w:rsidRPr="001E1F83">
        <w:rPr>
          <w:lang w:val="en-US"/>
        </w:rPr>
        <w:t xml:space="preserve">. </w:t>
      </w:r>
      <w:r w:rsidR="00273857" w:rsidRPr="001E1F83">
        <w:rPr>
          <w:lang w:val="en-US"/>
        </w:rPr>
        <w:t xml:space="preserve">Number of issues and level of conflict </w:t>
      </w:r>
      <w:r w:rsidR="0047258D" w:rsidRPr="001E1F83">
        <w:rPr>
          <w:lang w:val="en-US"/>
        </w:rPr>
        <w:t xml:space="preserve">between </w:t>
      </w:r>
      <w:r w:rsidR="00B35783" w:rsidRPr="001E1F83">
        <w:rPr>
          <w:lang w:val="en-US"/>
        </w:rPr>
        <w:t xml:space="preserve">the </w:t>
      </w:r>
      <w:r w:rsidR="0047258D" w:rsidRPr="001E1F83">
        <w:rPr>
          <w:lang w:val="en-US"/>
        </w:rPr>
        <w:t xml:space="preserve">Member states and </w:t>
      </w:r>
      <w:r w:rsidR="00B35783" w:rsidRPr="001E1F83">
        <w:rPr>
          <w:lang w:val="en-US"/>
        </w:rPr>
        <w:t xml:space="preserve">the </w:t>
      </w:r>
      <w:r w:rsidR="0047258D" w:rsidRPr="001E1F83">
        <w:rPr>
          <w:lang w:val="en-US"/>
        </w:rPr>
        <w:t xml:space="preserve">ECJ </w:t>
      </w:r>
      <w:r w:rsidR="00273857" w:rsidRPr="001E1F83">
        <w:rPr>
          <w:lang w:val="en-US"/>
        </w:rPr>
        <w:t>over policy areas</w:t>
      </w:r>
    </w:p>
    <w:p w14:paraId="7446C759" w14:textId="77777777" w:rsidR="00741568" w:rsidRDefault="00741568" w:rsidP="00273857">
      <w:pPr>
        <w:rPr>
          <w:rFonts w:cs="Times New Roman"/>
          <w:lang w:val="en-US"/>
        </w:rPr>
      </w:pPr>
    </w:p>
    <w:p w14:paraId="430A1D73" w14:textId="77777777" w:rsidR="00E00593" w:rsidRDefault="00E00593" w:rsidP="00273857">
      <w:pPr>
        <w:rPr>
          <w:rFonts w:cs="Times New Roman"/>
          <w:lang w:val="en-US"/>
        </w:rPr>
      </w:pPr>
      <w:r>
        <w:rPr>
          <w:rFonts w:cs="Times New Roman"/>
          <w:noProof/>
          <w:lang w:val="en-US"/>
        </w:rPr>
        <w:drawing>
          <wp:inline distT="0" distB="0" distL="0" distR="0" wp14:anchorId="53F3FF69" wp14:editId="39A9F89C">
            <wp:extent cx="5029200" cy="3657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8959011" w14:textId="77777777" w:rsidR="00E00593" w:rsidRDefault="00E00593" w:rsidP="00273857">
      <w:pPr>
        <w:rPr>
          <w:rFonts w:cs="Times New Roman"/>
          <w:lang w:val="en-US"/>
        </w:rPr>
      </w:pPr>
    </w:p>
    <w:p w14:paraId="067FE178" w14:textId="7618983F" w:rsidR="0047258D" w:rsidRPr="004E4F3D" w:rsidRDefault="00273857" w:rsidP="00273857">
      <w:pPr>
        <w:rPr>
          <w:rFonts w:cs="Times New Roman"/>
          <w:lang w:val="en-US"/>
        </w:rPr>
      </w:pPr>
      <w:r w:rsidRPr="004E4F3D">
        <w:rPr>
          <w:rFonts w:cs="Times New Roman"/>
          <w:lang w:val="en-US"/>
        </w:rPr>
        <w:t xml:space="preserve">Note: Conflict means that member states (net) took a position either in favor of More Europe or preserved national sovereignty, while the ECJ took the opposite position. Difference means that either the ECJ or the member states took a neutral position, while the other took a position in favor of More Europe or preserved national sovereignty. Only categories that contain more than </w:t>
      </w:r>
      <w:r w:rsidR="009B5BFE">
        <w:rPr>
          <w:rFonts w:cs="Times New Roman"/>
          <w:lang w:val="en-US"/>
        </w:rPr>
        <w:t>100</w:t>
      </w:r>
      <w:r w:rsidRPr="004E4F3D">
        <w:rPr>
          <w:rFonts w:cs="Times New Roman"/>
          <w:lang w:val="en-US"/>
        </w:rPr>
        <w:t xml:space="preserve"> issues are shown. Categories are not mutually exclusive as the cases may concern more than one area.</w:t>
      </w:r>
    </w:p>
    <w:p w14:paraId="67884B21" w14:textId="77777777" w:rsidR="0047258D" w:rsidRPr="004E4F3D" w:rsidRDefault="0047258D" w:rsidP="00273857">
      <w:pPr>
        <w:rPr>
          <w:rFonts w:cs="Times New Roman"/>
          <w:lang w:val="en-US"/>
        </w:rPr>
      </w:pPr>
    </w:p>
    <w:p w14:paraId="46425AD9" w14:textId="46FAAF12" w:rsidR="0044593B" w:rsidRPr="004E4F3D" w:rsidRDefault="0044593B" w:rsidP="0044593B">
      <w:pPr>
        <w:rPr>
          <w:lang w:val="en-US"/>
        </w:rPr>
      </w:pPr>
      <w:r w:rsidRPr="00601476">
        <w:rPr>
          <w:lang w:val="en-US"/>
        </w:rPr>
        <w:t xml:space="preserve">The figure is sorted on net agreement ((Agreement-Conflict)/Total no of issues). </w:t>
      </w:r>
      <w:r w:rsidRPr="004E4F3D">
        <w:rPr>
          <w:lang w:val="en-US"/>
        </w:rPr>
        <w:t xml:space="preserve">The most conflictual areas are free movement of workers and </w:t>
      </w:r>
      <w:r w:rsidR="00741568">
        <w:rPr>
          <w:lang w:val="en-US"/>
        </w:rPr>
        <w:t xml:space="preserve">right of </w:t>
      </w:r>
      <w:r w:rsidR="00C41A7D">
        <w:rPr>
          <w:lang w:val="en-US"/>
        </w:rPr>
        <w:t>establishment</w:t>
      </w:r>
      <w:r w:rsidRPr="004E4F3D">
        <w:rPr>
          <w:lang w:val="en-US"/>
        </w:rPr>
        <w:t xml:space="preserve">, while least conflict is found in </w:t>
      </w:r>
      <w:r w:rsidR="00C41A7D">
        <w:rPr>
          <w:lang w:val="en-US"/>
        </w:rPr>
        <w:t>agriculture</w:t>
      </w:r>
      <w:r w:rsidR="00F57B94">
        <w:rPr>
          <w:lang w:val="en-US"/>
        </w:rPr>
        <w:t xml:space="preserve"> and transport</w:t>
      </w:r>
      <w:r w:rsidRPr="004E4F3D">
        <w:rPr>
          <w:lang w:val="en-US"/>
        </w:rPr>
        <w:t xml:space="preserve">. Overall, the </w:t>
      </w:r>
      <w:r w:rsidR="00565938">
        <w:rPr>
          <w:lang w:val="en-US"/>
        </w:rPr>
        <w:t>ECJ</w:t>
      </w:r>
      <w:r w:rsidRPr="004E4F3D">
        <w:rPr>
          <w:lang w:val="en-US"/>
        </w:rPr>
        <w:t xml:space="preserve"> and the member states agree on </w:t>
      </w:r>
      <w:r w:rsidR="0079192E">
        <w:rPr>
          <w:lang w:val="en-US"/>
        </w:rPr>
        <w:t>57</w:t>
      </w:r>
      <w:r w:rsidRPr="004E4F3D">
        <w:rPr>
          <w:lang w:val="en-US"/>
        </w:rPr>
        <w:t xml:space="preserve"> per cent of the issues, while there is conflict in </w:t>
      </w:r>
      <w:r w:rsidR="0079192E">
        <w:rPr>
          <w:lang w:val="en-US"/>
        </w:rPr>
        <w:t>19</w:t>
      </w:r>
      <w:r w:rsidRPr="004E4F3D">
        <w:rPr>
          <w:lang w:val="en-US"/>
        </w:rPr>
        <w:t xml:space="preserve"> per cent and a difference in </w:t>
      </w:r>
      <w:r w:rsidR="0079192E">
        <w:rPr>
          <w:lang w:val="en-US"/>
        </w:rPr>
        <w:t>24</w:t>
      </w:r>
      <w:r w:rsidRPr="004E4F3D">
        <w:rPr>
          <w:lang w:val="en-US"/>
        </w:rPr>
        <w:t xml:space="preserve"> per cent of the issues.</w:t>
      </w:r>
    </w:p>
    <w:p w14:paraId="665EC2BE" w14:textId="77777777" w:rsidR="00245803" w:rsidRPr="004E4F3D" w:rsidRDefault="00245803">
      <w:pPr>
        <w:rPr>
          <w:i/>
          <w:lang w:val="en-US"/>
        </w:rPr>
      </w:pPr>
      <w:r w:rsidRPr="004E4F3D">
        <w:rPr>
          <w:i/>
          <w:lang w:val="en-US"/>
        </w:rPr>
        <w:br w:type="page"/>
      </w:r>
    </w:p>
    <w:p w14:paraId="5499135E" w14:textId="14FDB997" w:rsidR="00AC34A2" w:rsidRPr="00DE2D5E" w:rsidRDefault="00E751E1" w:rsidP="00FF2511">
      <w:pPr>
        <w:rPr>
          <w:lang w:val="en-US"/>
        </w:rPr>
      </w:pPr>
      <w:r w:rsidRPr="00DE2D5E">
        <w:rPr>
          <w:lang w:val="en-US"/>
        </w:rPr>
        <w:lastRenderedPageBreak/>
        <w:t>Figure A6</w:t>
      </w:r>
      <w:r w:rsidR="0047258D" w:rsidRPr="00DE2D5E">
        <w:rPr>
          <w:lang w:val="en-US"/>
        </w:rPr>
        <w:t xml:space="preserve">. </w:t>
      </w:r>
      <w:r w:rsidR="00245803" w:rsidRPr="00DE2D5E">
        <w:rPr>
          <w:lang w:val="en-US"/>
        </w:rPr>
        <w:t>L</w:t>
      </w:r>
      <w:r w:rsidR="0047258D" w:rsidRPr="00DE2D5E">
        <w:rPr>
          <w:lang w:val="en-US"/>
        </w:rPr>
        <w:t xml:space="preserve">evel of conflict between </w:t>
      </w:r>
      <w:r w:rsidR="00005347" w:rsidRPr="00DE2D5E">
        <w:rPr>
          <w:lang w:val="en-US"/>
        </w:rPr>
        <w:t xml:space="preserve">the </w:t>
      </w:r>
      <w:r w:rsidR="0047258D" w:rsidRPr="00DE2D5E">
        <w:rPr>
          <w:lang w:val="en-US"/>
        </w:rPr>
        <w:t xml:space="preserve">Member states and </w:t>
      </w:r>
      <w:r w:rsidR="00005347" w:rsidRPr="00DE2D5E">
        <w:rPr>
          <w:lang w:val="en-US"/>
        </w:rPr>
        <w:t xml:space="preserve">the </w:t>
      </w:r>
      <w:r w:rsidR="0047258D" w:rsidRPr="00DE2D5E">
        <w:rPr>
          <w:lang w:val="en-US"/>
        </w:rPr>
        <w:t>Commission over policy areas</w:t>
      </w:r>
    </w:p>
    <w:p w14:paraId="0F7E7BA8" w14:textId="77777777" w:rsidR="00AC34A2" w:rsidRDefault="00AC34A2" w:rsidP="00FF2511">
      <w:pPr>
        <w:rPr>
          <w:rFonts w:cs="Times New Roman"/>
          <w:lang w:val="en-US"/>
        </w:rPr>
      </w:pPr>
    </w:p>
    <w:p w14:paraId="0A6034B4" w14:textId="77777777" w:rsidR="00DE2D5E" w:rsidRDefault="00DE2D5E" w:rsidP="00FF2511">
      <w:pPr>
        <w:rPr>
          <w:rFonts w:cs="Times New Roman"/>
          <w:lang w:val="en-US"/>
        </w:rPr>
      </w:pPr>
    </w:p>
    <w:p w14:paraId="64C58249" w14:textId="77777777" w:rsidR="00DE2D5E" w:rsidRDefault="00DE2D5E" w:rsidP="00FF2511">
      <w:pPr>
        <w:rPr>
          <w:rFonts w:cs="Times New Roman"/>
          <w:lang w:val="en-US"/>
        </w:rPr>
      </w:pPr>
      <w:r>
        <w:rPr>
          <w:rFonts w:cs="Times New Roman"/>
          <w:noProof/>
          <w:lang w:val="en-US"/>
        </w:rPr>
        <w:drawing>
          <wp:inline distT="0" distB="0" distL="0" distR="0" wp14:anchorId="27D2EED3" wp14:editId="37D5E5EE">
            <wp:extent cx="5029200" cy="3657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CE13FE3" w14:textId="77777777" w:rsidR="00DE2D5E" w:rsidRDefault="00DE2D5E" w:rsidP="00FF2511">
      <w:pPr>
        <w:rPr>
          <w:rFonts w:cs="Times New Roman"/>
          <w:lang w:val="en-US"/>
        </w:rPr>
      </w:pPr>
    </w:p>
    <w:p w14:paraId="7EE369FA" w14:textId="08241FB6" w:rsidR="00FF2511" w:rsidRPr="004E4F3D" w:rsidRDefault="00FF2511" w:rsidP="00FF2511">
      <w:pPr>
        <w:rPr>
          <w:rFonts w:cs="Times New Roman"/>
          <w:lang w:val="en-US"/>
        </w:rPr>
      </w:pPr>
      <w:r w:rsidRPr="004E4F3D">
        <w:rPr>
          <w:rFonts w:cs="Times New Roman"/>
          <w:lang w:val="en-US"/>
        </w:rPr>
        <w:t xml:space="preserve">Note: Conflict means that member states (net) took a position either in favor of More Europe or preserved national sovereignty, while the Commission took the opposite position. Difference means that either the Commission or the member states took a neutral position, while the other took a position in favor of More Europe or preserved national sovereignty. Only categories that contain more than </w:t>
      </w:r>
      <w:r w:rsidR="00C509FE">
        <w:rPr>
          <w:rFonts w:cs="Times New Roman"/>
          <w:lang w:val="en-US"/>
        </w:rPr>
        <w:t>10</w:t>
      </w:r>
      <w:r w:rsidRPr="004E4F3D">
        <w:rPr>
          <w:rFonts w:cs="Times New Roman"/>
          <w:lang w:val="en-US"/>
        </w:rPr>
        <w:t>0 issues (i.e. questions from the national courts) are shown. Categories are not mutually exclusive as the cases may concern more than one area.</w:t>
      </w:r>
    </w:p>
    <w:p w14:paraId="2D676026" w14:textId="77777777" w:rsidR="0047258D" w:rsidRPr="004E4F3D" w:rsidRDefault="0047258D" w:rsidP="00273857">
      <w:pPr>
        <w:rPr>
          <w:lang w:val="en-US"/>
        </w:rPr>
      </w:pPr>
    </w:p>
    <w:p w14:paraId="2524DCBA" w14:textId="4103A72D" w:rsidR="007E0FD5" w:rsidRPr="004E4F3D" w:rsidRDefault="007E0FD5" w:rsidP="007E0FD5">
      <w:pPr>
        <w:rPr>
          <w:lang w:val="en-US"/>
        </w:rPr>
      </w:pPr>
      <w:r w:rsidRPr="00C41A7D">
        <w:rPr>
          <w:lang w:val="en-US"/>
        </w:rPr>
        <w:t xml:space="preserve">The figure is sorted on net agreement ((Agreement-Conflict)/Total no of issues). </w:t>
      </w:r>
      <w:r w:rsidRPr="004E4F3D">
        <w:rPr>
          <w:lang w:val="en-US"/>
        </w:rPr>
        <w:t>The most conflict</w:t>
      </w:r>
      <w:r w:rsidR="00C509FE">
        <w:rPr>
          <w:lang w:val="en-US"/>
        </w:rPr>
        <w:t>-ridden</w:t>
      </w:r>
      <w:r w:rsidRPr="004E4F3D">
        <w:rPr>
          <w:lang w:val="en-US"/>
        </w:rPr>
        <w:t xml:space="preserve"> areas are free movement of workers and </w:t>
      </w:r>
      <w:r w:rsidR="00AC34A2">
        <w:rPr>
          <w:lang w:val="en-US"/>
        </w:rPr>
        <w:t xml:space="preserve">right of </w:t>
      </w:r>
      <w:r w:rsidR="00C41A7D">
        <w:rPr>
          <w:lang w:val="en-US"/>
        </w:rPr>
        <w:t>establishment</w:t>
      </w:r>
      <w:r w:rsidRPr="004E4F3D">
        <w:rPr>
          <w:lang w:val="en-US"/>
        </w:rPr>
        <w:t>, while leas</w:t>
      </w:r>
      <w:r w:rsidR="00C41A7D">
        <w:rPr>
          <w:lang w:val="en-US"/>
        </w:rPr>
        <w:t xml:space="preserve">t conflict is found in agriculture and </w:t>
      </w:r>
      <w:r w:rsidR="00D421E2">
        <w:rPr>
          <w:lang w:val="en-US"/>
        </w:rPr>
        <w:t>transport policy</w:t>
      </w:r>
      <w:r w:rsidR="00C41A7D">
        <w:rPr>
          <w:lang w:val="en-US"/>
        </w:rPr>
        <w:t>.</w:t>
      </w:r>
      <w:r w:rsidRPr="004E4F3D">
        <w:rPr>
          <w:lang w:val="en-US"/>
        </w:rPr>
        <w:t xml:space="preserve"> </w:t>
      </w:r>
      <w:r w:rsidRPr="007E7E74">
        <w:rPr>
          <w:lang w:val="en-US"/>
        </w:rPr>
        <w:t>Overall, the Commission and the member states</w:t>
      </w:r>
      <w:r w:rsidR="0084279D" w:rsidRPr="007E7E74">
        <w:rPr>
          <w:lang w:val="en-US"/>
        </w:rPr>
        <w:t xml:space="preserve"> agree on </w:t>
      </w:r>
      <w:r w:rsidR="006D2C3E">
        <w:rPr>
          <w:lang w:val="en-US"/>
        </w:rPr>
        <w:t>57</w:t>
      </w:r>
      <w:r w:rsidRPr="007E7E74">
        <w:rPr>
          <w:lang w:val="en-US"/>
        </w:rPr>
        <w:t xml:space="preserve"> per cent of the issues</w:t>
      </w:r>
      <w:r w:rsidRPr="004E4F3D">
        <w:rPr>
          <w:lang w:val="en-US"/>
        </w:rPr>
        <w:t>,</w:t>
      </w:r>
      <w:r w:rsidR="0084279D" w:rsidRPr="004E4F3D">
        <w:rPr>
          <w:lang w:val="en-US"/>
        </w:rPr>
        <w:t xml:space="preserve"> while there is conflict in 2</w:t>
      </w:r>
      <w:r w:rsidR="006D2C3E">
        <w:rPr>
          <w:lang w:val="en-US"/>
        </w:rPr>
        <w:t>1</w:t>
      </w:r>
      <w:r w:rsidR="00C509FE">
        <w:rPr>
          <w:lang w:val="en-US"/>
        </w:rPr>
        <w:t xml:space="preserve"> per cent and a difference in </w:t>
      </w:r>
      <w:r w:rsidR="006D2C3E">
        <w:rPr>
          <w:lang w:val="en-US"/>
        </w:rPr>
        <w:t>22</w:t>
      </w:r>
      <w:r w:rsidRPr="004E4F3D">
        <w:rPr>
          <w:lang w:val="en-US"/>
        </w:rPr>
        <w:t xml:space="preserve"> per cent of the issues.</w:t>
      </w:r>
    </w:p>
    <w:p w14:paraId="75659341" w14:textId="77777777" w:rsidR="00FF2511" w:rsidRPr="004E4F3D" w:rsidRDefault="00FF2511" w:rsidP="00273857">
      <w:pPr>
        <w:rPr>
          <w:lang w:val="en-US"/>
        </w:rPr>
      </w:pPr>
    </w:p>
    <w:p w14:paraId="5996CC54" w14:textId="77777777" w:rsidR="00D1656B" w:rsidRPr="004E4F3D" w:rsidRDefault="00D1656B">
      <w:pPr>
        <w:rPr>
          <w:i/>
          <w:lang w:val="en-US"/>
        </w:rPr>
      </w:pPr>
      <w:r w:rsidRPr="004E4F3D">
        <w:rPr>
          <w:i/>
          <w:lang w:val="en-US"/>
        </w:rPr>
        <w:br w:type="page"/>
      </w:r>
    </w:p>
    <w:p w14:paraId="72541DD2" w14:textId="2F02D4CB" w:rsidR="007E7E74" w:rsidRDefault="00B5381F" w:rsidP="00453456">
      <w:pPr>
        <w:rPr>
          <w:lang w:val="en-US"/>
        </w:rPr>
      </w:pPr>
      <w:r w:rsidRPr="005542C9">
        <w:rPr>
          <w:lang w:val="en-US"/>
        </w:rPr>
        <w:lastRenderedPageBreak/>
        <w:t>Figure A7</w:t>
      </w:r>
      <w:r w:rsidR="0047258D" w:rsidRPr="005542C9">
        <w:rPr>
          <w:lang w:val="en-US"/>
        </w:rPr>
        <w:t xml:space="preserve">. </w:t>
      </w:r>
      <w:r w:rsidR="00A235BF" w:rsidRPr="005542C9">
        <w:rPr>
          <w:lang w:val="en-US"/>
        </w:rPr>
        <w:t>L</w:t>
      </w:r>
      <w:r w:rsidR="0047258D" w:rsidRPr="005542C9">
        <w:rPr>
          <w:lang w:val="en-US"/>
        </w:rPr>
        <w:t xml:space="preserve">evel of conflict between </w:t>
      </w:r>
      <w:r w:rsidR="00A235BF" w:rsidRPr="005542C9">
        <w:rPr>
          <w:lang w:val="en-US"/>
        </w:rPr>
        <w:t xml:space="preserve">the </w:t>
      </w:r>
      <w:r w:rsidR="0047258D" w:rsidRPr="005542C9">
        <w:rPr>
          <w:lang w:val="en-US"/>
        </w:rPr>
        <w:t xml:space="preserve">ECJ and </w:t>
      </w:r>
      <w:r w:rsidR="00A235BF" w:rsidRPr="005542C9">
        <w:rPr>
          <w:lang w:val="en-US"/>
        </w:rPr>
        <w:t xml:space="preserve">the </w:t>
      </w:r>
      <w:r w:rsidR="0047258D" w:rsidRPr="005542C9">
        <w:rPr>
          <w:lang w:val="en-US"/>
        </w:rPr>
        <w:t>Commission over policy areas</w:t>
      </w:r>
    </w:p>
    <w:p w14:paraId="1018C3BD" w14:textId="77777777" w:rsidR="007E7E74" w:rsidRDefault="007E7E74" w:rsidP="00453456">
      <w:pPr>
        <w:rPr>
          <w:lang w:val="en-US"/>
        </w:rPr>
      </w:pPr>
    </w:p>
    <w:p w14:paraId="1AAA37C1" w14:textId="77777777" w:rsidR="005542C9" w:rsidRDefault="005542C9" w:rsidP="00453456">
      <w:pPr>
        <w:rPr>
          <w:lang w:val="en-US"/>
        </w:rPr>
      </w:pPr>
      <w:r>
        <w:rPr>
          <w:noProof/>
          <w:lang w:val="en-US"/>
        </w:rPr>
        <w:drawing>
          <wp:inline distT="0" distB="0" distL="0" distR="0" wp14:anchorId="11CB1F6F" wp14:editId="7219D315">
            <wp:extent cx="5029200" cy="3657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D4F9FAB" w14:textId="77777777" w:rsidR="005542C9" w:rsidRDefault="005542C9" w:rsidP="00453456">
      <w:pPr>
        <w:rPr>
          <w:lang w:val="en-US"/>
        </w:rPr>
      </w:pPr>
    </w:p>
    <w:p w14:paraId="26BCF646" w14:textId="02AD4B47" w:rsidR="00453456" w:rsidRPr="004E4F3D" w:rsidRDefault="00453456" w:rsidP="00453456">
      <w:pPr>
        <w:rPr>
          <w:rFonts w:cs="Times New Roman"/>
          <w:lang w:val="en-US"/>
        </w:rPr>
      </w:pPr>
      <w:r w:rsidRPr="004E4F3D">
        <w:rPr>
          <w:rFonts w:cs="Times New Roman"/>
          <w:lang w:val="en-US"/>
        </w:rPr>
        <w:t xml:space="preserve">Note: Conflict means that </w:t>
      </w:r>
      <w:r w:rsidR="004A67A2" w:rsidRPr="004E4F3D">
        <w:rPr>
          <w:rFonts w:cs="Times New Roman"/>
          <w:lang w:val="en-US"/>
        </w:rPr>
        <w:t>Commission</w:t>
      </w:r>
      <w:r w:rsidRPr="004E4F3D">
        <w:rPr>
          <w:rFonts w:cs="Times New Roman"/>
          <w:lang w:val="en-US"/>
        </w:rPr>
        <w:t xml:space="preserve"> took a position either in favor of More Europe or preserved national sovereignty, while the </w:t>
      </w:r>
      <w:r w:rsidR="004A67A2" w:rsidRPr="004E4F3D">
        <w:rPr>
          <w:rFonts w:cs="Times New Roman"/>
          <w:lang w:val="en-US"/>
        </w:rPr>
        <w:t>ECJ</w:t>
      </w:r>
      <w:r w:rsidRPr="004E4F3D">
        <w:rPr>
          <w:rFonts w:cs="Times New Roman"/>
          <w:lang w:val="en-US"/>
        </w:rPr>
        <w:t xml:space="preserve"> took the opposite position. Difference means that either the Commission or the </w:t>
      </w:r>
      <w:r w:rsidR="004A67A2" w:rsidRPr="004E4F3D">
        <w:rPr>
          <w:rFonts w:cs="Times New Roman"/>
          <w:lang w:val="en-US"/>
        </w:rPr>
        <w:t>ECJ</w:t>
      </w:r>
      <w:r w:rsidRPr="004E4F3D">
        <w:rPr>
          <w:rFonts w:cs="Times New Roman"/>
          <w:lang w:val="en-US"/>
        </w:rPr>
        <w:t xml:space="preserve"> took a neutral position, while the other took a position in favor of More Europe or preserved national sovereignty. Only categories that contain more than </w:t>
      </w:r>
      <w:r w:rsidR="00F12726">
        <w:rPr>
          <w:rFonts w:cs="Times New Roman"/>
          <w:lang w:val="en-US"/>
        </w:rPr>
        <w:t>100</w:t>
      </w:r>
      <w:r w:rsidRPr="004E4F3D">
        <w:rPr>
          <w:rFonts w:cs="Times New Roman"/>
          <w:lang w:val="en-US"/>
        </w:rPr>
        <w:t xml:space="preserve"> issues (i.e. questions from the national courts) are shown. Categories are not mutually exclusive as the cases may concern more than one area.</w:t>
      </w:r>
    </w:p>
    <w:p w14:paraId="3A409E6B" w14:textId="77777777" w:rsidR="00453456" w:rsidRPr="004E4F3D" w:rsidRDefault="00453456" w:rsidP="00453456">
      <w:pPr>
        <w:rPr>
          <w:lang w:val="en-US"/>
        </w:rPr>
      </w:pPr>
    </w:p>
    <w:p w14:paraId="4B5B10B4" w14:textId="6E033246" w:rsidR="0013288A" w:rsidRPr="004E4F3D" w:rsidRDefault="008B5B01">
      <w:pPr>
        <w:rPr>
          <w:lang w:val="en-US"/>
        </w:rPr>
      </w:pPr>
      <w:r w:rsidRPr="00C41A7D">
        <w:rPr>
          <w:lang w:val="en-US"/>
        </w:rPr>
        <w:t xml:space="preserve">The figure is sorted on net agreement ((Agreement-Conflict)/Total no of issues). The most conflictual areas </w:t>
      </w:r>
      <w:r w:rsidRPr="004E4F3D">
        <w:rPr>
          <w:lang w:val="en-US"/>
        </w:rPr>
        <w:t xml:space="preserve">are free movement of workers and </w:t>
      </w:r>
      <w:r w:rsidR="007A2286">
        <w:rPr>
          <w:lang w:val="en-US"/>
        </w:rPr>
        <w:t>social provisions</w:t>
      </w:r>
      <w:r w:rsidRPr="004E4F3D">
        <w:rPr>
          <w:lang w:val="en-US"/>
        </w:rPr>
        <w:t>, wh</w:t>
      </w:r>
      <w:r w:rsidR="007E0FD5" w:rsidRPr="004E4F3D">
        <w:rPr>
          <w:lang w:val="en-US"/>
        </w:rPr>
        <w:t xml:space="preserve">ile least conflict is found in </w:t>
      </w:r>
      <w:r w:rsidR="00C41A7D">
        <w:rPr>
          <w:lang w:val="en-US"/>
        </w:rPr>
        <w:t xml:space="preserve">agriculture and </w:t>
      </w:r>
      <w:r w:rsidR="007A2286">
        <w:rPr>
          <w:lang w:val="en-US"/>
        </w:rPr>
        <w:t>trade</w:t>
      </w:r>
      <w:r w:rsidRPr="004E4F3D">
        <w:rPr>
          <w:lang w:val="en-US"/>
        </w:rPr>
        <w:t xml:space="preserve">. </w:t>
      </w:r>
      <w:r w:rsidR="00453456" w:rsidRPr="004E4F3D">
        <w:rPr>
          <w:lang w:val="en-US"/>
        </w:rPr>
        <w:t xml:space="preserve">Overall, </w:t>
      </w:r>
      <w:r w:rsidR="00453456" w:rsidRPr="009568B6">
        <w:rPr>
          <w:lang w:val="en-US"/>
        </w:rPr>
        <w:t>the C</w:t>
      </w:r>
      <w:r w:rsidR="009568B6">
        <w:rPr>
          <w:lang w:val="en-US"/>
        </w:rPr>
        <w:t>ommission and the ECJ agree on 7</w:t>
      </w:r>
      <w:r w:rsidR="00AF069C" w:rsidRPr="009568B6">
        <w:rPr>
          <w:lang w:val="en-US"/>
        </w:rPr>
        <w:t>5</w:t>
      </w:r>
      <w:r w:rsidR="00453456" w:rsidRPr="009568B6">
        <w:rPr>
          <w:lang w:val="en-US"/>
        </w:rPr>
        <w:t xml:space="preserve"> per cent of the issues</w:t>
      </w:r>
      <w:r w:rsidR="004A67A2" w:rsidRPr="004E4F3D">
        <w:rPr>
          <w:lang w:val="en-US"/>
        </w:rPr>
        <w:t>,</w:t>
      </w:r>
      <w:r w:rsidR="00453456" w:rsidRPr="004E4F3D">
        <w:rPr>
          <w:lang w:val="en-US"/>
        </w:rPr>
        <w:t xml:space="preserve"> while there is conflict in 1</w:t>
      </w:r>
      <w:r w:rsidR="009568B6">
        <w:rPr>
          <w:lang w:val="en-US"/>
        </w:rPr>
        <w:t>1 per cent and a difference in 14</w:t>
      </w:r>
      <w:r w:rsidR="00453456" w:rsidRPr="004E4F3D">
        <w:rPr>
          <w:lang w:val="en-US"/>
        </w:rPr>
        <w:t xml:space="preserve"> per cent of the issues.</w:t>
      </w:r>
    </w:p>
    <w:p w14:paraId="7F9CAE64" w14:textId="77777777" w:rsidR="0013288A" w:rsidRPr="004E4F3D" w:rsidRDefault="0013288A">
      <w:pPr>
        <w:rPr>
          <w:lang w:val="en-US"/>
        </w:rPr>
      </w:pPr>
    </w:p>
    <w:p w14:paraId="3C33D3CB" w14:textId="77777777" w:rsidR="007B5D97" w:rsidRPr="004E4F3D" w:rsidRDefault="007B5D97">
      <w:pPr>
        <w:rPr>
          <w:lang w:val="en-US"/>
        </w:rPr>
      </w:pPr>
    </w:p>
    <w:p w14:paraId="2B50F3B4" w14:textId="77777777" w:rsidR="007B5D97" w:rsidRPr="004E4F3D" w:rsidRDefault="007B5D97">
      <w:pPr>
        <w:rPr>
          <w:lang w:val="en-US"/>
        </w:rPr>
      </w:pPr>
    </w:p>
    <w:p w14:paraId="2DAAFCA4" w14:textId="60EE17AC" w:rsidR="00383E92" w:rsidRPr="004E4F3D" w:rsidRDefault="00383E92">
      <w:pPr>
        <w:rPr>
          <w:lang w:val="en-US"/>
        </w:rPr>
      </w:pPr>
    </w:p>
    <w:p w14:paraId="58BC1734" w14:textId="77777777" w:rsidR="0098458A" w:rsidRPr="004E4F3D" w:rsidRDefault="0098458A">
      <w:pPr>
        <w:rPr>
          <w:b/>
          <w:lang w:val="en-US"/>
        </w:rPr>
      </w:pPr>
      <w:r w:rsidRPr="004E4F3D">
        <w:rPr>
          <w:b/>
          <w:lang w:val="en-US"/>
        </w:rPr>
        <w:br w:type="page"/>
      </w:r>
    </w:p>
    <w:p w14:paraId="2B4A2B36" w14:textId="2CE03713" w:rsidR="003A7745" w:rsidRPr="004E4F3D" w:rsidRDefault="003A7745" w:rsidP="003A7745">
      <w:pPr>
        <w:rPr>
          <w:b/>
          <w:lang w:val="en-US"/>
        </w:rPr>
      </w:pPr>
      <w:r w:rsidRPr="004E4F3D">
        <w:rPr>
          <w:b/>
          <w:lang w:val="en-US"/>
        </w:rPr>
        <w:lastRenderedPageBreak/>
        <w:t>“</w:t>
      </w:r>
      <w:r w:rsidR="007E7E74">
        <w:rPr>
          <w:b/>
          <w:lang w:val="en-US"/>
        </w:rPr>
        <w:t>Internal</w:t>
      </w:r>
      <w:r w:rsidRPr="004E4F3D">
        <w:rPr>
          <w:b/>
          <w:lang w:val="en-US"/>
        </w:rPr>
        <w:t>” and “</w:t>
      </w:r>
      <w:r w:rsidR="007E7E74">
        <w:rPr>
          <w:b/>
          <w:lang w:val="en-US"/>
        </w:rPr>
        <w:t>external</w:t>
      </w:r>
      <w:r w:rsidRPr="004E4F3D">
        <w:rPr>
          <w:b/>
          <w:lang w:val="en-US"/>
        </w:rPr>
        <w:t>” observations</w:t>
      </w:r>
    </w:p>
    <w:p w14:paraId="576879D4" w14:textId="77777777" w:rsidR="003A7745" w:rsidRPr="004E4F3D" w:rsidRDefault="003A7745" w:rsidP="003A7745">
      <w:pPr>
        <w:rPr>
          <w:lang w:val="en-US"/>
        </w:rPr>
      </w:pPr>
    </w:p>
    <w:p w14:paraId="58FF59F0" w14:textId="79DF13ED" w:rsidR="00B3131C" w:rsidRPr="004E4F3D" w:rsidRDefault="00B3131C" w:rsidP="00B3131C">
      <w:pPr>
        <w:rPr>
          <w:lang w:val="en-US"/>
        </w:rPr>
      </w:pPr>
      <w:r w:rsidRPr="004E4F3D">
        <w:rPr>
          <w:lang w:val="en-US"/>
        </w:rPr>
        <w:t>Table A2 shows the number of observations submitted by a) governments in member states from which the cases origin, i.e. those governments whose national courts have asked the ECJ for a preliminary reference, and b) governments in other member states. The former are referred to as “</w:t>
      </w:r>
      <w:r w:rsidR="00AD0DF8">
        <w:rPr>
          <w:lang w:val="en-US"/>
        </w:rPr>
        <w:t>internal</w:t>
      </w:r>
      <w:r w:rsidRPr="004E4F3D">
        <w:rPr>
          <w:lang w:val="en-US"/>
        </w:rPr>
        <w:t>” observations and the latter as “</w:t>
      </w:r>
      <w:r w:rsidR="00AD0DF8">
        <w:rPr>
          <w:lang w:val="en-US"/>
        </w:rPr>
        <w:t>external</w:t>
      </w:r>
      <w:r w:rsidRPr="004E4F3D">
        <w:rPr>
          <w:lang w:val="en-US"/>
        </w:rPr>
        <w:t>” observations.</w:t>
      </w:r>
    </w:p>
    <w:p w14:paraId="572A2C8B" w14:textId="77777777" w:rsidR="00B3131C" w:rsidRPr="004E4F3D" w:rsidRDefault="00B3131C" w:rsidP="003A7745">
      <w:pPr>
        <w:rPr>
          <w:lang w:val="en-US"/>
        </w:rPr>
      </w:pPr>
    </w:p>
    <w:p w14:paraId="07FBC0F8" w14:textId="77777777" w:rsidR="00B3131C" w:rsidRPr="004E4F3D" w:rsidRDefault="00B3131C" w:rsidP="003A7745">
      <w:pPr>
        <w:rPr>
          <w:lang w:val="en-US"/>
        </w:rPr>
      </w:pPr>
    </w:p>
    <w:p w14:paraId="45F5B393" w14:textId="60644CD3" w:rsidR="003A7745" w:rsidRPr="004E4F3D" w:rsidRDefault="003A7745" w:rsidP="003A7745">
      <w:pPr>
        <w:rPr>
          <w:lang w:val="en-US"/>
        </w:rPr>
      </w:pPr>
      <w:r w:rsidRPr="004E4F3D">
        <w:rPr>
          <w:lang w:val="en-US"/>
        </w:rPr>
        <w:t>Table A2. Proportion of observations in ‘</w:t>
      </w:r>
      <w:r w:rsidR="00AD0DF8">
        <w:rPr>
          <w:lang w:val="en-US"/>
        </w:rPr>
        <w:t>internal</w:t>
      </w:r>
      <w:r w:rsidRPr="004E4F3D">
        <w:rPr>
          <w:lang w:val="en-US"/>
        </w:rPr>
        <w:t xml:space="preserve"> and ‘</w:t>
      </w:r>
      <w:r w:rsidR="00AD0DF8">
        <w:rPr>
          <w:lang w:val="en-US"/>
        </w:rPr>
        <w:t>external</w:t>
      </w:r>
      <w:r w:rsidRPr="004E4F3D">
        <w:rPr>
          <w:lang w:val="en-US"/>
        </w:rPr>
        <w:t xml:space="preserve"> cases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1688"/>
        <w:gridCol w:w="1688"/>
        <w:gridCol w:w="1688"/>
        <w:gridCol w:w="1688"/>
      </w:tblGrid>
      <w:tr w:rsidR="00903612" w:rsidRPr="00444588" w14:paraId="55FA657D" w14:textId="77777777" w:rsidTr="00903612">
        <w:tc>
          <w:tcPr>
            <w:tcW w:w="1688" w:type="dxa"/>
            <w:tcBorders>
              <w:top w:val="single" w:sz="4" w:space="0" w:color="auto"/>
            </w:tcBorders>
          </w:tcPr>
          <w:p w14:paraId="5A33B82F" w14:textId="77777777" w:rsidR="00903612" w:rsidRDefault="00903612" w:rsidP="00903612">
            <w:pPr>
              <w:spacing w:line="360" w:lineRule="auto"/>
              <w:rPr>
                <w:lang w:val="en-GB"/>
              </w:rPr>
            </w:pPr>
          </w:p>
          <w:p w14:paraId="0D2DCB74" w14:textId="77777777" w:rsidR="00903612" w:rsidRPr="00444588" w:rsidRDefault="00903612" w:rsidP="00903612">
            <w:pPr>
              <w:spacing w:line="360" w:lineRule="auto"/>
              <w:rPr>
                <w:lang w:val="en-GB"/>
              </w:rPr>
            </w:pPr>
          </w:p>
        </w:tc>
        <w:tc>
          <w:tcPr>
            <w:tcW w:w="1688" w:type="dxa"/>
            <w:tcBorders>
              <w:top w:val="single" w:sz="4" w:space="0" w:color="auto"/>
            </w:tcBorders>
          </w:tcPr>
          <w:p w14:paraId="30E2D597" w14:textId="77777777" w:rsidR="00903612" w:rsidRPr="00444588" w:rsidRDefault="00903612" w:rsidP="00903612">
            <w:pPr>
              <w:spacing w:line="360" w:lineRule="auto"/>
              <w:rPr>
                <w:lang w:val="en-GB"/>
              </w:rPr>
            </w:pPr>
            <w:r>
              <w:rPr>
                <w:lang w:val="en-GB"/>
              </w:rPr>
              <w:t>Preserved National Sovereignty</w:t>
            </w:r>
          </w:p>
        </w:tc>
        <w:tc>
          <w:tcPr>
            <w:tcW w:w="1688" w:type="dxa"/>
            <w:tcBorders>
              <w:top w:val="single" w:sz="4" w:space="0" w:color="auto"/>
            </w:tcBorders>
          </w:tcPr>
          <w:p w14:paraId="0928E165" w14:textId="77777777" w:rsidR="00903612" w:rsidRPr="00444588" w:rsidRDefault="00903612" w:rsidP="00903612">
            <w:pPr>
              <w:spacing w:line="360" w:lineRule="auto"/>
              <w:rPr>
                <w:lang w:val="en-GB"/>
              </w:rPr>
            </w:pPr>
            <w:r>
              <w:rPr>
                <w:lang w:val="en-GB"/>
              </w:rPr>
              <w:t>Neutral</w:t>
            </w:r>
          </w:p>
        </w:tc>
        <w:tc>
          <w:tcPr>
            <w:tcW w:w="1688" w:type="dxa"/>
            <w:tcBorders>
              <w:top w:val="single" w:sz="4" w:space="0" w:color="auto"/>
            </w:tcBorders>
          </w:tcPr>
          <w:p w14:paraId="005B8383" w14:textId="77777777" w:rsidR="00903612" w:rsidRPr="00444588" w:rsidRDefault="00903612" w:rsidP="00903612">
            <w:pPr>
              <w:spacing w:line="360" w:lineRule="auto"/>
              <w:rPr>
                <w:lang w:val="en-GB"/>
              </w:rPr>
            </w:pPr>
            <w:r>
              <w:rPr>
                <w:lang w:val="en-GB"/>
              </w:rPr>
              <w:t>More Europe</w:t>
            </w:r>
          </w:p>
        </w:tc>
        <w:tc>
          <w:tcPr>
            <w:tcW w:w="1688" w:type="dxa"/>
            <w:tcBorders>
              <w:top w:val="single" w:sz="4" w:space="0" w:color="auto"/>
            </w:tcBorders>
          </w:tcPr>
          <w:p w14:paraId="51D0E552" w14:textId="77777777" w:rsidR="00903612" w:rsidRPr="00444588" w:rsidRDefault="00903612" w:rsidP="00903612">
            <w:pPr>
              <w:spacing w:line="360" w:lineRule="auto"/>
              <w:rPr>
                <w:lang w:val="en-GB"/>
              </w:rPr>
            </w:pPr>
            <w:r w:rsidRPr="00444588">
              <w:rPr>
                <w:lang w:val="en-GB"/>
              </w:rPr>
              <w:t xml:space="preserve">Total % (n) </w:t>
            </w:r>
          </w:p>
        </w:tc>
      </w:tr>
      <w:tr w:rsidR="00903612" w:rsidRPr="00444588" w14:paraId="7210090F" w14:textId="77777777" w:rsidTr="00903612">
        <w:tc>
          <w:tcPr>
            <w:tcW w:w="1688" w:type="dxa"/>
          </w:tcPr>
          <w:p w14:paraId="02144774" w14:textId="030436AC" w:rsidR="00903612" w:rsidRPr="00444588" w:rsidRDefault="00AD0DF8" w:rsidP="00903612">
            <w:pPr>
              <w:spacing w:line="360" w:lineRule="auto"/>
              <w:rPr>
                <w:lang w:val="en-GB"/>
              </w:rPr>
            </w:pPr>
            <w:r>
              <w:rPr>
                <w:lang w:val="en-GB"/>
              </w:rPr>
              <w:t>Internal</w:t>
            </w:r>
          </w:p>
        </w:tc>
        <w:tc>
          <w:tcPr>
            <w:tcW w:w="1688" w:type="dxa"/>
          </w:tcPr>
          <w:p w14:paraId="5F05D4DA" w14:textId="77777777" w:rsidR="00903612" w:rsidRPr="00444588" w:rsidRDefault="00903612" w:rsidP="00903612">
            <w:pPr>
              <w:spacing w:line="360" w:lineRule="auto"/>
              <w:rPr>
                <w:lang w:val="en-GB"/>
              </w:rPr>
            </w:pPr>
            <w:r>
              <w:rPr>
                <w:lang w:val="en-GB"/>
              </w:rPr>
              <w:t>60 (1581</w:t>
            </w:r>
            <w:r w:rsidRPr="00444588">
              <w:rPr>
                <w:lang w:val="en-GB"/>
              </w:rPr>
              <w:t>)</w:t>
            </w:r>
          </w:p>
        </w:tc>
        <w:tc>
          <w:tcPr>
            <w:tcW w:w="1688" w:type="dxa"/>
          </w:tcPr>
          <w:p w14:paraId="7DC39360" w14:textId="77777777" w:rsidR="00903612" w:rsidRPr="00444588" w:rsidRDefault="00903612" w:rsidP="00903612">
            <w:pPr>
              <w:spacing w:line="360" w:lineRule="auto"/>
              <w:rPr>
                <w:lang w:val="en-GB"/>
              </w:rPr>
            </w:pPr>
            <w:r>
              <w:rPr>
                <w:lang w:val="en-GB"/>
              </w:rPr>
              <w:t>24 (622</w:t>
            </w:r>
            <w:r w:rsidRPr="00444588">
              <w:rPr>
                <w:lang w:val="en-GB"/>
              </w:rPr>
              <w:t>)</w:t>
            </w:r>
          </w:p>
        </w:tc>
        <w:tc>
          <w:tcPr>
            <w:tcW w:w="1688" w:type="dxa"/>
          </w:tcPr>
          <w:p w14:paraId="52F9B519" w14:textId="77777777" w:rsidR="00903612" w:rsidRPr="00444588" w:rsidRDefault="00903612" w:rsidP="00903612">
            <w:pPr>
              <w:spacing w:line="360" w:lineRule="auto"/>
              <w:rPr>
                <w:lang w:val="en-GB"/>
              </w:rPr>
            </w:pPr>
            <w:r>
              <w:rPr>
                <w:lang w:val="en-GB"/>
              </w:rPr>
              <w:t>16 (418</w:t>
            </w:r>
            <w:r w:rsidRPr="00444588">
              <w:rPr>
                <w:lang w:val="en-GB"/>
              </w:rPr>
              <w:t>)</w:t>
            </w:r>
          </w:p>
        </w:tc>
        <w:tc>
          <w:tcPr>
            <w:tcW w:w="1688" w:type="dxa"/>
          </w:tcPr>
          <w:p w14:paraId="50A55739" w14:textId="77777777" w:rsidR="00903612" w:rsidRPr="00444588" w:rsidRDefault="00903612" w:rsidP="00903612">
            <w:pPr>
              <w:spacing w:line="360" w:lineRule="auto"/>
              <w:rPr>
                <w:lang w:val="en-GB"/>
              </w:rPr>
            </w:pPr>
            <w:r w:rsidRPr="00444588">
              <w:rPr>
                <w:lang w:val="en-GB"/>
              </w:rPr>
              <w:t>100 (26</w:t>
            </w:r>
            <w:r>
              <w:rPr>
                <w:lang w:val="en-GB"/>
              </w:rPr>
              <w:t>21</w:t>
            </w:r>
            <w:r w:rsidRPr="00444588">
              <w:rPr>
                <w:lang w:val="en-GB"/>
              </w:rPr>
              <w:t>)</w:t>
            </w:r>
          </w:p>
        </w:tc>
      </w:tr>
      <w:tr w:rsidR="00903612" w:rsidRPr="00444588" w14:paraId="3BF9381B" w14:textId="77777777" w:rsidTr="00903612">
        <w:tc>
          <w:tcPr>
            <w:tcW w:w="1688" w:type="dxa"/>
          </w:tcPr>
          <w:p w14:paraId="6C387F1B" w14:textId="74480A46" w:rsidR="00903612" w:rsidRPr="00444588" w:rsidRDefault="00AD0DF8" w:rsidP="00903612">
            <w:pPr>
              <w:spacing w:line="360" w:lineRule="auto"/>
              <w:rPr>
                <w:lang w:val="en-GB"/>
              </w:rPr>
            </w:pPr>
            <w:r>
              <w:rPr>
                <w:lang w:val="en-GB"/>
              </w:rPr>
              <w:t>External</w:t>
            </w:r>
          </w:p>
        </w:tc>
        <w:tc>
          <w:tcPr>
            <w:tcW w:w="1688" w:type="dxa"/>
          </w:tcPr>
          <w:p w14:paraId="4E7115FC" w14:textId="77777777" w:rsidR="00903612" w:rsidRPr="00444588" w:rsidRDefault="00903612" w:rsidP="00903612">
            <w:pPr>
              <w:spacing w:line="360" w:lineRule="auto"/>
              <w:rPr>
                <w:lang w:val="en-GB"/>
              </w:rPr>
            </w:pPr>
            <w:r>
              <w:rPr>
                <w:lang w:val="en-GB"/>
              </w:rPr>
              <w:t>50 (2386</w:t>
            </w:r>
            <w:r w:rsidRPr="00444588">
              <w:rPr>
                <w:lang w:val="en-GB"/>
              </w:rPr>
              <w:t>)</w:t>
            </w:r>
          </w:p>
        </w:tc>
        <w:tc>
          <w:tcPr>
            <w:tcW w:w="1688" w:type="dxa"/>
          </w:tcPr>
          <w:p w14:paraId="63654308" w14:textId="77777777" w:rsidR="00903612" w:rsidRPr="00444588" w:rsidRDefault="00903612" w:rsidP="00903612">
            <w:pPr>
              <w:spacing w:line="360" w:lineRule="auto"/>
              <w:rPr>
                <w:lang w:val="en-GB"/>
              </w:rPr>
            </w:pPr>
            <w:r>
              <w:rPr>
                <w:lang w:val="en-GB"/>
              </w:rPr>
              <w:t>25 (1185</w:t>
            </w:r>
            <w:r w:rsidRPr="00444588">
              <w:rPr>
                <w:lang w:val="en-GB"/>
              </w:rPr>
              <w:t>)</w:t>
            </w:r>
          </w:p>
        </w:tc>
        <w:tc>
          <w:tcPr>
            <w:tcW w:w="1688" w:type="dxa"/>
          </w:tcPr>
          <w:p w14:paraId="3EC9659E" w14:textId="77777777" w:rsidR="00903612" w:rsidRPr="00444588" w:rsidRDefault="00903612" w:rsidP="00903612">
            <w:pPr>
              <w:spacing w:line="360" w:lineRule="auto"/>
              <w:rPr>
                <w:lang w:val="en-GB"/>
              </w:rPr>
            </w:pPr>
            <w:r>
              <w:rPr>
                <w:lang w:val="en-GB"/>
              </w:rPr>
              <w:t>26 (1253</w:t>
            </w:r>
            <w:r w:rsidRPr="00444588">
              <w:rPr>
                <w:lang w:val="en-GB"/>
              </w:rPr>
              <w:t>)</w:t>
            </w:r>
          </w:p>
        </w:tc>
        <w:tc>
          <w:tcPr>
            <w:tcW w:w="1688" w:type="dxa"/>
          </w:tcPr>
          <w:p w14:paraId="4F4C44D3" w14:textId="77777777" w:rsidR="00903612" w:rsidRPr="00444588" w:rsidRDefault="00903612" w:rsidP="00903612">
            <w:pPr>
              <w:spacing w:line="360" w:lineRule="auto"/>
              <w:rPr>
                <w:lang w:val="en-GB"/>
              </w:rPr>
            </w:pPr>
            <w:r>
              <w:rPr>
                <w:lang w:val="en-GB"/>
              </w:rPr>
              <w:t>100 (4824</w:t>
            </w:r>
            <w:r w:rsidRPr="00444588">
              <w:rPr>
                <w:lang w:val="en-GB"/>
              </w:rPr>
              <w:t>)</w:t>
            </w:r>
          </w:p>
        </w:tc>
      </w:tr>
      <w:tr w:rsidR="00903612" w:rsidRPr="00444588" w14:paraId="06551892" w14:textId="77777777" w:rsidTr="00903612">
        <w:tc>
          <w:tcPr>
            <w:tcW w:w="1688" w:type="dxa"/>
          </w:tcPr>
          <w:p w14:paraId="62EA3B66" w14:textId="77777777" w:rsidR="00903612" w:rsidRPr="00444588" w:rsidRDefault="00903612" w:rsidP="00903612">
            <w:pPr>
              <w:spacing w:line="360" w:lineRule="auto"/>
              <w:rPr>
                <w:lang w:val="en-GB"/>
              </w:rPr>
            </w:pPr>
            <w:r>
              <w:rPr>
                <w:lang w:val="en-GB"/>
              </w:rPr>
              <w:t>Total</w:t>
            </w:r>
          </w:p>
        </w:tc>
        <w:tc>
          <w:tcPr>
            <w:tcW w:w="1688" w:type="dxa"/>
          </w:tcPr>
          <w:p w14:paraId="4EF59EDB" w14:textId="77777777" w:rsidR="00903612" w:rsidRPr="00444588" w:rsidRDefault="00903612" w:rsidP="00903612">
            <w:pPr>
              <w:spacing w:line="360" w:lineRule="auto"/>
              <w:rPr>
                <w:lang w:val="en-GB"/>
              </w:rPr>
            </w:pPr>
            <w:r>
              <w:rPr>
                <w:lang w:val="en-GB"/>
              </w:rPr>
              <w:t>53 (3967</w:t>
            </w:r>
            <w:r w:rsidRPr="00444588">
              <w:rPr>
                <w:lang w:val="en-GB"/>
              </w:rPr>
              <w:t>)</w:t>
            </w:r>
          </w:p>
        </w:tc>
        <w:tc>
          <w:tcPr>
            <w:tcW w:w="1688" w:type="dxa"/>
          </w:tcPr>
          <w:p w14:paraId="3FDC197D" w14:textId="77777777" w:rsidR="00903612" w:rsidRPr="00444588" w:rsidRDefault="00903612" w:rsidP="00903612">
            <w:pPr>
              <w:spacing w:line="360" w:lineRule="auto"/>
              <w:rPr>
                <w:lang w:val="en-GB"/>
              </w:rPr>
            </w:pPr>
            <w:r>
              <w:rPr>
                <w:lang w:val="en-GB"/>
              </w:rPr>
              <w:t>24 (1807</w:t>
            </w:r>
            <w:r w:rsidRPr="00444588">
              <w:rPr>
                <w:lang w:val="en-GB"/>
              </w:rPr>
              <w:t>)</w:t>
            </w:r>
          </w:p>
        </w:tc>
        <w:tc>
          <w:tcPr>
            <w:tcW w:w="1688" w:type="dxa"/>
          </w:tcPr>
          <w:p w14:paraId="79CAB9C2" w14:textId="77777777" w:rsidR="00903612" w:rsidRPr="00444588" w:rsidRDefault="00903612" w:rsidP="00903612">
            <w:pPr>
              <w:spacing w:line="360" w:lineRule="auto"/>
              <w:rPr>
                <w:lang w:val="en-GB"/>
              </w:rPr>
            </w:pPr>
            <w:r>
              <w:rPr>
                <w:lang w:val="en-GB"/>
              </w:rPr>
              <w:t>22 (1671</w:t>
            </w:r>
            <w:r w:rsidRPr="00444588">
              <w:rPr>
                <w:lang w:val="en-GB"/>
              </w:rPr>
              <w:t>)</w:t>
            </w:r>
          </w:p>
        </w:tc>
        <w:tc>
          <w:tcPr>
            <w:tcW w:w="1688" w:type="dxa"/>
          </w:tcPr>
          <w:p w14:paraId="71453026" w14:textId="77777777" w:rsidR="00903612" w:rsidRPr="00444588" w:rsidRDefault="00903612" w:rsidP="00903612">
            <w:pPr>
              <w:spacing w:line="360" w:lineRule="auto"/>
              <w:rPr>
                <w:lang w:val="en-GB"/>
              </w:rPr>
            </w:pPr>
            <w:r w:rsidRPr="00444588">
              <w:rPr>
                <w:lang w:val="en-GB"/>
              </w:rPr>
              <w:t>100 (</w:t>
            </w:r>
            <w:r>
              <w:rPr>
                <w:lang w:val="en-GB"/>
              </w:rPr>
              <w:t>7445</w:t>
            </w:r>
            <w:r w:rsidRPr="00444588">
              <w:rPr>
                <w:lang w:val="en-GB"/>
              </w:rPr>
              <w:t>)</w:t>
            </w:r>
          </w:p>
        </w:tc>
      </w:tr>
      <w:tr w:rsidR="00903612" w:rsidRPr="00601476" w14:paraId="4BA07C17" w14:textId="77777777" w:rsidTr="00903612">
        <w:tc>
          <w:tcPr>
            <w:tcW w:w="8440" w:type="dxa"/>
            <w:gridSpan w:val="5"/>
            <w:tcBorders>
              <w:top w:val="single" w:sz="4" w:space="0" w:color="auto"/>
            </w:tcBorders>
          </w:tcPr>
          <w:p w14:paraId="099C48C6" w14:textId="2C19ECE5" w:rsidR="00903612" w:rsidRPr="00444588" w:rsidRDefault="00903612" w:rsidP="002B00FC">
            <w:pPr>
              <w:spacing w:line="360" w:lineRule="auto"/>
              <w:rPr>
                <w:lang w:val="en-GB"/>
              </w:rPr>
            </w:pPr>
            <w:r>
              <w:rPr>
                <w:lang w:val="en-GB"/>
              </w:rPr>
              <w:t xml:space="preserve">Note: Per cent, number of observations in parenthesis. </w:t>
            </w:r>
          </w:p>
        </w:tc>
      </w:tr>
    </w:tbl>
    <w:p w14:paraId="608F0B3F" w14:textId="77777777" w:rsidR="008626F7" w:rsidRPr="004E4F3D" w:rsidRDefault="008626F7" w:rsidP="003A7745">
      <w:pPr>
        <w:rPr>
          <w:lang w:val="en-US"/>
        </w:rPr>
      </w:pPr>
    </w:p>
    <w:p w14:paraId="391EFAC6" w14:textId="720840A8" w:rsidR="003A7745" w:rsidRPr="004E4F3D" w:rsidRDefault="003A7745" w:rsidP="003A7745">
      <w:pPr>
        <w:rPr>
          <w:lang w:val="en-US"/>
        </w:rPr>
      </w:pPr>
      <w:r w:rsidRPr="004E4F3D">
        <w:rPr>
          <w:lang w:val="en-US"/>
        </w:rPr>
        <w:t>On av</w:t>
      </w:r>
      <w:r w:rsidR="00903612">
        <w:rPr>
          <w:lang w:val="en-US"/>
        </w:rPr>
        <w:t>erage, over the whole period, 16</w:t>
      </w:r>
      <w:r w:rsidRPr="004E4F3D">
        <w:rPr>
          <w:lang w:val="en-US"/>
        </w:rPr>
        <w:t xml:space="preserve"> per cent of the ‘</w:t>
      </w:r>
      <w:r w:rsidR="00AD0DF8">
        <w:rPr>
          <w:lang w:val="en-US"/>
        </w:rPr>
        <w:t>internal</w:t>
      </w:r>
      <w:r w:rsidRPr="004E4F3D">
        <w:rPr>
          <w:lang w:val="en-US"/>
        </w:rPr>
        <w:t xml:space="preserve"> observations argue i</w:t>
      </w:r>
      <w:r w:rsidR="00903612">
        <w:rPr>
          <w:lang w:val="en-US"/>
        </w:rPr>
        <w:t>n favor of More Europe, while 60</w:t>
      </w:r>
      <w:r w:rsidRPr="004E4F3D">
        <w:rPr>
          <w:lang w:val="en-US"/>
        </w:rPr>
        <w:t xml:space="preserve"> </w:t>
      </w:r>
      <w:r w:rsidR="00AD0DF8">
        <w:rPr>
          <w:lang w:val="en-US"/>
        </w:rPr>
        <w:t>per cent have a preference for Preserved National S</w:t>
      </w:r>
      <w:r w:rsidRPr="004E4F3D">
        <w:rPr>
          <w:lang w:val="en-US"/>
        </w:rPr>
        <w:t>overeignty. Member states who file briefs in cases that origin in another member state have a higher tendency of advocating More Europe (</w:t>
      </w:r>
      <w:r w:rsidR="00A72AE2">
        <w:rPr>
          <w:lang w:val="en-US"/>
        </w:rPr>
        <w:t>26</w:t>
      </w:r>
      <w:r w:rsidRPr="004E4F3D">
        <w:rPr>
          <w:lang w:val="en-US"/>
        </w:rPr>
        <w:t xml:space="preserve"> per cent), but a</w:t>
      </w:r>
      <w:r w:rsidR="00A72AE2">
        <w:rPr>
          <w:lang w:val="en-US"/>
        </w:rPr>
        <w:t>lso most of these (5</w:t>
      </w:r>
      <w:r w:rsidR="00AD0DF8">
        <w:rPr>
          <w:lang w:val="en-US"/>
        </w:rPr>
        <w:t>0 per cent) favor Preserved National S</w:t>
      </w:r>
      <w:r w:rsidRPr="004E4F3D">
        <w:rPr>
          <w:lang w:val="en-US"/>
        </w:rPr>
        <w:t>overeignty.</w:t>
      </w:r>
    </w:p>
    <w:p w14:paraId="748762C8" w14:textId="77777777" w:rsidR="003A7745" w:rsidRPr="004E4F3D" w:rsidRDefault="003A7745" w:rsidP="003A7745">
      <w:pPr>
        <w:rPr>
          <w:lang w:val="en-US"/>
        </w:rPr>
      </w:pPr>
    </w:p>
    <w:p w14:paraId="46E54EAA" w14:textId="77777777" w:rsidR="003A7745" w:rsidRPr="004E4F3D" w:rsidRDefault="003A7745" w:rsidP="003A7745">
      <w:pPr>
        <w:rPr>
          <w:lang w:val="en-US"/>
        </w:rPr>
      </w:pPr>
    </w:p>
    <w:p w14:paraId="66079DD5" w14:textId="604D8397" w:rsidR="003A7745" w:rsidRPr="004E4F3D" w:rsidRDefault="003A7745" w:rsidP="003A7745">
      <w:pPr>
        <w:rPr>
          <w:lang w:val="en-US"/>
        </w:rPr>
      </w:pPr>
    </w:p>
    <w:p w14:paraId="4020E3C1" w14:textId="77777777" w:rsidR="003A7745" w:rsidRPr="004E4F3D" w:rsidRDefault="003A7745">
      <w:pPr>
        <w:rPr>
          <w:b/>
          <w:lang w:val="en-US"/>
        </w:rPr>
      </w:pPr>
    </w:p>
    <w:p w14:paraId="48CE3EC0" w14:textId="77777777" w:rsidR="003A7745" w:rsidRPr="004E4F3D" w:rsidRDefault="003A7745">
      <w:pPr>
        <w:rPr>
          <w:b/>
          <w:lang w:val="en-US"/>
        </w:rPr>
      </w:pPr>
    </w:p>
    <w:p w14:paraId="29B9DA20" w14:textId="77777777" w:rsidR="006B0A2E" w:rsidRPr="004E4F3D" w:rsidRDefault="006B0A2E">
      <w:pPr>
        <w:rPr>
          <w:b/>
          <w:lang w:val="en-US"/>
        </w:rPr>
      </w:pPr>
      <w:r w:rsidRPr="004E4F3D">
        <w:rPr>
          <w:b/>
          <w:lang w:val="en-US"/>
        </w:rPr>
        <w:br w:type="page"/>
      </w:r>
    </w:p>
    <w:p w14:paraId="6CED9E95" w14:textId="3B930012" w:rsidR="009535F2" w:rsidRPr="004E4F3D" w:rsidRDefault="00A35B91">
      <w:pPr>
        <w:rPr>
          <w:b/>
          <w:lang w:val="en-US"/>
        </w:rPr>
      </w:pPr>
      <w:r w:rsidRPr="004E4F3D">
        <w:rPr>
          <w:b/>
          <w:lang w:val="en-US"/>
        </w:rPr>
        <w:lastRenderedPageBreak/>
        <w:t>Robustness test</w:t>
      </w:r>
      <w:r w:rsidR="00B43B8D" w:rsidRPr="004E4F3D">
        <w:rPr>
          <w:b/>
          <w:lang w:val="en-US"/>
        </w:rPr>
        <w:t>s</w:t>
      </w:r>
      <w:r w:rsidRPr="004E4F3D">
        <w:rPr>
          <w:b/>
          <w:lang w:val="en-US"/>
        </w:rPr>
        <w:t xml:space="preserve"> </w:t>
      </w:r>
      <w:r w:rsidR="00575794">
        <w:rPr>
          <w:b/>
          <w:lang w:val="en-US"/>
        </w:rPr>
        <w:t xml:space="preserve">and illustrations </w:t>
      </w:r>
      <w:r w:rsidRPr="004E4F3D">
        <w:rPr>
          <w:b/>
          <w:lang w:val="en-US"/>
        </w:rPr>
        <w:t>of regression models</w:t>
      </w:r>
    </w:p>
    <w:p w14:paraId="72E99889" w14:textId="77777777" w:rsidR="009535F2" w:rsidRDefault="009535F2">
      <w:pPr>
        <w:rPr>
          <w:lang w:val="en-US"/>
        </w:rPr>
      </w:pPr>
    </w:p>
    <w:p w14:paraId="08B5A54C" w14:textId="4DF15A70" w:rsidR="00575794" w:rsidRDefault="00575794" w:rsidP="00575794">
      <w:pPr>
        <w:rPr>
          <w:rFonts w:cs="Times New Roman"/>
          <w:color w:val="000000" w:themeColor="text1"/>
          <w:lang w:val="en-US"/>
        </w:rPr>
      </w:pPr>
      <w:r w:rsidRPr="00575794">
        <w:rPr>
          <w:rFonts w:cs="Times New Roman"/>
          <w:color w:val="000000" w:themeColor="text1"/>
          <w:lang w:val="en-US"/>
        </w:rPr>
        <w:t>Figure A8 illustrates the difference in the impact of member states’ observations depending on the whether the EP has a veto in regards to the legal acts underlying the issue in the Court or not.</w:t>
      </w:r>
      <w:r w:rsidRPr="00575794">
        <w:rPr>
          <w:rFonts w:cs="Times New Roman"/>
          <w:color w:val="000000" w:themeColor="text1"/>
          <w:lang w:val="en-US"/>
        </w:rPr>
        <w:t xml:space="preserve"> </w:t>
      </w:r>
      <w:r>
        <w:rPr>
          <w:rFonts w:cs="Times New Roman"/>
          <w:color w:val="000000" w:themeColor="text1"/>
          <w:lang w:val="en-US"/>
        </w:rPr>
        <w:t>The figure shows that the interaction effect is never statistically significant in the whole interval.</w:t>
      </w:r>
    </w:p>
    <w:p w14:paraId="76D1D075" w14:textId="77777777" w:rsidR="00DF6566" w:rsidRDefault="00DF6566" w:rsidP="00575794">
      <w:pPr>
        <w:rPr>
          <w:rFonts w:cs="Times New Roman"/>
          <w:color w:val="000000" w:themeColor="text1"/>
          <w:lang w:val="en-US"/>
        </w:rPr>
      </w:pPr>
    </w:p>
    <w:p w14:paraId="6A371E2C" w14:textId="5273C601" w:rsidR="00DF6566" w:rsidRPr="00DF6566" w:rsidRDefault="00DF6566" w:rsidP="00575794">
      <w:pPr>
        <w:rPr>
          <w:rFonts w:cs="Times New Roman"/>
          <w:i/>
          <w:color w:val="000000" w:themeColor="text1"/>
          <w:lang w:val="en-US"/>
        </w:rPr>
      </w:pPr>
      <w:r w:rsidRPr="004E4F3D">
        <w:rPr>
          <w:rFonts w:cs="Times New Roman"/>
          <w:color w:val="000000" w:themeColor="text1"/>
          <w:lang w:val="en-US"/>
        </w:rPr>
        <w:t>We have run models 4 and 5 in Table 2 of the article</w:t>
      </w:r>
      <w:r w:rsidRPr="004E4F3D">
        <w:rPr>
          <w:lang w:val="en-US"/>
        </w:rPr>
        <w:t xml:space="preserve"> </w:t>
      </w:r>
      <w:r w:rsidRPr="004E4F3D">
        <w:rPr>
          <w:rFonts w:cs="Times New Roman"/>
          <w:color w:val="000000" w:themeColor="text1"/>
          <w:lang w:val="en-US"/>
        </w:rPr>
        <w:t>including controls for the Commission’s position, with substantively similar results as those presented in the article. The EP interaction is still insignificant, while the interactive effect of the voting rule is somewhat more uncertain, when the Commission is controlled for. The models are shown in Table A3.</w:t>
      </w:r>
      <w:r>
        <w:rPr>
          <w:rFonts w:cs="Times New Roman"/>
          <w:color w:val="000000" w:themeColor="text1"/>
          <w:lang w:val="en-US"/>
        </w:rPr>
        <w:t xml:space="preserve"> Figure A9</w:t>
      </w:r>
      <w:r w:rsidRPr="004E4F3D">
        <w:rPr>
          <w:rFonts w:cs="Times New Roman"/>
          <w:color w:val="000000" w:themeColor="text1"/>
          <w:lang w:val="en-US"/>
        </w:rPr>
        <w:t xml:space="preserve"> demonstrates that the interaction effect of voting rule is significant in roughly the same interval as in model 4 (see Figure 7 of the original article), but only when using 90 per cent confidence intervals.</w:t>
      </w:r>
    </w:p>
    <w:p w14:paraId="496FB4BE" w14:textId="77777777" w:rsidR="00575794" w:rsidRDefault="00575794">
      <w:pPr>
        <w:rPr>
          <w:lang w:val="en-US"/>
        </w:rPr>
      </w:pPr>
    </w:p>
    <w:p w14:paraId="5D75BBE2" w14:textId="77777777" w:rsidR="00575794" w:rsidRPr="004E4F3D" w:rsidRDefault="00575794">
      <w:pPr>
        <w:rPr>
          <w:lang w:val="en-US"/>
        </w:rPr>
      </w:pPr>
    </w:p>
    <w:p w14:paraId="1BAD0308" w14:textId="34933887" w:rsidR="00D65E90" w:rsidRPr="004E4F3D" w:rsidRDefault="00D65E90" w:rsidP="00D65E90">
      <w:pPr>
        <w:rPr>
          <w:rFonts w:cs="Times New Roman"/>
          <w:color w:val="000000" w:themeColor="text1"/>
          <w:lang w:val="en-US"/>
        </w:rPr>
      </w:pPr>
      <w:r w:rsidRPr="00AD3E0C">
        <w:rPr>
          <w:rFonts w:cs="Times New Roman"/>
          <w:color w:val="000000" w:themeColor="text1"/>
          <w:lang w:val="en-US"/>
        </w:rPr>
        <w:t xml:space="preserve">Figure A8. </w:t>
      </w:r>
      <w:r w:rsidR="00AD3E0C">
        <w:rPr>
          <w:rFonts w:cs="Times New Roman"/>
          <w:color w:val="000000" w:themeColor="text1"/>
          <w:lang w:val="en-US"/>
        </w:rPr>
        <w:t>EP interaction in M</w:t>
      </w:r>
      <w:r w:rsidRPr="00AD3E0C">
        <w:rPr>
          <w:rFonts w:cs="Times New Roman"/>
          <w:color w:val="000000" w:themeColor="text1"/>
          <w:lang w:val="en-US"/>
        </w:rPr>
        <w:t xml:space="preserve">odel 5 </w:t>
      </w:r>
      <w:r w:rsidR="00AD3E0C">
        <w:rPr>
          <w:rFonts w:cs="Times New Roman"/>
          <w:color w:val="000000" w:themeColor="text1"/>
          <w:lang w:val="en-US"/>
        </w:rPr>
        <w:t>in Table 2 illustrated</w:t>
      </w:r>
    </w:p>
    <w:p w14:paraId="52136493" w14:textId="4435FE8A" w:rsidR="00D65E90" w:rsidRPr="00D65E90" w:rsidRDefault="00D65E90">
      <w:pPr>
        <w:rPr>
          <w:lang w:val="en-US"/>
        </w:rPr>
      </w:pPr>
    </w:p>
    <w:p w14:paraId="00D3CD1B" w14:textId="473467B8" w:rsidR="00D65E90" w:rsidRDefault="00AD3E0C">
      <w:pPr>
        <w:rPr>
          <w:i/>
          <w:lang w:val="en-US"/>
        </w:rPr>
      </w:pPr>
      <w:r>
        <w:rPr>
          <w:i/>
          <w:noProof/>
          <w:lang w:val="en-US"/>
        </w:rPr>
        <w:drawing>
          <wp:inline distT="0" distB="0" distL="0" distR="0" wp14:anchorId="3E3F2DE5" wp14:editId="2FE38A10">
            <wp:extent cx="5029200" cy="3657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07BEADD" w14:textId="77777777" w:rsidR="00AD3E0C" w:rsidRPr="004E4F3D" w:rsidRDefault="00AD3E0C">
      <w:pPr>
        <w:rPr>
          <w:i/>
          <w:lang w:val="en-US"/>
        </w:rPr>
      </w:pPr>
    </w:p>
    <w:p w14:paraId="048946FE" w14:textId="3A5BB422" w:rsidR="00C7645D" w:rsidRPr="00F676BA" w:rsidRDefault="00C7645D" w:rsidP="00C7645D">
      <w:r w:rsidRPr="00063D00">
        <w:t>Note</w:t>
      </w:r>
      <w:r w:rsidR="00712F9B">
        <w:t>: Calculated from model 5</w:t>
      </w:r>
      <w:r w:rsidRPr="00F676BA">
        <w:t xml:space="preserve"> in Table 2. The solid line describes the difference in the </w:t>
      </w:r>
      <w:r>
        <w:t>probability of the ECJ of deciding in favor of Preserved Nation</w:t>
      </w:r>
      <w:r>
        <w:t xml:space="preserve">al Sovereignty depending on whether the European Parliament has veto rule or not </w:t>
      </w:r>
      <w:r>
        <w:t>(Y-axis),</w:t>
      </w:r>
      <w:r w:rsidRPr="00F676BA">
        <w:t xml:space="preserve"> at different levels of member states’ positioning (</w:t>
      </w:r>
      <w:r>
        <w:rPr>
          <w:i/>
        </w:rPr>
        <w:t xml:space="preserve">MSNet, </w:t>
      </w:r>
      <w:r w:rsidRPr="00F676BA">
        <w:t xml:space="preserve">X-axis). Dashed lines are 95% confidence intervals. </w:t>
      </w:r>
    </w:p>
    <w:p w14:paraId="4CE4E746" w14:textId="77777777" w:rsidR="00C7645D" w:rsidRPr="004E4F3D" w:rsidRDefault="00C7645D" w:rsidP="00D65E90">
      <w:pPr>
        <w:rPr>
          <w:lang w:val="en-US"/>
        </w:rPr>
      </w:pPr>
    </w:p>
    <w:p w14:paraId="0270E818" w14:textId="77777777" w:rsidR="0076371E" w:rsidRDefault="0076371E">
      <w:pPr>
        <w:rPr>
          <w:lang w:val="en-US"/>
        </w:rPr>
      </w:pPr>
    </w:p>
    <w:p w14:paraId="16369DC5" w14:textId="77777777" w:rsidR="00D65E90" w:rsidRDefault="00D65E90">
      <w:pPr>
        <w:rPr>
          <w:lang w:val="en-US"/>
        </w:rPr>
      </w:pPr>
    </w:p>
    <w:p w14:paraId="7A3B4D32" w14:textId="77777777" w:rsidR="00DF6566" w:rsidRDefault="00DF6566">
      <w:pPr>
        <w:rPr>
          <w:lang w:val="en-US"/>
        </w:rPr>
      </w:pPr>
      <w:r>
        <w:rPr>
          <w:lang w:val="en-US"/>
        </w:rPr>
        <w:br w:type="page"/>
      </w:r>
    </w:p>
    <w:p w14:paraId="4C1DEDAF" w14:textId="0DB1D4BF" w:rsidR="009979C0" w:rsidRPr="004E4F3D" w:rsidRDefault="006A79EE" w:rsidP="009979C0">
      <w:pPr>
        <w:rPr>
          <w:rFonts w:cs="Times New Roman"/>
          <w:color w:val="000000" w:themeColor="text1"/>
          <w:lang w:val="en-US"/>
        </w:rPr>
      </w:pPr>
      <w:r w:rsidRPr="00096B36">
        <w:rPr>
          <w:rFonts w:cs="Times New Roman"/>
          <w:color w:val="000000" w:themeColor="text1"/>
          <w:lang w:val="en-US"/>
        </w:rPr>
        <w:lastRenderedPageBreak/>
        <w:t>Figure</w:t>
      </w:r>
      <w:r w:rsidR="00D65E90" w:rsidRPr="00096B36">
        <w:rPr>
          <w:rFonts w:cs="Times New Roman"/>
          <w:color w:val="000000" w:themeColor="text1"/>
          <w:lang w:val="en-US"/>
        </w:rPr>
        <w:t xml:space="preserve"> A9</w:t>
      </w:r>
      <w:r w:rsidR="009979C0" w:rsidRPr="00096B36">
        <w:rPr>
          <w:rFonts w:cs="Times New Roman"/>
          <w:color w:val="000000" w:themeColor="text1"/>
          <w:lang w:val="en-US"/>
        </w:rPr>
        <w:t xml:space="preserve">. Model 4 with </w:t>
      </w:r>
      <w:r w:rsidR="00BE7402" w:rsidRPr="00096B36">
        <w:rPr>
          <w:rFonts w:cs="Times New Roman"/>
          <w:color w:val="000000" w:themeColor="text1"/>
          <w:lang w:val="en-US"/>
        </w:rPr>
        <w:t xml:space="preserve">the </w:t>
      </w:r>
      <w:r w:rsidR="009979C0" w:rsidRPr="00096B36">
        <w:rPr>
          <w:rFonts w:cs="Times New Roman"/>
          <w:color w:val="000000" w:themeColor="text1"/>
          <w:lang w:val="en-US"/>
        </w:rPr>
        <w:t>Commission</w:t>
      </w:r>
      <w:r w:rsidR="00BE7402" w:rsidRPr="00096B36">
        <w:rPr>
          <w:rFonts w:cs="Times New Roman"/>
          <w:color w:val="000000" w:themeColor="text1"/>
          <w:lang w:val="en-US"/>
        </w:rPr>
        <w:t xml:space="preserve"> included</w:t>
      </w:r>
    </w:p>
    <w:p w14:paraId="222BDAD5" w14:textId="77777777" w:rsidR="00F5565B" w:rsidRPr="004E4F3D" w:rsidRDefault="00F5565B">
      <w:pPr>
        <w:rPr>
          <w:lang w:val="en-US"/>
        </w:rPr>
      </w:pPr>
    </w:p>
    <w:p w14:paraId="33342D77" w14:textId="4D113857" w:rsidR="009979C0" w:rsidRPr="004E4F3D" w:rsidRDefault="00E0227C">
      <w:pPr>
        <w:rPr>
          <w:lang w:val="en-US"/>
        </w:rPr>
      </w:pPr>
      <w:r>
        <w:rPr>
          <w:noProof/>
          <w:lang w:val="en-US"/>
        </w:rPr>
        <w:drawing>
          <wp:inline distT="0" distB="0" distL="0" distR="0" wp14:anchorId="02BFC50D" wp14:editId="37293508">
            <wp:extent cx="5029200" cy="3657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776E3E4" w14:textId="77777777" w:rsidR="00F5565B" w:rsidRPr="004E4F3D" w:rsidRDefault="00F5565B">
      <w:pPr>
        <w:rPr>
          <w:lang w:val="en-US"/>
        </w:rPr>
      </w:pPr>
    </w:p>
    <w:p w14:paraId="526CEA0D" w14:textId="522EAACC" w:rsidR="0072095B" w:rsidRPr="00F676BA" w:rsidRDefault="0072095B" w:rsidP="0072095B">
      <w:r w:rsidRPr="00F676BA">
        <w:rPr>
          <w:i/>
        </w:rPr>
        <w:t>Note</w:t>
      </w:r>
      <w:r>
        <w:t>: Calculated from model 1 in Table A3</w:t>
      </w:r>
      <w:r w:rsidRPr="00F676BA">
        <w:t xml:space="preserve">. The solid line describes the difference in the </w:t>
      </w:r>
      <w:r>
        <w:t>probability of the ECJ of deciding in favor of Preserved National Sovereignty depending on the voting rule (Y-axis),</w:t>
      </w:r>
      <w:r w:rsidRPr="00F676BA">
        <w:t xml:space="preserve"> at different levels of member states’ positioning (</w:t>
      </w:r>
      <w:r>
        <w:rPr>
          <w:i/>
        </w:rPr>
        <w:t xml:space="preserve">MSNet, </w:t>
      </w:r>
      <w:r>
        <w:t>X-axis). Dashed lines are 90</w:t>
      </w:r>
      <w:r w:rsidRPr="00F676BA">
        <w:t xml:space="preserve">% confidence intervals. </w:t>
      </w:r>
    </w:p>
    <w:p w14:paraId="4977B9F7" w14:textId="77777777" w:rsidR="00693B57" w:rsidRPr="004E4F3D" w:rsidRDefault="00693B57">
      <w:pPr>
        <w:rPr>
          <w:lang w:val="en-US"/>
        </w:rPr>
      </w:pPr>
    </w:p>
    <w:p w14:paraId="2BF48D93" w14:textId="77777777" w:rsidR="00DF6566" w:rsidRDefault="00DF6566" w:rsidP="00B43B8D">
      <w:pPr>
        <w:rPr>
          <w:rFonts w:cs="Times New Roman"/>
          <w:i/>
          <w:color w:val="000000" w:themeColor="text1"/>
          <w:lang w:val="en-US"/>
        </w:rPr>
      </w:pPr>
    </w:p>
    <w:p w14:paraId="5FE80BA1" w14:textId="77777777" w:rsidR="00DF6566" w:rsidRPr="004E4F3D" w:rsidRDefault="00DF6566" w:rsidP="00DF6566">
      <w:pPr>
        <w:rPr>
          <w:lang w:val="en-US"/>
        </w:rPr>
      </w:pPr>
      <w:r w:rsidRPr="004E4F3D">
        <w:rPr>
          <w:rFonts w:cs="Times New Roman"/>
          <w:color w:val="000000" w:themeColor="text1"/>
          <w:lang w:val="en-US"/>
        </w:rPr>
        <w:t>Table A3 also includes a test of to what extent the main finding in model 4</w:t>
      </w:r>
      <w:r w:rsidRPr="004E4F3D">
        <w:rPr>
          <w:lang w:val="en-US"/>
        </w:rPr>
        <w:t xml:space="preserve">—that voting rule interacts with the effect of member states observations on the decisions of the ECJ—is robust to the inclusion of policy area variables. Policy areas with 100 or more issues were included as dummy variables one at a time, starting with the policy areas with the most issues. None of these models modify the size or significance of the interaction effect of voting rule. In the full model (model 3 in Table A3), </w:t>
      </w:r>
      <w:r>
        <w:rPr>
          <w:lang w:val="en-US"/>
        </w:rPr>
        <w:t>three</w:t>
      </w:r>
      <w:r w:rsidRPr="004E4F3D">
        <w:rPr>
          <w:lang w:val="en-US"/>
        </w:rPr>
        <w:t xml:space="preserve"> policy areas have a significant effect on the probability of the ECJ to decide in favor of More Europe (over and above the variation driven by the voting rule): </w:t>
      </w:r>
      <w:r>
        <w:rPr>
          <w:lang w:val="en-US"/>
        </w:rPr>
        <w:t>Transport</w:t>
      </w:r>
      <w:r w:rsidRPr="004E4F3D">
        <w:rPr>
          <w:lang w:val="en-US"/>
        </w:rPr>
        <w:t xml:space="preserve"> policy has a negative effect—i.e. the ECJ has a </w:t>
      </w:r>
      <w:r>
        <w:rPr>
          <w:lang w:val="en-US"/>
        </w:rPr>
        <w:t>tendency to decide in favor of Preserved National S</w:t>
      </w:r>
      <w:r w:rsidRPr="004E4F3D">
        <w:rPr>
          <w:lang w:val="en-US"/>
        </w:rPr>
        <w:t xml:space="preserve">overeignty in this area—while </w:t>
      </w:r>
      <w:r>
        <w:rPr>
          <w:lang w:val="en-US"/>
        </w:rPr>
        <w:t xml:space="preserve">Free Movement of Workers and </w:t>
      </w:r>
      <w:r w:rsidRPr="004E4F3D">
        <w:rPr>
          <w:lang w:val="en-US"/>
        </w:rPr>
        <w:t>Social Provisions has a positive effect.</w:t>
      </w:r>
      <w:r>
        <w:rPr>
          <w:lang w:val="en-US"/>
        </w:rPr>
        <w:t xml:space="preserve"> The latter are the policy areas where the ECJ is pushing its luck the most with respect to the risk of override.</w:t>
      </w:r>
    </w:p>
    <w:p w14:paraId="214968DE" w14:textId="245E9AF0" w:rsidR="001D70D0" w:rsidRPr="004E4F3D" w:rsidRDefault="00693B57" w:rsidP="00B43B8D">
      <w:pPr>
        <w:rPr>
          <w:rFonts w:cs="Times New Roman"/>
          <w:i/>
          <w:color w:val="000000" w:themeColor="text1"/>
          <w:lang w:val="en-US"/>
        </w:rPr>
      </w:pPr>
      <w:r w:rsidRPr="004E4F3D">
        <w:rPr>
          <w:rFonts w:cs="Times New Roman"/>
          <w:i/>
          <w:color w:val="000000" w:themeColor="text1"/>
          <w:lang w:val="en-US"/>
        </w:rPr>
        <w:br w:type="page"/>
      </w:r>
    </w:p>
    <w:p w14:paraId="54854E6C" w14:textId="77777777" w:rsidR="002E799B" w:rsidRDefault="002E799B" w:rsidP="002E799B">
      <w:pPr>
        <w:keepNext/>
        <w:widowControl w:val="0"/>
        <w:autoSpaceDE w:val="0"/>
        <w:autoSpaceDN w:val="0"/>
        <w:adjustRightInd w:val="0"/>
        <w:rPr>
          <w:rFonts w:ascii="Times New Roman" w:hAnsi="Times New Roman"/>
        </w:rPr>
      </w:pPr>
      <w:r w:rsidRPr="00685216">
        <w:rPr>
          <w:rFonts w:ascii="Times New Roman" w:hAnsi="Times New Roman"/>
        </w:rPr>
        <w:lastRenderedPageBreak/>
        <w:t>Table A3. Ordered Logit Analysis of ECJ Ruling for More Europe</w:t>
      </w:r>
    </w:p>
    <w:tbl>
      <w:tblPr>
        <w:tblW w:w="0" w:type="auto"/>
        <w:tblLayout w:type="fixed"/>
        <w:tblLook w:val="0000" w:firstRow="0" w:lastRow="0" w:firstColumn="0" w:lastColumn="0" w:noHBand="0" w:noVBand="0"/>
      </w:tblPr>
      <w:tblGrid>
        <w:gridCol w:w="2616"/>
        <w:gridCol w:w="2016"/>
        <w:gridCol w:w="2016"/>
        <w:gridCol w:w="2016"/>
      </w:tblGrid>
      <w:tr w:rsidR="002E799B" w14:paraId="2C972148" w14:textId="77777777" w:rsidTr="00511A37">
        <w:tblPrEx>
          <w:tblCellMar>
            <w:top w:w="0" w:type="dxa"/>
            <w:bottom w:w="0" w:type="dxa"/>
          </w:tblCellMar>
        </w:tblPrEx>
        <w:tc>
          <w:tcPr>
            <w:tcW w:w="2616" w:type="dxa"/>
            <w:tcBorders>
              <w:top w:val="single" w:sz="4" w:space="0" w:color="auto"/>
              <w:left w:val="nil"/>
              <w:bottom w:val="nil"/>
              <w:right w:val="nil"/>
            </w:tcBorders>
          </w:tcPr>
          <w:p w14:paraId="191E6F56"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single" w:sz="4" w:space="0" w:color="auto"/>
              <w:left w:val="nil"/>
              <w:bottom w:val="nil"/>
              <w:right w:val="nil"/>
            </w:tcBorders>
          </w:tcPr>
          <w:p w14:paraId="3FA1F183"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w:t>
            </w:r>
          </w:p>
        </w:tc>
        <w:tc>
          <w:tcPr>
            <w:tcW w:w="2016" w:type="dxa"/>
            <w:tcBorders>
              <w:top w:val="single" w:sz="4" w:space="0" w:color="auto"/>
              <w:left w:val="nil"/>
              <w:bottom w:val="nil"/>
              <w:right w:val="nil"/>
            </w:tcBorders>
          </w:tcPr>
          <w:p w14:paraId="42BAFC11"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w:t>
            </w:r>
          </w:p>
        </w:tc>
        <w:tc>
          <w:tcPr>
            <w:tcW w:w="2016" w:type="dxa"/>
            <w:tcBorders>
              <w:top w:val="single" w:sz="4" w:space="0" w:color="auto"/>
              <w:left w:val="nil"/>
              <w:bottom w:val="nil"/>
              <w:right w:val="nil"/>
            </w:tcBorders>
          </w:tcPr>
          <w:p w14:paraId="1A64EAF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(3)</w:t>
            </w:r>
          </w:p>
        </w:tc>
      </w:tr>
      <w:tr w:rsidR="002E799B" w14:paraId="7EC75C1D" w14:textId="77777777" w:rsidTr="00511A37">
        <w:tblPrEx>
          <w:tblCellMar>
            <w:top w:w="0" w:type="dxa"/>
            <w:bottom w:w="0" w:type="dxa"/>
          </w:tblCellMar>
        </w:tblPrEx>
        <w:tc>
          <w:tcPr>
            <w:tcW w:w="2616" w:type="dxa"/>
            <w:tcBorders>
              <w:top w:val="nil"/>
              <w:left w:val="nil"/>
              <w:bottom w:val="nil"/>
              <w:right w:val="nil"/>
            </w:tcBorders>
          </w:tcPr>
          <w:p w14:paraId="3CE4A44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2A7FA29F"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Model 1</w:t>
            </w:r>
          </w:p>
        </w:tc>
        <w:tc>
          <w:tcPr>
            <w:tcW w:w="2016" w:type="dxa"/>
            <w:tcBorders>
              <w:top w:val="nil"/>
              <w:left w:val="nil"/>
              <w:bottom w:val="nil"/>
              <w:right w:val="nil"/>
            </w:tcBorders>
          </w:tcPr>
          <w:p w14:paraId="7D8E6B4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Model 2</w:t>
            </w:r>
          </w:p>
        </w:tc>
        <w:tc>
          <w:tcPr>
            <w:tcW w:w="2016" w:type="dxa"/>
            <w:tcBorders>
              <w:top w:val="nil"/>
              <w:left w:val="nil"/>
              <w:bottom w:val="nil"/>
              <w:right w:val="nil"/>
            </w:tcBorders>
          </w:tcPr>
          <w:p w14:paraId="5BB66180"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Area Dummys</w:t>
            </w:r>
          </w:p>
        </w:tc>
      </w:tr>
      <w:tr w:rsidR="002E799B" w14:paraId="4AED1E83" w14:textId="77777777" w:rsidTr="00511A37">
        <w:tblPrEx>
          <w:tblCellMar>
            <w:top w:w="0" w:type="dxa"/>
            <w:bottom w:w="0" w:type="dxa"/>
          </w:tblCellMar>
        </w:tblPrEx>
        <w:tc>
          <w:tcPr>
            <w:tcW w:w="2616" w:type="dxa"/>
            <w:tcBorders>
              <w:top w:val="single" w:sz="4" w:space="0" w:color="auto"/>
              <w:left w:val="nil"/>
              <w:bottom w:val="nil"/>
              <w:right w:val="nil"/>
            </w:tcBorders>
          </w:tcPr>
          <w:p w14:paraId="4125C4F6"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ECJ Decision</w:t>
            </w:r>
          </w:p>
        </w:tc>
        <w:tc>
          <w:tcPr>
            <w:tcW w:w="2016" w:type="dxa"/>
            <w:tcBorders>
              <w:top w:val="single" w:sz="4" w:space="0" w:color="auto"/>
              <w:left w:val="nil"/>
              <w:bottom w:val="nil"/>
              <w:right w:val="nil"/>
            </w:tcBorders>
          </w:tcPr>
          <w:p w14:paraId="6101F818"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single" w:sz="4" w:space="0" w:color="auto"/>
              <w:left w:val="nil"/>
              <w:bottom w:val="nil"/>
              <w:right w:val="nil"/>
            </w:tcBorders>
          </w:tcPr>
          <w:p w14:paraId="23978BAF"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single" w:sz="4" w:space="0" w:color="auto"/>
              <w:left w:val="nil"/>
              <w:bottom w:val="nil"/>
              <w:right w:val="nil"/>
            </w:tcBorders>
          </w:tcPr>
          <w:p w14:paraId="07D67FAF" w14:textId="77777777" w:rsidR="002E799B" w:rsidRDefault="002E799B" w:rsidP="00511A37">
            <w:pPr>
              <w:widowControl w:val="0"/>
              <w:autoSpaceDE w:val="0"/>
              <w:autoSpaceDN w:val="0"/>
              <w:adjustRightInd w:val="0"/>
              <w:jc w:val="center"/>
              <w:rPr>
                <w:rFonts w:ascii="Times New Roman" w:hAnsi="Times New Roman"/>
              </w:rPr>
            </w:pPr>
          </w:p>
        </w:tc>
      </w:tr>
      <w:tr w:rsidR="002E799B" w14:paraId="1D8BCDFC" w14:textId="77777777" w:rsidTr="00511A37">
        <w:tblPrEx>
          <w:tblCellMar>
            <w:top w:w="0" w:type="dxa"/>
            <w:bottom w:w="0" w:type="dxa"/>
          </w:tblCellMar>
        </w:tblPrEx>
        <w:tc>
          <w:tcPr>
            <w:tcW w:w="2616" w:type="dxa"/>
            <w:tcBorders>
              <w:top w:val="nil"/>
              <w:left w:val="nil"/>
              <w:bottom w:val="nil"/>
              <w:right w:val="nil"/>
            </w:tcBorders>
          </w:tcPr>
          <w:p w14:paraId="05B85B70"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MS Net</w:t>
            </w:r>
          </w:p>
        </w:tc>
        <w:tc>
          <w:tcPr>
            <w:tcW w:w="2016" w:type="dxa"/>
            <w:tcBorders>
              <w:top w:val="nil"/>
              <w:left w:val="nil"/>
              <w:bottom w:val="nil"/>
              <w:right w:val="nil"/>
            </w:tcBorders>
          </w:tcPr>
          <w:p w14:paraId="0C9894FB"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5.410</w:t>
            </w:r>
            <w:r>
              <w:rPr>
                <w:rFonts w:ascii="Times New Roman" w:hAnsi="Times New Roman"/>
                <w:vertAlign w:val="superscript"/>
              </w:rPr>
              <w:t>***</w:t>
            </w:r>
          </w:p>
        </w:tc>
        <w:tc>
          <w:tcPr>
            <w:tcW w:w="2016" w:type="dxa"/>
            <w:tcBorders>
              <w:top w:val="nil"/>
              <w:left w:val="nil"/>
              <w:bottom w:val="nil"/>
              <w:right w:val="nil"/>
            </w:tcBorders>
          </w:tcPr>
          <w:p w14:paraId="54982AFD"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7.509</w:t>
            </w:r>
            <w:r>
              <w:rPr>
                <w:rFonts w:ascii="Times New Roman" w:hAnsi="Times New Roman"/>
                <w:vertAlign w:val="superscript"/>
              </w:rPr>
              <w:t>**</w:t>
            </w:r>
          </w:p>
        </w:tc>
        <w:tc>
          <w:tcPr>
            <w:tcW w:w="2016" w:type="dxa"/>
            <w:tcBorders>
              <w:top w:val="nil"/>
              <w:left w:val="nil"/>
              <w:bottom w:val="nil"/>
              <w:right w:val="nil"/>
            </w:tcBorders>
          </w:tcPr>
          <w:p w14:paraId="6CB6028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6.759</w:t>
            </w:r>
            <w:r>
              <w:rPr>
                <w:rFonts w:ascii="Times New Roman" w:hAnsi="Times New Roman"/>
                <w:vertAlign w:val="superscript"/>
              </w:rPr>
              <w:t>***</w:t>
            </w:r>
          </w:p>
        </w:tc>
      </w:tr>
      <w:tr w:rsidR="002E799B" w14:paraId="052A28BA" w14:textId="77777777" w:rsidTr="00511A37">
        <w:tblPrEx>
          <w:tblCellMar>
            <w:top w:w="0" w:type="dxa"/>
            <w:bottom w:w="0" w:type="dxa"/>
          </w:tblCellMar>
        </w:tblPrEx>
        <w:tc>
          <w:tcPr>
            <w:tcW w:w="2616" w:type="dxa"/>
            <w:tcBorders>
              <w:top w:val="nil"/>
              <w:left w:val="nil"/>
              <w:bottom w:val="nil"/>
              <w:right w:val="nil"/>
            </w:tcBorders>
          </w:tcPr>
          <w:p w14:paraId="176A076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9AABF80"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(1.365)</w:t>
            </w:r>
          </w:p>
        </w:tc>
        <w:tc>
          <w:tcPr>
            <w:tcW w:w="2016" w:type="dxa"/>
            <w:tcBorders>
              <w:top w:val="nil"/>
              <w:left w:val="nil"/>
              <w:bottom w:val="nil"/>
              <w:right w:val="nil"/>
            </w:tcBorders>
          </w:tcPr>
          <w:p w14:paraId="06817D7A"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(2.872)</w:t>
            </w:r>
          </w:p>
        </w:tc>
        <w:tc>
          <w:tcPr>
            <w:tcW w:w="2016" w:type="dxa"/>
            <w:tcBorders>
              <w:top w:val="nil"/>
              <w:left w:val="nil"/>
              <w:bottom w:val="nil"/>
              <w:right w:val="nil"/>
            </w:tcBorders>
          </w:tcPr>
          <w:p w14:paraId="30B75AFB"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(1.510)</w:t>
            </w:r>
          </w:p>
        </w:tc>
      </w:tr>
      <w:tr w:rsidR="002E799B" w14:paraId="61FF4C02" w14:textId="77777777" w:rsidTr="00511A37">
        <w:tblPrEx>
          <w:tblCellMar>
            <w:top w:w="0" w:type="dxa"/>
            <w:bottom w:w="0" w:type="dxa"/>
          </w:tblCellMar>
        </w:tblPrEx>
        <w:tc>
          <w:tcPr>
            <w:tcW w:w="2616" w:type="dxa"/>
            <w:tcBorders>
              <w:top w:val="nil"/>
              <w:left w:val="nil"/>
              <w:bottom w:val="nil"/>
              <w:right w:val="nil"/>
            </w:tcBorders>
          </w:tcPr>
          <w:p w14:paraId="3D691D5F"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498890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ACD77E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77DD91E" w14:textId="77777777" w:rsidR="002E799B" w:rsidRDefault="002E799B" w:rsidP="00511A37">
            <w:pPr>
              <w:widowControl w:val="0"/>
              <w:autoSpaceDE w:val="0"/>
              <w:autoSpaceDN w:val="0"/>
              <w:adjustRightInd w:val="0"/>
              <w:rPr>
                <w:rFonts w:ascii="Times New Roman" w:hAnsi="Times New Roman"/>
              </w:rPr>
            </w:pPr>
          </w:p>
        </w:tc>
      </w:tr>
      <w:tr w:rsidR="002E799B" w14:paraId="5107AF2E" w14:textId="77777777" w:rsidTr="00511A37">
        <w:tblPrEx>
          <w:tblCellMar>
            <w:top w:w="0" w:type="dxa"/>
            <w:bottom w:w="0" w:type="dxa"/>
          </w:tblCellMar>
        </w:tblPrEx>
        <w:tc>
          <w:tcPr>
            <w:tcW w:w="2616" w:type="dxa"/>
            <w:tcBorders>
              <w:top w:val="nil"/>
              <w:left w:val="nil"/>
              <w:bottom w:val="nil"/>
              <w:right w:val="nil"/>
            </w:tcBorders>
          </w:tcPr>
          <w:p w14:paraId="1A13C916"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Unanimity</w:t>
            </w:r>
          </w:p>
        </w:tc>
        <w:tc>
          <w:tcPr>
            <w:tcW w:w="2016" w:type="dxa"/>
            <w:tcBorders>
              <w:top w:val="nil"/>
              <w:left w:val="nil"/>
              <w:bottom w:val="nil"/>
              <w:right w:val="nil"/>
            </w:tcBorders>
          </w:tcPr>
          <w:p w14:paraId="04161B1A"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0.0237</w:t>
            </w:r>
          </w:p>
        </w:tc>
        <w:tc>
          <w:tcPr>
            <w:tcW w:w="2016" w:type="dxa"/>
            <w:tcBorders>
              <w:top w:val="nil"/>
              <w:left w:val="nil"/>
              <w:bottom w:val="nil"/>
              <w:right w:val="nil"/>
            </w:tcBorders>
          </w:tcPr>
          <w:p w14:paraId="5F1A5A35"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1039213"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0.0611</w:t>
            </w:r>
          </w:p>
        </w:tc>
      </w:tr>
      <w:tr w:rsidR="002E799B" w14:paraId="66F7EAD6" w14:textId="77777777" w:rsidTr="00511A37">
        <w:tblPrEx>
          <w:tblCellMar>
            <w:top w:w="0" w:type="dxa"/>
            <w:bottom w:w="0" w:type="dxa"/>
          </w:tblCellMar>
        </w:tblPrEx>
        <w:tc>
          <w:tcPr>
            <w:tcW w:w="2616" w:type="dxa"/>
            <w:tcBorders>
              <w:top w:val="nil"/>
              <w:left w:val="nil"/>
              <w:bottom w:val="nil"/>
              <w:right w:val="nil"/>
            </w:tcBorders>
          </w:tcPr>
          <w:p w14:paraId="2ED84E1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B3925D8"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(0.0903)</w:t>
            </w:r>
          </w:p>
        </w:tc>
        <w:tc>
          <w:tcPr>
            <w:tcW w:w="2016" w:type="dxa"/>
            <w:tcBorders>
              <w:top w:val="nil"/>
              <w:left w:val="nil"/>
              <w:bottom w:val="nil"/>
              <w:right w:val="nil"/>
            </w:tcBorders>
          </w:tcPr>
          <w:p w14:paraId="1A6DA69D"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B9D920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(0.123)</w:t>
            </w:r>
          </w:p>
        </w:tc>
      </w:tr>
      <w:tr w:rsidR="002E799B" w14:paraId="231AF807" w14:textId="77777777" w:rsidTr="00511A37">
        <w:tblPrEx>
          <w:tblCellMar>
            <w:top w:w="0" w:type="dxa"/>
            <w:bottom w:w="0" w:type="dxa"/>
          </w:tblCellMar>
        </w:tblPrEx>
        <w:tc>
          <w:tcPr>
            <w:tcW w:w="2616" w:type="dxa"/>
            <w:tcBorders>
              <w:top w:val="nil"/>
              <w:left w:val="nil"/>
              <w:bottom w:val="nil"/>
              <w:right w:val="nil"/>
            </w:tcBorders>
          </w:tcPr>
          <w:p w14:paraId="4FF8FAE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DBEE7C8"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FCEB86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8850B99" w14:textId="77777777" w:rsidR="002E799B" w:rsidRDefault="002E799B" w:rsidP="00511A37">
            <w:pPr>
              <w:widowControl w:val="0"/>
              <w:autoSpaceDE w:val="0"/>
              <w:autoSpaceDN w:val="0"/>
              <w:adjustRightInd w:val="0"/>
              <w:rPr>
                <w:rFonts w:ascii="Times New Roman" w:hAnsi="Times New Roman"/>
              </w:rPr>
            </w:pPr>
          </w:p>
        </w:tc>
      </w:tr>
      <w:tr w:rsidR="002E799B" w14:paraId="0F59B24C" w14:textId="77777777" w:rsidTr="00511A37">
        <w:tblPrEx>
          <w:tblCellMar>
            <w:top w:w="0" w:type="dxa"/>
            <w:bottom w:w="0" w:type="dxa"/>
          </w:tblCellMar>
        </w:tblPrEx>
        <w:tc>
          <w:tcPr>
            <w:tcW w:w="2616" w:type="dxa"/>
            <w:tcBorders>
              <w:top w:val="nil"/>
              <w:left w:val="nil"/>
              <w:bottom w:val="nil"/>
              <w:right w:val="nil"/>
            </w:tcBorders>
          </w:tcPr>
          <w:p w14:paraId="5CA9D95E"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Unanimity * MS Net</w:t>
            </w:r>
          </w:p>
        </w:tc>
        <w:tc>
          <w:tcPr>
            <w:tcW w:w="2016" w:type="dxa"/>
            <w:tcBorders>
              <w:top w:val="nil"/>
              <w:left w:val="nil"/>
              <w:bottom w:val="nil"/>
              <w:right w:val="nil"/>
            </w:tcBorders>
          </w:tcPr>
          <w:p w14:paraId="7B04C728"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-2.888</w:t>
            </w:r>
            <w:r>
              <w:rPr>
                <w:rFonts w:ascii="Times New Roman" w:hAnsi="Times New Roman"/>
                <w:vertAlign w:val="superscript"/>
              </w:rPr>
              <w:t>+</w:t>
            </w:r>
          </w:p>
        </w:tc>
        <w:tc>
          <w:tcPr>
            <w:tcW w:w="2016" w:type="dxa"/>
            <w:tcBorders>
              <w:top w:val="nil"/>
              <w:left w:val="nil"/>
              <w:bottom w:val="nil"/>
              <w:right w:val="nil"/>
            </w:tcBorders>
          </w:tcPr>
          <w:p w14:paraId="01594BD6"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59BEFF6C"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-3.917</w:t>
            </w:r>
            <w:r>
              <w:rPr>
                <w:rFonts w:ascii="Times New Roman" w:hAnsi="Times New Roman"/>
                <w:vertAlign w:val="superscript"/>
              </w:rPr>
              <w:t>*</w:t>
            </w:r>
          </w:p>
        </w:tc>
      </w:tr>
      <w:tr w:rsidR="002E799B" w14:paraId="1337092E" w14:textId="77777777" w:rsidTr="00511A37">
        <w:tblPrEx>
          <w:tblCellMar>
            <w:top w:w="0" w:type="dxa"/>
            <w:bottom w:w="0" w:type="dxa"/>
          </w:tblCellMar>
        </w:tblPrEx>
        <w:tc>
          <w:tcPr>
            <w:tcW w:w="2616" w:type="dxa"/>
            <w:tcBorders>
              <w:top w:val="nil"/>
              <w:left w:val="nil"/>
              <w:bottom w:val="nil"/>
              <w:right w:val="nil"/>
            </w:tcBorders>
          </w:tcPr>
          <w:p w14:paraId="7F19C74D"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AFFCFEF"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(1.561)</w:t>
            </w:r>
          </w:p>
        </w:tc>
        <w:tc>
          <w:tcPr>
            <w:tcW w:w="2016" w:type="dxa"/>
            <w:tcBorders>
              <w:top w:val="nil"/>
              <w:left w:val="nil"/>
              <w:bottom w:val="nil"/>
              <w:right w:val="nil"/>
            </w:tcBorders>
          </w:tcPr>
          <w:p w14:paraId="62D8BA25"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2F6A11BB"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(1.647)</w:t>
            </w:r>
          </w:p>
        </w:tc>
      </w:tr>
      <w:tr w:rsidR="002E799B" w14:paraId="761BA4CC" w14:textId="77777777" w:rsidTr="00511A37">
        <w:tblPrEx>
          <w:tblCellMar>
            <w:top w:w="0" w:type="dxa"/>
            <w:bottom w:w="0" w:type="dxa"/>
          </w:tblCellMar>
        </w:tblPrEx>
        <w:tc>
          <w:tcPr>
            <w:tcW w:w="2616" w:type="dxa"/>
            <w:tcBorders>
              <w:top w:val="nil"/>
              <w:left w:val="nil"/>
              <w:bottom w:val="nil"/>
              <w:right w:val="nil"/>
            </w:tcBorders>
          </w:tcPr>
          <w:p w14:paraId="4167DFCF"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901E795"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91E21B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40104A2" w14:textId="77777777" w:rsidR="002E799B" w:rsidRDefault="002E799B" w:rsidP="00511A37">
            <w:pPr>
              <w:widowControl w:val="0"/>
              <w:autoSpaceDE w:val="0"/>
              <w:autoSpaceDN w:val="0"/>
              <w:adjustRightInd w:val="0"/>
              <w:rPr>
                <w:rFonts w:ascii="Times New Roman" w:hAnsi="Times New Roman"/>
              </w:rPr>
            </w:pPr>
          </w:p>
        </w:tc>
      </w:tr>
      <w:tr w:rsidR="002E799B" w14:paraId="489319F5" w14:textId="77777777" w:rsidTr="00511A37">
        <w:tblPrEx>
          <w:tblCellMar>
            <w:top w:w="0" w:type="dxa"/>
            <w:bottom w:w="0" w:type="dxa"/>
          </w:tblCellMar>
        </w:tblPrEx>
        <w:tc>
          <w:tcPr>
            <w:tcW w:w="2616" w:type="dxa"/>
            <w:tcBorders>
              <w:top w:val="nil"/>
              <w:left w:val="nil"/>
              <w:bottom w:val="nil"/>
              <w:right w:val="nil"/>
            </w:tcBorders>
          </w:tcPr>
          <w:p w14:paraId="1D8E202C"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Chamber Size</w:t>
            </w:r>
          </w:p>
        </w:tc>
        <w:tc>
          <w:tcPr>
            <w:tcW w:w="2016" w:type="dxa"/>
            <w:tcBorders>
              <w:top w:val="nil"/>
              <w:left w:val="nil"/>
              <w:bottom w:val="nil"/>
              <w:right w:val="nil"/>
            </w:tcBorders>
          </w:tcPr>
          <w:p w14:paraId="7074E76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0.0648</w:t>
            </w:r>
          </w:p>
        </w:tc>
        <w:tc>
          <w:tcPr>
            <w:tcW w:w="2016" w:type="dxa"/>
            <w:tcBorders>
              <w:top w:val="nil"/>
              <w:left w:val="nil"/>
              <w:bottom w:val="nil"/>
              <w:right w:val="nil"/>
            </w:tcBorders>
          </w:tcPr>
          <w:p w14:paraId="4FDEA68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0.793</w:t>
            </w:r>
            <w:r>
              <w:rPr>
                <w:rFonts w:ascii="Times New Roman" w:hAnsi="Times New Roman"/>
                <w:vertAlign w:val="superscript"/>
              </w:rPr>
              <w:t>+</w:t>
            </w:r>
          </w:p>
        </w:tc>
        <w:tc>
          <w:tcPr>
            <w:tcW w:w="2016" w:type="dxa"/>
            <w:tcBorders>
              <w:top w:val="nil"/>
              <w:left w:val="nil"/>
              <w:bottom w:val="nil"/>
              <w:right w:val="nil"/>
            </w:tcBorders>
          </w:tcPr>
          <w:p w14:paraId="2BA7346E"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0.0333</w:t>
            </w:r>
          </w:p>
        </w:tc>
      </w:tr>
      <w:tr w:rsidR="002E799B" w14:paraId="50ABF08D" w14:textId="77777777" w:rsidTr="00511A37">
        <w:tblPrEx>
          <w:tblCellMar>
            <w:top w:w="0" w:type="dxa"/>
            <w:bottom w:w="0" w:type="dxa"/>
          </w:tblCellMar>
        </w:tblPrEx>
        <w:tc>
          <w:tcPr>
            <w:tcW w:w="2616" w:type="dxa"/>
            <w:tcBorders>
              <w:top w:val="nil"/>
              <w:left w:val="nil"/>
              <w:bottom w:val="nil"/>
              <w:right w:val="nil"/>
            </w:tcBorders>
          </w:tcPr>
          <w:p w14:paraId="4E57961C"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1267C4D"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(0.252)</w:t>
            </w:r>
          </w:p>
        </w:tc>
        <w:tc>
          <w:tcPr>
            <w:tcW w:w="2016" w:type="dxa"/>
            <w:tcBorders>
              <w:top w:val="nil"/>
              <w:left w:val="nil"/>
              <w:bottom w:val="nil"/>
              <w:right w:val="nil"/>
            </w:tcBorders>
          </w:tcPr>
          <w:p w14:paraId="0C7B5E6F"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(0.447)</w:t>
            </w:r>
          </w:p>
        </w:tc>
        <w:tc>
          <w:tcPr>
            <w:tcW w:w="2016" w:type="dxa"/>
            <w:tcBorders>
              <w:top w:val="nil"/>
              <w:left w:val="nil"/>
              <w:bottom w:val="nil"/>
              <w:right w:val="nil"/>
            </w:tcBorders>
          </w:tcPr>
          <w:p w14:paraId="73E26E3C"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(0.263)</w:t>
            </w:r>
          </w:p>
        </w:tc>
      </w:tr>
      <w:tr w:rsidR="002E799B" w14:paraId="2FFDAAAE" w14:textId="77777777" w:rsidTr="00511A37">
        <w:tblPrEx>
          <w:tblCellMar>
            <w:top w:w="0" w:type="dxa"/>
            <w:bottom w:w="0" w:type="dxa"/>
          </w:tblCellMar>
        </w:tblPrEx>
        <w:tc>
          <w:tcPr>
            <w:tcW w:w="2616" w:type="dxa"/>
            <w:tcBorders>
              <w:top w:val="nil"/>
              <w:left w:val="nil"/>
              <w:bottom w:val="nil"/>
              <w:right w:val="nil"/>
            </w:tcBorders>
          </w:tcPr>
          <w:p w14:paraId="6F383BB1"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B56F9C6"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2B9002A"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E481FEC" w14:textId="77777777" w:rsidR="002E799B" w:rsidRDefault="002E799B" w:rsidP="00511A37">
            <w:pPr>
              <w:widowControl w:val="0"/>
              <w:autoSpaceDE w:val="0"/>
              <w:autoSpaceDN w:val="0"/>
              <w:adjustRightInd w:val="0"/>
              <w:rPr>
                <w:rFonts w:ascii="Times New Roman" w:hAnsi="Times New Roman"/>
              </w:rPr>
            </w:pPr>
          </w:p>
        </w:tc>
      </w:tr>
      <w:tr w:rsidR="002E799B" w14:paraId="2B09048D" w14:textId="77777777" w:rsidTr="00511A37">
        <w:tblPrEx>
          <w:tblCellMar>
            <w:top w:w="0" w:type="dxa"/>
            <w:bottom w:w="0" w:type="dxa"/>
          </w:tblCellMar>
        </w:tblPrEx>
        <w:tc>
          <w:tcPr>
            <w:tcW w:w="2616" w:type="dxa"/>
            <w:tcBorders>
              <w:top w:val="nil"/>
              <w:left w:val="nil"/>
              <w:bottom w:val="nil"/>
              <w:right w:val="nil"/>
            </w:tcBorders>
          </w:tcPr>
          <w:p w14:paraId="31899820"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AG Pro</w:t>
            </w:r>
          </w:p>
        </w:tc>
        <w:tc>
          <w:tcPr>
            <w:tcW w:w="2016" w:type="dxa"/>
            <w:tcBorders>
              <w:top w:val="nil"/>
              <w:left w:val="nil"/>
              <w:bottom w:val="nil"/>
              <w:right w:val="nil"/>
            </w:tcBorders>
          </w:tcPr>
          <w:p w14:paraId="069DBEF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1.851</w:t>
            </w:r>
            <w:r>
              <w:rPr>
                <w:rFonts w:ascii="Times New Roman" w:hAnsi="Times New Roman"/>
                <w:vertAlign w:val="superscript"/>
              </w:rPr>
              <w:t>***</w:t>
            </w:r>
          </w:p>
        </w:tc>
        <w:tc>
          <w:tcPr>
            <w:tcW w:w="2016" w:type="dxa"/>
            <w:tcBorders>
              <w:top w:val="nil"/>
              <w:left w:val="nil"/>
              <w:bottom w:val="nil"/>
              <w:right w:val="nil"/>
            </w:tcBorders>
          </w:tcPr>
          <w:p w14:paraId="6CB4048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2.233</w:t>
            </w:r>
            <w:r>
              <w:rPr>
                <w:rFonts w:ascii="Times New Roman" w:hAnsi="Times New Roman"/>
                <w:vertAlign w:val="superscript"/>
              </w:rPr>
              <w:t>***</w:t>
            </w:r>
          </w:p>
        </w:tc>
        <w:tc>
          <w:tcPr>
            <w:tcW w:w="2016" w:type="dxa"/>
            <w:tcBorders>
              <w:top w:val="nil"/>
              <w:left w:val="nil"/>
              <w:bottom w:val="nil"/>
              <w:right w:val="nil"/>
            </w:tcBorders>
          </w:tcPr>
          <w:p w14:paraId="511EF0CF"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2.525</w:t>
            </w:r>
            <w:r>
              <w:rPr>
                <w:rFonts w:ascii="Times New Roman" w:hAnsi="Times New Roman"/>
                <w:vertAlign w:val="superscript"/>
              </w:rPr>
              <w:t>***</w:t>
            </w:r>
          </w:p>
        </w:tc>
      </w:tr>
      <w:tr w:rsidR="002E799B" w14:paraId="06A9A25D" w14:textId="77777777" w:rsidTr="00511A37">
        <w:tblPrEx>
          <w:tblCellMar>
            <w:top w:w="0" w:type="dxa"/>
            <w:bottom w:w="0" w:type="dxa"/>
          </w:tblCellMar>
        </w:tblPrEx>
        <w:tc>
          <w:tcPr>
            <w:tcW w:w="2616" w:type="dxa"/>
            <w:tcBorders>
              <w:top w:val="nil"/>
              <w:left w:val="nil"/>
              <w:bottom w:val="nil"/>
              <w:right w:val="nil"/>
            </w:tcBorders>
          </w:tcPr>
          <w:p w14:paraId="1400566A"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BFFD508"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(0.191)</w:t>
            </w:r>
          </w:p>
        </w:tc>
        <w:tc>
          <w:tcPr>
            <w:tcW w:w="2016" w:type="dxa"/>
            <w:tcBorders>
              <w:top w:val="nil"/>
              <w:left w:val="nil"/>
              <w:bottom w:val="nil"/>
              <w:right w:val="nil"/>
            </w:tcBorders>
          </w:tcPr>
          <w:p w14:paraId="509C7A68"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(0.412)</w:t>
            </w:r>
          </w:p>
        </w:tc>
        <w:tc>
          <w:tcPr>
            <w:tcW w:w="2016" w:type="dxa"/>
            <w:tcBorders>
              <w:top w:val="nil"/>
              <w:left w:val="nil"/>
              <w:bottom w:val="nil"/>
              <w:right w:val="nil"/>
            </w:tcBorders>
          </w:tcPr>
          <w:p w14:paraId="1E10D434"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(0.151)</w:t>
            </w:r>
          </w:p>
        </w:tc>
      </w:tr>
      <w:tr w:rsidR="002E799B" w14:paraId="407C4714" w14:textId="77777777" w:rsidTr="00511A37">
        <w:tblPrEx>
          <w:tblCellMar>
            <w:top w:w="0" w:type="dxa"/>
            <w:bottom w:w="0" w:type="dxa"/>
          </w:tblCellMar>
        </w:tblPrEx>
        <w:tc>
          <w:tcPr>
            <w:tcW w:w="2616" w:type="dxa"/>
            <w:tcBorders>
              <w:top w:val="nil"/>
              <w:left w:val="nil"/>
              <w:bottom w:val="nil"/>
              <w:right w:val="nil"/>
            </w:tcBorders>
          </w:tcPr>
          <w:p w14:paraId="34C68A99"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FBFEDFE"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119FE05"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D32CA01" w14:textId="77777777" w:rsidR="002E799B" w:rsidRDefault="002E799B" w:rsidP="00511A37">
            <w:pPr>
              <w:widowControl w:val="0"/>
              <w:autoSpaceDE w:val="0"/>
              <w:autoSpaceDN w:val="0"/>
              <w:adjustRightInd w:val="0"/>
              <w:rPr>
                <w:rFonts w:ascii="Times New Roman" w:hAnsi="Times New Roman"/>
              </w:rPr>
            </w:pPr>
          </w:p>
        </w:tc>
      </w:tr>
      <w:tr w:rsidR="002E799B" w14:paraId="69A4DD0D" w14:textId="77777777" w:rsidTr="00511A37">
        <w:tblPrEx>
          <w:tblCellMar>
            <w:top w:w="0" w:type="dxa"/>
            <w:bottom w:w="0" w:type="dxa"/>
          </w:tblCellMar>
        </w:tblPrEx>
        <w:tc>
          <w:tcPr>
            <w:tcW w:w="2616" w:type="dxa"/>
            <w:tcBorders>
              <w:top w:val="nil"/>
              <w:left w:val="nil"/>
              <w:bottom w:val="nil"/>
              <w:right w:val="nil"/>
            </w:tcBorders>
          </w:tcPr>
          <w:p w14:paraId="7ABFA560"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AG Anti</w:t>
            </w:r>
          </w:p>
        </w:tc>
        <w:tc>
          <w:tcPr>
            <w:tcW w:w="2016" w:type="dxa"/>
            <w:tcBorders>
              <w:top w:val="nil"/>
              <w:left w:val="nil"/>
              <w:bottom w:val="nil"/>
              <w:right w:val="nil"/>
            </w:tcBorders>
          </w:tcPr>
          <w:p w14:paraId="25384F4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-1.746</w:t>
            </w:r>
            <w:r>
              <w:rPr>
                <w:rFonts w:ascii="Times New Roman" w:hAnsi="Times New Roman"/>
                <w:vertAlign w:val="superscript"/>
              </w:rPr>
              <w:t>***</w:t>
            </w:r>
          </w:p>
        </w:tc>
        <w:tc>
          <w:tcPr>
            <w:tcW w:w="2016" w:type="dxa"/>
            <w:tcBorders>
              <w:top w:val="nil"/>
              <w:left w:val="nil"/>
              <w:bottom w:val="nil"/>
              <w:right w:val="nil"/>
            </w:tcBorders>
          </w:tcPr>
          <w:p w14:paraId="7C465D4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-2.132</w:t>
            </w:r>
            <w:r>
              <w:rPr>
                <w:rFonts w:ascii="Times New Roman" w:hAnsi="Times New Roman"/>
                <w:vertAlign w:val="superscript"/>
              </w:rPr>
              <w:t>***</w:t>
            </w:r>
          </w:p>
        </w:tc>
        <w:tc>
          <w:tcPr>
            <w:tcW w:w="2016" w:type="dxa"/>
            <w:tcBorders>
              <w:top w:val="nil"/>
              <w:left w:val="nil"/>
              <w:bottom w:val="nil"/>
              <w:right w:val="nil"/>
            </w:tcBorders>
          </w:tcPr>
          <w:p w14:paraId="3275BB72"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-1.846</w:t>
            </w:r>
            <w:r>
              <w:rPr>
                <w:rFonts w:ascii="Times New Roman" w:hAnsi="Times New Roman"/>
                <w:vertAlign w:val="superscript"/>
              </w:rPr>
              <w:t>***</w:t>
            </w:r>
          </w:p>
        </w:tc>
      </w:tr>
      <w:tr w:rsidR="002E799B" w14:paraId="3745AE92" w14:textId="77777777" w:rsidTr="00511A37">
        <w:tblPrEx>
          <w:tblCellMar>
            <w:top w:w="0" w:type="dxa"/>
            <w:bottom w:w="0" w:type="dxa"/>
          </w:tblCellMar>
        </w:tblPrEx>
        <w:tc>
          <w:tcPr>
            <w:tcW w:w="2616" w:type="dxa"/>
            <w:tcBorders>
              <w:top w:val="nil"/>
              <w:left w:val="nil"/>
              <w:bottom w:val="nil"/>
              <w:right w:val="nil"/>
            </w:tcBorders>
          </w:tcPr>
          <w:p w14:paraId="74C1375A"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3756CA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(0.201)</w:t>
            </w:r>
          </w:p>
        </w:tc>
        <w:tc>
          <w:tcPr>
            <w:tcW w:w="2016" w:type="dxa"/>
            <w:tcBorders>
              <w:top w:val="nil"/>
              <w:left w:val="nil"/>
              <w:bottom w:val="nil"/>
              <w:right w:val="nil"/>
            </w:tcBorders>
          </w:tcPr>
          <w:p w14:paraId="3AD657B3"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(0.420)</w:t>
            </w:r>
          </w:p>
        </w:tc>
        <w:tc>
          <w:tcPr>
            <w:tcW w:w="2016" w:type="dxa"/>
            <w:tcBorders>
              <w:top w:val="nil"/>
              <w:left w:val="nil"/>
              <w:bottom w:val="nil"/>
              <w:right w:val="nil"/>
            </w:tcBorders>
          </w:tcPr>
          <w:p w14:paraId="4BEF52BB"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(0.161)</w:t>
            </w:r>
          </w:p>
        </w:tc>
      </w:tr>
      <w:tr w:rsidR="002E799B" w14:paraId="75AC4352" w14:textId="77777777" w:rsidTr="00511A37">
        <w:tblPrEx>
          <w:tblCellMar>
            <w:top w:w="0" w:type="dxa"/>
            <w:bottom w:w="0" w:type="dxa"/>
          </w:tblCellMar>
        </w:tblPrEx>
        <w:tc>
          <w:tcPr>
            <w:tcW w:w="2616" w:type="dxa"/>
            <w:tcBorders>
              <w:top w:val="nil"/>
              <w:left w:val="nil"/>
              <w:bottom w:val="nil"/>
              <w:right w:val="nil"/>
            </w:tcBorders>
          </w:tcPr>
          <w:p w14:paraId="0746DA54"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4328056"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0724971"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B786AF7" w14:textId="77777777" w:rsidR="002E799B" w:rsidRDefault="002E799B" w:rsidP="00511A37">
            <w:pPr>
              <w:widowControl w:val="0"/>
              <w:autoSpaceDE w:val="0"/>
              <w:autoSpaceDN w:val="0"/>
              <w:adjustRightInd w:val="0"/>
              <w:rPr>
                <w:rFonts w:ascii="Times New Roman" w:hAnsi="Times New Roman"/>
              </w:rPr>
            </w:pPr>
          </w:p>
        </w:tc>
      </w:tr>
      <w:tr w:rsidR="002E799B" w14:paraId="3E55D989" w14:textId="77777777" w:rsidTr="00511A37">
        <w:tblPrEx>
          <w:tblCellMar>
            <w:top w:w="0" w:type="dxa"/>
            <w:bottom w:w="0" w:type="dxa"/>
          </w:tblCellMar>
        </w:tblPrEx>
        <w:tc>
          <w:tcPr>
            <w:tcW w:w="2616" w:type="dxa"/>
            <w:tcBorders>
              <w:top w:val="nil"/>
              <w:left w:val="nil"/>
              <w:bottom w:val="nil"/>
              <w:right w:val="nil"/>
            </w:tcBorders>
          </w:tcPr>
          <w:p w14:paraId="6C9F8677"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COM Pro</w:t>
            </w:r>
          </w:p>
        </w:tc>
        <w:tc>
          <w:tcPr>
            <w:tcW w:w="2016" w:type="dxa"/>
            <w:tcBorders>
              <w:top w:val="nil"/>
              <w:left w:val="nil"/>
              <w:bottom w:val="nil"/>
              <w:right w:val="nil"/>
            </w:tcBorders>
          </w:tcPr>
          <w:p w14:paraId="3EF66FCD"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1.509</w:t>
            </w:r>
            <w:r>
              <w:rPr>
                <w:rFonts w:ascii="Times New Roman" w:hAnsi="Times New Roman"/>
                <w:vertAlign w:val="superscript"/>
              </w:rPr>
              <w:t>***</w:t>
            </w:r>
          </w:p>
        </w:tc>
        <w:tc>
          <w:tcPr>
            <w:tcW w:w="2016" w:type="dxa"/>
            <w:tcBorders>
              <w:top w:val="nil"/>
              <w:left w:val="nil"/>
              <w:bottom w:val="nil"/>
              <w:right w:val="nil"/>
            </w:tcBorders>
          </w:tcPr>
          <w:p w14:paraId="0F2BECF5"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2.100</w:t>
            </w:r>
            <w:r>
              <w:rPr>
                <w:rFonts w:ascii="Times New Roman" w:hAnsi="Times New Roman"/>
                <w:vertAlign w:val="superscript"/>
              </w:rPr>
              <w:t>***</w:t>
            </w:r>
          </w:p>
        </w:tc>
        <w:tc>
          <w:tcPr>
            <w:tcW w:w="2016" w:type="dxa"/>
            <w:tcBorders>
              <w:top w:val="nil"/>
              <w:left w:val="nil"/>
              <w:bottom w:val="nil"/>
              <w:right w:val="nil"/>
            </w:tcBorders>
          </w:tcPr>
          <w:p w14:paraId="232E328C" w14:textId="77777777" w:rsidR="002E799B" w:rsidRDefault="002E799B" w:rsidP="00511A37">
            <w:pPr>
              <w:widowControl w:val="0"/>
              <w:autoSpaceDE w:val="0"/>
              <w:autoSpaceDN w:val="0"/>
              <w:adjustRightInd w:val="0"/>
              <w:jc w:val="center"/>
              <w:rPr>
                <w:rFonts w:ascii="Times New Roman" w:hAnsi="Times New Roman"/>
              </w:rPr>
            </w:pPr>
          </w:p>
        </w:tc>
      </w:tr>
      <w:tr w:rsidR="002E799B" w14:paraId="72D2FD03" w14:textId="77777777" w:rsidTr="00511A37">
        <w:tblPrEx>
          <w:tblCellMar>
            <w:top w:w="0" w:type="dxa"/>
            <w:bottom w:w="0" w:type="dxa"/>
          </w:tblCellMar>
        </w:tblPrEx>
        <w:tc>
          <w:tcPr>
            <w:tcW w:w="2616" w:type="dxa"/>
            <w:tcBorders>
              <w:top w:val="nil"/>
              <w:left w:val="nil"/>
              <w:bottom w:val="nil"/>
              <w:right w:val="nil"/>
            </w:tcBorders>
          </w:tcPr>
          <w:p w14:paraId="7E872AD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228384A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(0.160)</w:t>
            </w:r>
          </w:p>
        </w:tc>
        <w:tc>
          <w:tcPr>
            <w:tcW w:w="2016" w:type="dxa"/>
            <w:tcBorders>
              <w:top w:val="nil"/>
              <w:left w:val="nil"/>
              <w:bottom w:val="nil"/>
              <w:right w:val="nil"/>
            </w:tcBorders>
          </w:tcPr>
          <w:p w14:paraId="2A84A89A"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(0.344)</w:t>
            </w:r>
          </w:p>
        </w:tc>
        <w:tc>
          <w:tcPr>
            <w:tcW w:w="2016" w:type="dxa"/>
            <w:tcBorders>
              <w:top w:val="nil"/>
              <w:left w:val="nil"/>
              <w:bottom w:val="nil"/>
              <w:right w:val="nil"/>
            </w:tcBorders>
          </w:tcPr>
          <w:p w14:paraId="3E44DCAF" w14:textId="77777777" w:rsidR="002E799B" w:rsidRDefault="002E799B" w:rsidP="00511A37">
            <w:pPr>
              <w:widowControl w:val="0"/>
              <w:autoSpaceDE w:val="0"/>
              <w:autoSpaceDN w:val="0"/>
              <w:adjustRightInd w:val="0"/>
              <w:jc w:val="center"/>
              <w:rPr>
                <w:rFonts w:ascii="Times New Roman" w:hAnsi="Times New Roman"/>
              </w:rPr>
            </w:pPr>
          </w:p>
        </w:tc>
      </w:tr>
      <w:tr w:rsidR="002E799B" w14:paraId="1C20859D" w14:textId="77777777" w:rsidTr="00511A37">
        <w:tblPrEx>
          <w:tblCellMar>
            <w:top w:w="0" w:type="dxa"/>
            <w:bottom w:w="0" w:type="dxa"/>
          </w:tblCellMar>
        </w:tblPrEx>
        <w:tc>
          <w:tcPr>
            <w:tcW w:w="2616" w:type="dxa"/>
            <w:tcBorders>
              <w:top w:val="nil"/>
              <w:left w:val="nil"/>
              <w:bottom w:val="nil"/>
              <w:right w:val="nil"/>
            </w:tcBorders>
          </w:tcPr>
          <w:p w14:paraId="23415B52"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D591CC0"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EB0C1E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E0C6235" w14:textId="77777777" w:rsidR="002E799B" w:rsidRDefault="002E799B" w:rsidP="00511A37">
            <w:pPr>
              <w:widowControl w:val="0"/>
              <w:autoSpaceDE w:val="0"/>
              <w:autoSpaceDN w:val="0"/>
              <w:adjustRightInd w:val="0"/>
              <w:rPr>
                <w:rFonts w:ascii="Times New Roman" w:hAnsi="Times New Roman"/>
              </w:rPr>
            </w:pPr>
          </w:p>
        </w:tc>
      </w:tr>
      <w:tr w:rsidR="002E799B" w14:paraId="3D44999F" w14:textId="77777777" w:rsidTr="00511A37">
        <w:tblPrEx>
          <w:tblCellMar>
            <w:top w:w="0" w:type="dxa"/>
            <w:bottom w:w="0" w:type="dxa"/>
          </w:tblCellMar>
        </w:tblPrEx>
        <w:tc>
          <w:tcPr>
            <w:tcW w:w="2616" w:type="dxa"/>
            <w:tcBorders>
              <w:top w:val="nil"/>
              <w:left w:val="nil"/>
              <w:bottom w:val="nil"/>
              <w:right w:val="nil"/>
            </w:tcBorders>
          </w:tcPr>
          <w:p w14:paraId="26B2A344"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COM Anti</w:t>
            </w:r>
          </w:p>
        </w:tc>
        <w:tc>
          <w:tcPr>
            <w:tcW w:w="2016" w:type="dxa"/>
            <w:tcBorders>
              <w:top w:val="nil"/>
              <w:left w:val="nil"/>
              <w:bottom w:val="nil"/>
              <w:right w:val="nil"/>
            </w:tcBorders>
          </w:tcPr>
          <w:p w14:paraId="2E2E2944"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-0.850</w:t>
            </w:r>
            <w:r>
              <w:rPr>
                <w:rFonts w:ascii="Times New Roman" w:hAnsi="Times New Roman"/>
                <w:vertAlign w:val="superscript"/>
              </w:rPr>
              <w:t>***</w:t>
            </w:r>
          </w:p>
        </w:tc>
        <w:tc>
          <w:tcPr>
            <w:tcW w:w="2016" w:type="dxa"/>
            <w:tcBorders>
              <w:top w:val="nil"/>
              <w:left w:val="nil"/>
              <w:bottom w:val="nil"/>
              <w:right w:val="nil"/>
            </w:tcBorders>
          </w:tcPr>
          <w:p w14:paraId="3BF1ED12"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-1.111</w:t>
            </w:r>
            <w:r>
              <w:rPr>
                <w:rFonts w:ascii="Times New Roman" w:hAnsi="Times New Roman"/>
                <w:vertAlign w:val="superscript"/>
              </w:rPr>
              <w:t>***</w:t>
            </w:r>
          </w:p>
        </w:tc>
        <w:tc>
          <w:tcPr>
            <w:tcW w:w="2016" w:type="dxa"/>
            <w:tcBorders>
              <w:top w:val="nil"/>
              <w:left w:val="nil"/>
              <w:bottom w:val="nil"/>
              <w:right w:val="nil"/>
            </w:tcBorders>
          </w:tcPr>
          <w:p w14:paraId="4B209D6F" w14:textId="77777777" w:rsidR="002E799B" w:rsidRDefault="002E799B" w:rsidP="00511A37">
            <w:pPr>
              <w:widowControl w:val="0"/>
              <w:autoSpaceDE w:val="0"/>
              <w:autoSpaceDN w:val="0"/>
              <w:adjustRightInd w:val="0"/>
              <w:jc w:val="center"/>
              <w:rPr>
                <w:rFonts w:ascii="Times New Roman" w:hAnsi="Times New Roman"/>
              </w:rPr>
            </w:pPr>
          </w:p>
        </w:tc>
      </w:tr>
      <w:tr w:rsidR="002E799B" w14:paraId="492F6E58" w14:textId="77777777" w:rsidTr="00511A37">
        <w:tblPrEx>
          <w:tblCellMar>
            <w:top w:w="0" w:type="dxa"/>
            <w:bottom w:w="0" w:type="dxa"/>
          </w:tblCellMar>
        </w:tblPrEx>
        <w:tc>
          <w:tcPr>
            <w:tcW w:w="2616" w:type="dxa"/>
            <w:tcBorders>
              <w:top w:val="nil"/>
              <w:left w:val="nil"/>
              <w:bottom w:val="nil"/>
              <w:right w:val="nil"/>
            </w:tcBorders>
          </w:tcPr>
          <w:p w14:paraId="0BC62AA1"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C5E0900"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(0.171)</w:t>
            </w:r>
          </w:p>
        </w:tc>
        <w:tc>
          <w:tcPr>
            <w:tcW w:w="2016" w:type="dxa"/>
            <w:tcBorders>
              <w:top w:val="nil"/>
              <w:left w:val="nil"/>
              <w:bottom w:val="nil"/>
              <w:right w:val="nil"/>
            </w:tcBorders>
          </w:tcPr>
          <w:p w14:paraId="4E8C2CC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(0.327)</w:t>
            </w:r>
          </w:p>
        </w:tc>
        <w:tc>
          <w:tcPr>
            <w:tcW w:w="2016" w:type="dxa"/>
            <w:tcBorders>
              <w:top w:val="nil"/>
              <w:left w:val="nil"/>
              <w:bottom w:val="nil"/>
              <w:right w:val="nil"/>
            </w:tcBorders>
          </w:tcPr>
          <w:p w14:paraId="729E97B8" w14:textId="77777777" w:rsidR="002E799B" w:rsidRDefault="002E799B" w:rsidP="00511A37">
            <w:pPr>
              <w:widowControl w:val="0"/>
              <w:autoSpaceDE w:val="0"/>
              <w:autoSpaceDN w:val="0"/>
              <w:adjustRightInd w:val="0"/>
              <w:jc w:val="center"/>
              <w:rPr>
                <w:rFonts w:ascii="Times New Roman" w:hAnsi="Times New Roman"/>
              </w:rPr>
            </w:pPr>
          </w:p>
        </w:tc>
      </w:tr>
      <w:tr w:rsidR="002E799B" w14:paraId="7377891B" w14:textId="77777777" w:rsidTr="00511A37">
        <w:tblPrEx>
          <w:tblCellMar>
            <w:top w:w="0" w:type="dxa"/>
            <w:bottom w:w="0" w:type="dxa"/>
          </w:tblCellMar>
        </w:tblPrEx>
        <w:tc>
          <w:tcPr>
            <w:tcW w:w="2616" w:type="dxa"/>
            <w:tcBorders>
              <w:top w:val="nil"/>
              <w:left w:val="nil"/>
              <w:bottom w:val="nil"/>
              <w:right w:val="nil"/>
            </w:tcBorders>
          </w:tcPr>
          <w:p w14:paraId="3BA9139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06157BA"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16F6C8A"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AA3A82C" w14:textId="77777777" w:rsidR="002E799B" w:rsidRDefault="002E799B" w:rsidP="00511A37">
            <w:pPr>
              <w:widowControl w:val="0"/>
              <w:autoSpaceDE w:val="0"/>
              <w:autoSpaceDN w:val="0"/>
              <w:adjustRightInd w:val="0"/>
              <w:rPr>
                <w:rFonts w:ascii="Times New Roman" w:hAnsi="Times New Roman"/>
              </w:rPr>
            </w:pPr>
          </w:p>
        </w:tc>
      </w:tr>
      <w:tr w:rsidR="002E799B" w14:paraId="1C4329D5" w14:textId="77777777" w:rsidTr="00511A37">
        <w:tblPrEx>
          <w:tblCellMar>
            <w:top w:w="0" w:type="dxa"/>
            <w:bottom w:w="0" w:type="dxa"/>
          </w:tblCellMar>
        </w:tblPrEx>
        <w:tc>
          <w:tcPr>
            <w:tcW w:w="2616" w:type="dxa"/>
            <w:tcBorders>
              <w:top w:val="nil"/>
              <w:left w:val="nil"/>
              <w:bottom w:val="nil"/>
              <w:right w:val="nil"/>
            </w:tcBorders>
          </w:tcPr>
          <w:p w14:paraId="4BD3CB04"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EP Veto</w:t>
            </w:r>
          </w:p>
        </w:tc>
        <w:tc>
          <w:tcPr>
            <w:tcW w:w="2016" w:type="dxa"/>
            <w:tcBorders>
              <w:top w:val="nil"/>
              <w:left w:val="nil"/>
              <w:bottom w:val="nil"/>
              <w:right w:val="nil"/>
            </w:tcBorders>
          </w:tcPr>
          <w:p w14:paraId="17203C2F"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4AB1A7D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-0.0372</w:t>
            </w:r>
          </w:p>
        </w:tc>
        <w:tc>
          <w:tcPr>
            <w:tcW w:w="2016" w:type="dxa"/>
            <w:tcBorders>
              <w:top w:val="nil"/>
              <w:left w:val="nil"/>
              <w:bottom w:val="nil"/>
              <w:right w:val="nil"/>
            </w:tcBorders>
          </w:tcPr>
          <w:p w14:paraId="1C810255" w14:textId="77777777" w:rsidR="002E799B" w:rsidRDefault="002E799B" w:rsidP="00511A37">
            <w:pPr>
              <w:widowControl w:val="0"/>
              <w:autoSpaceDE w:val="0"/>
              <w:autoSpaceDN w:val="0"/>
              <w:adjustRightInd w:val="0"/>
              <w:jc w:val="center"/>
              <w:rPr>
                <w:rFonts w:ascii="Times New Roman" w:hAnsi="Times New Roman"/>
              </w:rPr>
            </w:pPr>
          </w:p>
        </w:tc>
      </w:tr>
      <w:tr w:rsidR="002E799B" w14:paraId="44B60ADA" w14:textId="77777777" w:rsidTr="00511A37">
        <w:tblPrEx>
          <w:tblCellMar>
            <w:top w:w="0" w:type="dxa"/>
            <w:bottom w:w="0" w:type="dxa"/>
          </w:tblCellMar>
        </w:tblPrEx>
        <w:tc>
          <w:tcPr>
            <w:tcW w:w="2616" w:type="dxa"/>
            <w:tcBorders>
              <w:top w:val="nil"/>
              <w:left w:val="nil"/>
              <w:bottom w:val="nil"/>
              <w:right w:val="nil"/>
            </w:tcBorders>
          </w:tcPr>
          <w:p w14:paraId="57A897A2"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9CE1816"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27EF5F5"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(0.161)</w:t>
            </w:r>
          </w:p>
        </w:tc>
        <w:tc>
          <w:tcPr>
            <w:tcW w:w="2016" w:type="dxa"/>
            <w:tcBorders>
              <w:top w:val="nil"/>
              <w:left w:val="nil"/>
              <w:bottom w:val="nil"/>
              <w:right w:val="nil"/>
            </w:tcBorders>
          </w:tcPr>
          <w:p w14:paraId="0BAE9C7C" w14:textId="77777777" w:rsidR="002E799B" w:rsidRDefault="002E799B" w:rsidP="00511A37">
            <w:pPr>
              <w:widowControl w:val="0"/>
              <w:autoSpaceDE w:val="0"/>
              <w:autoSpaceDN w:val="0"/>
              <w:adjustRightInd w:val="0"/>
              <w:jc w:val="center"/>
              <w:rPr>
                <w:rFonts w:ascii="Times New Roman" w:hAnsi="Times New Roman"/>
              </w:rPr>
            </w:pPr>
          </w:p>
        </w:tc>
      </w:tr>
      <w:tr w:rsidR="002E799B" w14:paraId="197F9F42" w14:textId="77777777" w:rsidTr="00511A37">
        <w:tblPrEx>
          <w:tblCellMar>
            <w:top w:w="0" w:type="dxa"/>
            <w:bottom w:w="0" w:type="dxa"/>
          </w:tblCellMar>
        </w:tblPrEx>
        <w:tc>
          <w:tcPr>
            <w:tcW w:w="2616" w:type="dxa"/>
            <w:tcBorders>
              <w:top w:val="nil"/>
              <w:left w:val="nil"/>
              <w:bottom w:val="nil"/>
              <w:right w:val="nil"/>
            </w:tcBorders>
          </w:tcPr>
          <w:p w14:paraId="16CB23D1"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A29BB82"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E0B0EA3"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93D8E10" w14:textId="77777777" w:rsidR="002E799B" w:rsidRDefault="002E799B" w:rsidP="00511A37">
            <w:pPr>
              <w:widowControl w:val="0"/>
              <w:autoSpaceDE w:val="0"/>
              <w:autoSpaceDN w:val="0"/>
              <w:adjustRightInd w:val="0"/>
              <w:rPr>
                <w:rFonts w:ascii="Times New Roman" w:hAnsi="Times New Roman"/>
              </w:rPr>
            </w:pPr>
          </w:p>
        </w:tc>
      </w:tr>
      <w:tr w:rsidR="002E799B" w14:paraId="261BA689" w14:textId="77777777" w:rsidTr="00511A37">
        <w:tblPrEx>
          <w:tblCellMar>
            <w:top w:w="0" w:type="dxa"/>
            <w:bottom w:w="0" w:type="dxa"/>
          </w:tblCellMar>
        </w:tblPrEx>
        <w:tc>
          <w:tcPr>
            <w:tcW w:w="2616" w:type="dxa"/>
            <w:tcBorders>
              <w:top w:val="nil"/>
              <w:left w:val="nil"/>
              <w:bottom w:val="nil"/>
              <w:right w:val="nil"/>
            </w:tcBorders>
          </w:tcPr>
          <w:p w14:paraId="500D573B"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EP Veto * MS Net</w:t>
            </w:r>
          </w:p>
        </w:tc>
        <w:tc>
          <w:tcPr>
            <w:tcW w:w="2016" w:type="dxa"/>
            <w:tcBorders>
              <w:top w:val="nil"/>
              <w:left w:val="nil"/>
              <w:bottom w:val="nil"/>
              <w:right w:val="nil"/>
            </w:tcBorders>
          </w:tcPr>
          <w:p w14:paraId="2AD84B60"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46D06CA7"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-1.905</w:t>
            </w:r>
          </w:p>
        </w:tc>
        <w:tc>
          <w:tcPr>
            <w:tcW w:w="2016" w:type="dxa"/>
            <w:tcBorders>
              <w:top w:val="nil"/>
              <w:left w:val="nil"/>
              <w:bottom w:val="nil"/>
              <w:right w:val="nil"/>
            </w:tcBorders>
          </w:tcPr>
          <w:p w14:paraId="44E52726" w14:textId="77777777" w:rsidR="002E799B" w:rsidRDefault="002E799B" w:rsidP="00511A37">
            <w:pPr>
              <w:widowControl w:val="0"/>
              <w:autoSpaceDE w:val="0"/>
              <w:autoSpaceDN w:val="0"/>
              <w:adjustRightInd w:val="0"/>
              <w:jc w:val="center"/>
              <w:rPr>
                <w:rFonts w:ascii="Times New Roman" w:hAnsi="Times New Roman"/>
              </w:rPr>
            </w:pPr>
          </w:p>
        </w:tc>
      </w:tr>
      <w:tr w:rsidR="002E799B" w14:paraId="3A6906E0" w14:textId="77777777" w:rsidTr="00511A37">
        <w:tblPrEx>
          <w:tblCellMar>
            <w:top w:w="0" w:type="dxa"/>
            <w:bottom w:w="0" w:type="dxa"/>
          </w:tblCellMar>
        </w:tblPrEx>
        <w:tc>
          <w:tcPr>
            <w:tcW w:w="2616" w:type="dxa"/>
            <w:tcBorders>
              <w:top w:val="nil"/>
              <w:left w:val="nil"/>
              <w:bottom w:val="nil"/>
              <w:right w:val="nil"/>
            </w:tcBorders>
          </w:tcPr>
          <w:p w14:paraId="0DD0A56C"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866D6EF"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3C50593B"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(3.547)</w:t>
            </w:r>
          </w:p>
        </w:tc>
        <w:tc>
          <w:tcPr>
            <w:tcW w:w="2016" w:type="dxa"/>
            <w:tcBorders>
              <w:top w:val="nil"/>
              <w:left w:val="nil"/>
              <w:bottom w:val="nil"/>
              <w:right w:val="nil"/>
            </w:tcBorders>
          </w:tcPr>
          <w:p w14:paraId="717BEE11" w14:textId="77777777" w:rsidR="002E799B" w:rsidRDefault="002E799B" w:rsidP="00511A37">
            <w:pPr>
              <w:widowControl w:val="0"/>
              <w:autoSpaceDE w:val="0"/>
              <w:autoSpaceDN w:val="0"/>
              <w:adjustRightInd w:val="0"/>
              <w:jc w:val="center"/>
              <w:rPr>
                <w:rFonts w:ascii="Times New Roman" w:hAnsi="Times New Roman"/>
              </w:rPr>
            </w:pPr>
          </w:p>
        </w:tc>
      </w:tr>
      <w:tr w:rsidR="002E799B" w14:paraId="4BD8EA8F" w14:textId="77777777" w:rsidTr="00511A37">
        <w:tblPrEx>
          <w:tblCellMar>
            <w:top w:w="0" w:type="dxa"/>
            <w:bottom w:w="0" w:type="dxa"/>
          </w:tblCellMar>
        </w:tblPrEx>
        <w:tc>
          <w:tcPr>
            <w:tcW w:w="2616" w:type="dxa"/>
            <w:tcBorders>
              <w:top w:val="nil"/>
              <w:left w:val="nil"/>
              <w:bottom w:val="nil"/>
              <w:right w:val="nil"/>
            </w:tcBorders>
          </w:tcPr>
          <w:p w14:paraId="6A398D39"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CEBB958"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A32458D"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5A3113C" w14:textId="77777777" w:rsidR="002E799B" w:rsidRDefault="002E799B" w:rsidP="00511A37">
            <w:pPr>
              <w:widowControl w:val="0"/>
              <w:autoSpaceDE w:val="0"/>
              <w:autoSpaceDN w:val="0"/>
              <w:adjustRightInd w:val="0"/>
              <w:rPr>
                <w:rFonts w:ascii="Times New Roman" w:hAnsi="Times New Roman"/>
              </w:rPr>
            </w:pPr>
          </w:p>
        </w:tc>
      </w:tr>
      <w:tr w:rsidR="002E799B" w14:paraId="13740078" w14:textId="77777777" w:rsidTr="00511A37">
        <w:tblPrEx>
          <w:tblCellMar>
            <w:top w:w="0" w:type="dxa"/>
            <w:bottom w:w="0" w:type="dxa"/>
          </w:tblCellMar>
        </w:tblPrEx>
        <w:tc>
          <w:tcPr>
            <w:tcW w:w="2616" w:type="dxa"/>
            <w:tcBorders>
              <w:top w:val="nil"/>
              <w:left w:val="nil"/>
              <w:bottom w:val="nil"/>
              <w:right w:val="nil"/>
            </w:tcBorders>
          </w:tcPr>
          <w:p w14:paraId="5BAB5FE4"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Goods</w:t>
            </w:r>
          </w:p>
        </w:tc>
        <w:tc>
          <w:tcPr>
            <w:tcW w:w="2016" w:type="dxa"/>
            <w:tcBorders>
              <w:top w:val="nil"/>
              <w:left w:val="nil"/>
              <w:bottom w:val="nil"/>
              <w:right w:val="nil"/>
            </w:tcBorders>
          </w:tcPr>
          <w:p w14:paraId="588A95E7"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57A5A438"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0899E85E"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-0.203</w:t>
            </w:r>
          </w:p>
        </w:tc>
      </w:tr>
      <w:tr w:rsidR="002E799B" w14:paraId="740ACC7F" w14:textId="77777777" w:rsidTr="00511A37">
        <w:tblPrEx>
          <w:tblCellMar>
            <w:top w:w="0" w:type="dxa"/>
            <w:bottom w:w="0" w:type="dxa"/>
          </w:tblCellMar>
        </w:tblPrEx>
        <w:tc>
          <w:tcPr>
            <w:tcW w:w="2616" w:type="dxa"/>
            <w:tcBorders>
              <w:top w:val="nil"/>
              <w:left w:val="nil"/>
              <w:bottom w:val="nil"/>
              <w:right w:val="nil"/>
            </w:tcBorders>
          </w:tcPr>
          <w:p w14:paraId="6442B669"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E5CCA89"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8D2D54A"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4B4D6AE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(0.203)</w:t>
            </w:r>
          </w:p>
        </w:tc>
      </w:tr>
      <w:tr w:rsidR="002E799B" w14:paraId="141E75FD" w14:textId="77777777" w:rsidTr="00511A37">
        <w:tblPrEx>
          <w:tblCellMar>
            <w:top w:w="0" w:type="dxa"/>
            <w:bottom w:w="0" w:type="dxa"/>
          </w:tblCellMar>
        </w:tblPrEx>
        <w:tc>
          <w:tcPr>
            <w:tcW w:w="2616" w:type="dxa"/>
            <w:tcBorders>
              <w:top w:val="nil"/>
              <w:left w:val="nil"/>
              <w:bottom w:val="nil"/>
              <w:right w:val="nil"/>
            </w:tcBorders>
          </w:tcPr>
          <w:p w14:paraId="5D542743"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0730A63"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86231A9"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A17F4FD" w14:textId="77777777" w:rsidR="002E799B" w:rsidRDefault="002E799B" w:rsidP="00511A37">
            <w:pPr>
              <w:widowControl w:val="0"/>
              <w:autoSpaceDE w:val="0"/>
              <w:autoSpaceDN w:val="0"/>
              <w:adjustRightInd w:val="0"/>
              <w:rPr>
                <w:rFonts w:ascii="Times New Roman" w:hAnsi="Times New Roman"/>
              </w:rPr>
            </w:pPr>
          </w:p>
        </w:tc>
      </w:tr>
      <w:tr w:rsidR="002E799B" w14:paraId="405F1405" w14:textId="77777777" w:rsidTr="00511A37">
        <w:tblPrEx>
          <w:tblCellMar>
            <w:top w:w="0" w:type="dxa"/>
            <w:bottom w:w="0" w:type="dxa"/>
          </w:tblCellMar>
        </w:tblPrEx>
        <w:tc>
          <w:tcPr>
            <w:tcW w:w="2616" w:type="dxa"/>
            <w:tcBorders>
              <w:top w:val="nil"/>
              <w:left w:val="nil"/>
              <w:bottom w:val="nil"/>
              <w:right w:val="nil"/>
            </w:tcBorders>
          </w:tcPr>
          <w:p w14:paraId="6FA129D9"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Agriculture</w:t>
            </w:r>
          </w:p>
        </w:tc>
        <w:tc>
          <w:tcPr>
            <w:tcW w:w="2016" w:type="dxa"/>
            <w:tcBorders>
              <w:top w:val="nil"/>
              <w:left w:val="nil"/>
              <w:bottom w:val="nil"/>
              <w:right w:val="nil"/>
            </w:tcBorders>
          </w:tcPr>
          <w:p w14:paraId="14CF59DA"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1B6C8F3"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0C47FA6E"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0.0368</w:t>
            </w:r>
          </w:p>
        </w:tc>
      </w:tr>
      <w:tr w:rsidR="002E799B" w14:paraId="478F5A90" w14:textId="77777777" w:rsidTr="00511A37">
        <w:tblPrEx>
          <w:tblCellMar>
            <w:top w:w="0" w:type="dxa"/>
            <w:bottom w:w="0" w:type="dxa"/>
          </w:tblCellMar>
        </w:tblPrEx>
        <w:tc>
          <w:tcPr>
            <w:tcW w:w="2616" w:type="dxa"/>
            <w:tcBorders>
              <w:top w:val="nil"/>
              <w:left w:val="nil"/>
              <w:bottom w:val="nil"/>
              <w:right w:val="nil"/>
            </w:tcBorders>
          </w:tcPr>
          <w:p w14:paraId="1A8FD74A"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B42F2B3"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2657512"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39492EA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(0.132)</w:t>
            </w:r>
          </w:p>
        </w:tc>
      </w:tr>
      <w:tr w:rsidR="002E799B" w14:paraId="1E9CAE35" w14:textId="77777777" w:rsidTr="00511A37">
        <w:tblPrEx>
          <w:tblCellMar>
            <w:top w:w="0" w:type="dxa"/>
            <w:bottom w:w="0" w:type="dxa"/>
          </w:tblCellMar>
        </w:tblPrEx>
        <w:tc>
          <w:tcPr>
            <w:tcW w:w="2616" w:type="dxa"/>
            <w:tcBorders>
              <w:top w:val="nil"/>
              <w:left w:val="nil"/>
              <w:bottom w:val="nil"/>
              <w:right w:val="nil"/>
            </w:tcBorders>
          </w:tcPr>
          <w:p w14:paraId="6192325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0A2CA6A"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03C19ED"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CBB75A2" w14:textId="77777777" w:rsidR="002E799B" w:rsidRDefault="002E799B" w:rsidP="00511A37">
            <w:pPr>
              <w:widowControl w:val="0"/>
              <w:autoSpaceDE w:val="0"/>
              <w:autoSpaceDN w:val="0"/>
              <w:adjustRightInd w:val="0"/>
              <w:rPr>
                <w:rFonts w:ascii="Times New Roman" w:hAnsi="Times New Roman"/>
              </w:rPr>
            </w:pPr>
          </w:p>
        </w:tc>
      </w:tr>
      <w:tr w:rsidR="002E799B" w14:paraId="4D1F473E" w14:textId="77777777" w:rsidTr="00511A37">
        <w:tblPrEx>
          <w:tblCellMar>
            <w:top w:w="0" w:type="dxa"/>
            <w:bottom w:w="0" w:type="dxa"/>
          </w:tblCellMar>
        </w:tblPrEx>
        <w:tc>
          <w:tcPr>
            <w:tcW w:w="2616" w:type="dxa"/>
            <w:tcBorders>
              <w:top w:val="nil"/>
              <w:left w:val="nil"/>
              <w:bottom w:val="nil"/>
              <w:right w:val="nil"/>
            </w:tcBorders>
          </w:tcPr>
          <w:p w14:paraId="7BD3DF5F"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Workers</w:t>
            </w:r>
          </w:p>
        </w:tc>
        <w:tc>
          <w:tcPr>
            <w:tcW w:w="2016" w:type="dxa"/>
            <w:tcBorders>
              <w:top w:val="nil"/>
              <w:left w:val="nil"/>
              <w:bottom w:val="nil"/>
              <w:right w:val="nil"/>
            </w:tcBorders>
          </w:tcPr>
          <w:p w14:paraId="0A2D4197"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0539FDEC"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CCF05D4"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0.572</w:t>
            </w:r>
            <w:r>
              <w:rPr>
                <w:rFonts w:ascii="Times New Roman" w:hAnsi="Times New Roman"/>
                <w:vertAlign w:val="superscript"/>
              </w:rPr>
              <w:t>*</w:t>
            </w:r>
          </w:p>
        </w:tc>
      </w:tr>
      <w:tr w:rsidR="002E799B" w14:paraId="32F3AF76" w14:textId="77777777" w:rsidTr="00511A37">
        <w:tblPrEx>
          <w:tblCellMar>
            <w:top w:w="0" w:type="dxa"/>
            <w:bottom w:w="0" w:type="dxa"/>
          </w:tblCellMar>
        </w:tblPrEx>
        <w:tc>
          <w:tcPr>
            <w:tcW w:w="2616" w:type="dxa"/>
            <w:tcBorders>
              <w:top w:val="nil"/>
              <w:left w:val="nil"/>
              <w:bottom w:val="nil"/>
              <w:right w:val="nil"/>
            </w:tcBorders>
          </w:tcPr>
          <w:p w14:paraId="43FCFC53"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B68DE15"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611CB4FA"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2557C37F"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(0.245)</w:t>
            </w:r>
          </w:p>
        </w:tc>
      </w:tr>
      <w:tr w:rsidR="002E799B" w14:paraId="4E097B34" w14:textId="77777777" w:rsidTr="00511A37">
        <w:tblPrEx>
          <w:tblCellMar>
            <w:top w:w="0" w:type="dxa"/>
            <w:bottom w:w="0" w:type="dxa"/>
          </w:tblCellMar>
        </w:tblPrEx>
        <w:tc>
          <w:tcPr>
            <w:tcW w:w="2616" w:type="dxa"/>
            <w:tcBorders>
              <w:top w:val="nil"/>
              <w:left w:val="nil"/>
              <w:bottom w:val="nil"/>
              <w:right w:val="nil"/>
            </w:tcBorders>
          </w:tcPr>
          <w:p w14:paraId="499F10E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658D30C"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8A55EB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B301104" w14:textId="77777777" w:rsidR="002E799B" w:rsidRDefault="002E799B" w:rsidP="00511A37">
            <w:pPr>
              <w:widowControl w:val="0"/>
              <w:autoSpaceDE w:val="0"/>
              <w:autoSpaceDN w:val="0"/>
              <w:adjustRightInd w:val="0"/>
              <w:rPr>
                <w:rFonts w:ascii="Times New Roman" w:hAnsi="Times New Roman"/>
              </w:rPr>
            </w:pPr>
          </w:p>
        </w:tc>
      </w:tr>
      <w:tr w:rsidR="002E799B" w14:paraId="2E3B0FC0" w14:textId="77777777" w:rsidTr="00511A37">
        <w:tblPrEx>
          <w:tblCellMar>
            <w:top w:w="0" w:type="dxa"/>
            <w:bottom w:w="0" w:type="dxa"/>
          </w:tblCellMar>
        </w:tblPrEx>
        <w:tc>
          <w:tcPr>
            <w:tcW w:w="2616" w:type="dxa"/>
            <w:tcBorders>
              <w:top w:val="nil"/>
              <w:left w:val="nil"/>
              <w:bottom w:val="nil"/>
              <w:right w:val="nil"/>
            </w:tcBorders>
          </w:tcPr>
          <w:p w14:paraId="5CC84EEF"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Establishment</w:t>
            </w:r>
          </w:p>
        </w:tc>
        <w:tc>
          <w:tcPr>
            <w:tcW w:w="2016" w:type="dxa"/>
            <w:tcBorders>
              <w:top w:val="nil"/>
              <w:left w:val="nil"/>
              <w:bottom w:val="nil"/>
              <w:right w:val="nil"/>
            </w:tcBorders>
          </w:tcPr>
          <w:p w14:paraId="0B8906E3"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22D9E0B3"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B8DE947"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-0.187</w:t>
            </w:r>
          </w:p>
        </w:tc>
      </w:tr>
      <w:tr w:rsidR="002E799B" w14:paraId="7EFC208E" w14:textId="77777777" w:rsidTr="00511A37">
        <w:tblPrEx>
          <w:tblCellMar>
            <w:top w:w="0" w:type="dxa"/>
            <w:bottom w:w="0" w:type="dxa"/>
          </w:tblCellMar>
        </w:tblPrEx>
        <w:tc>
          <w:tcPr>
            <w:tcW w:w="2616" w:type="dxa"/>
            <w:tcBorders>
              <w:top w:val="nil"/>
              <w:left w:val="nil"/>
              <w:bottom w:val="nil"/>
              <w:right w:val="nil"/>
            </w:tcBorders>
          </w:tcPr>
          <w:p w14:paraId="2AD8131D"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E621B9F"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54CA85AB"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876C1F7"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(0.171)</w:t>
            </w:r>
          </w:p>
        </w:tc>
      </w:tr>
      <w:tr w:rsidR="002E799B" w14:paraId="4CF6A6C0" w14:textId="77777777" w:rsidTr="00511A37">
        <w:tblPrEx>
          <w:tblCellMar>
            <w:top w:w="0" w:type="dxa"/>
            <w:bottom w:w="0" w:type="dxa"/>
          </w:tblCellMar>
        </w:tblPrEx>
        <w:tc>
          <w:tcPr>
            <w:tcW w:w="2616" w:type="dxa"/>
            <w:tcBorders>
              <w:top w:val="nil"/>
              <w:left w:val="nil"/>
              <w:bottom w:val="nil"/>
              <w:right w:val="nil"/>
            </w:tcBorders>
          </w:tcPr>
          <w:p w14:paraId="2979E34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41189E4"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FE3BAE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E863046" w14:textId="77777777" w:rsidR="002E799B" w:rsidRDefault="002E799B" w:rsidP="00511A37">
            <w:pPr>
              <w:widowControl w:val="0"/>
              <w:autoSpaceDE w:val="0"/>
              <w:autoSpaceDN w:val="0"/>
              <w:adjustRightInd w:val="0"/>
              <w:rPr>
                <w:rFonts w:ascii="Times New Roman" w:hAnsi="Times New Roman"/>
              </w:rPr>
            </w:pPr>
          </w:p>
        </w:tc>
      </w:tr>
      <w:tr w:rsidR="002E799B" w14:paraId="10B1AE7E" w14:textId="77777777" w:rsidTr="00511A37">
        <w:tblPrEx>
          <w:tblCellMar>
            <w:top w:w="0" w:type="dxa"/>
            <w:bottom w:w="0" w:type="dxa"/>
          </w:tblCellMar>
        </w:tblPrEx>
        <w:tc>
          <w:tcPr>
            <w:tcW w:w="2616" w:type="dxa"/>
            <w:tcBorders>
              <w:top w:val="nil"/>
              <w:left w:val="nil"/>
              <w:bottom w:val="nil"/>
              <w:right w:val="nil"/>
            </w:tcBorders>
          </w:tcPr>
          <w:p w14:paraId="2D67EBDE"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Services</w:t>
            </w:r>
          </w:p>
        </w:tc>
        <w:tc>
          <w:tcPr>
            <w:tcW w:w="2016" w:type="dxa"/>
            <w:tcBorders>
              <w:top w:val="nil"/>
              <w:left w:val="nil"/>
              <w:bottom w:val="nil"/>
              <w:right w:val="nil"/>
            </w:tcBorders>
          </w:tcPr>
          <w:p w14:paraId="06D06E81"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052C0FF3"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066CA2E4"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0.0580</w:t>
            </w:r>
          </w:p>
        </w:tc>
      </w:tr>
      <w:tr w:rsidR="002E799B" w14:paraId="5BECA078" w14:textId="77777777" w:rsidTr="00511A37">
        <w:tblPrEx>
          <w:tblCellMar>
            <w:top w:w="0" w:type="dxa"/>
            <w:bottom w:w="0" w:type="dxa"/>
          </w:tblCellMar>
        </w:tblPrEx>
        <w:tc>
          <w:tcPr>
            <w:tcW w:w="2616" w:type="dxa"/>
            <w:tcBorders>
              <w:top w:val="nil"/>
              <w:left w:val="nil"/>
              <w:bottom w:val="nil"/>
              <w:right w:val="nil"/>
            </w:tcBorders>
          </w:tcPr>
          <w:p w14:paraId="0B7FCAF4"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099A870"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61DFBA8F"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5F04F30A"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(0.214)</w:t>
            </w:r>
          </w:p>
        </w:tc>
      </w:tr>
      <w:tr w:rsidR="002E799B" w14:paraId="0883611A" w14:textId="77777777" w:rsidTr="00511A37">
        <w:tblPrEx>
          <w:tblCellMar>
            <w:top w:w="0" w:type="dxa"/>
            <w:bottom w:w="0" w:type="dxa"/>
          </w:tblCellMar>
        </w:tblPrEx>
        <w:tc>
          <w:tcPr>
            <w:tcW w:w="2616" w:type="dxa"/>
            <w:tcBorders>
              <w:top w:val="nil"/>
              <w:left w:val="nil"/>
              <w:bottom w:val="nil"/>
              <w:right w:val="nil"/>
            </w:tcBorders>
          </w:tcPr>
          <w:p w14:paraId="1FD513A2"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C5EE0E1"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EE5E5F6"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4B4007D" w14:textId="77777777" w:rsidR="002E799B" w:rsidRDefault="002E799B" w:rsidP="00511A37">
            <w:pPr>
              <w:widowControl w:val="0"/>
              <w:autoSpaceDE w:val="0"/>
              <w:autoSpaceDN w:val="0"/>
              <w:adjustRightInd w:val="0"/>
              <w:rPr>
                <w:rFonts w:ascii="Times New Roman" w:hAnsi="Times New Roman"/>
              </w:rPr>
            </w:pPr>
          </w:p>
        </w:tc>
      </w:tr>
      <w:tr w:rsidR="002E799B" w14:paraId="3C423A5F" w14:textId="77777777" w:rsidTr="00511A37">
        <w:tblPrEx>
          <w:tblCellMar>
            <w:top w:w="0" w:type="dxa"/>
            <w:bottom w:w="0" w:type="dxa"/>
          </w:tblCellMar>
        </w:tblPrEx>
        <w:tc>
          <w:tcPr>
            <w:tcW w:w="2616" w:type="dxa"/>
            <w:tcBorders>
              <w:top w:val="nil"/>
              <w:left w:val="nil"/>
              <w:bottom w:val="nil"/>
              <w:right w:val="nil"/>
            </w:tcBorders>
          </w:tcPr>
          <w:p w14:paraId="3330E3EF"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Capital</w:t>
            </w:r>
          </w:p>
        </w:tc>
        <w:tc>
          <w:tcPr>
            <w:tcW w:w="2016" w:type="dxa"/>
            <w:tcBorders>
              <w:top w:val="nil"/>
              <w:left w:val="nil"/>
              <w:bottom w:val="nil"/>
              <w:right w:val="nil"/>
            </w:tcBorders>
          </w:tcPr>
          <w:p w14:paraId="75A51838"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599F18B9"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47845F20"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0.137</w:t>
            </w:r>
          </w:p>
        </w:tc>
      </w:tr>
      <w:tr w:rsidR="002E799B" w14:paraId="0BB025B0" w14:textId="77777777" w:rsidTr="00511A37">
        <w:tblPrEx>
          <w:tblCellMar>
            <w:top w:w="0" w:type="dxa"/>
            <w:bottom w:w="0" w:type="dxa"/>
          </w:tblCellMar>
        </w:tblPrEx>
        <w:tc>
          <w:tcPr>
            <w:tcW w:w="2616" w:type="dxa"/>
            <w:tcBorders>
              <w:top w:val="nil"/>
              <w:left w:val="nil"/>
              <w:bottom w:val="nil"/>
              <w:right w:val="nil"/>
            </w:tcBorders>
          </w:tcPr>
          <w:p w14:paraId="53C62FFE"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52C092C"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3568DE63"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3284A1E"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(0.182)</w:t>
            </w:r>
          </w:p>
        </w:tc>
      </w:tr>
      <w:tr w:rsidR="002E799B" w14:paraId="0BDBB145" w14:textId="77777777" w:rsidTr="00511A37">
        <w:tblPrEx>
          <w:tblCellMar>
            <w:top w:w="0" w:type="dxa"/>
            <w:bottom w:w="0" w:type="dxa"/>
          </w:tblCellMar>
        </w:tblPrEx>
        <w:tc>
          <w:tcPr>
            <w:tcW w:w="2616" w:type="dxa"/>
            <w:tcBorders>
              <w:top w:val="nil"/>
              <w:left w:val="nil"/>
              <w:bottom w:val="nil"/>
              <w:right w:val="nil"/>
            </w:tcBorders>
          </w:tcPr>
          <w:p w14:paraId="7FA27AA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748F8FF"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5850050"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A69E750" w14:textId="77777777" w:rsidR="002E799B" w:rsidRDefault="002E799B" w:rsidP="00511A37">
            <w:pPr>
              <w:widowControl w:val="0"/>
              <w:autoSpaceDE w:val="0"/>
              <w:autoSpaceDN w:val="0"/>
              <w:adjustRightInd w:val="0"/>
              <w:rPr>
                <w:rFonts w:ascii="Times New Roman" w:hAnsi="Times New Roman"/>
              </w:rPr>
            </w:pPr>
          </w:p>
        </w:tc>
      </w:tr>
      <w:tr w:rsidR="002E799B" w14:paraId="638DD65F" w14:textId="77777777" w:rsidTr="00511A37">
        <w:tblPrEx>
          <w:tblCellMar>
            <w:top w:w="0" w:type="dxa"/>
            <w:bottom w:w="0" w:type="dxa"/>
          </w:tblCellMar>
        </w:tblPrEx>
        <w:tc>
          <w:tcPr>
            <w:tcW w:w="2616" w:type="dxa"/>
            <w:tcBorders>
              <w:top w:val="nil"/>
              <w:left w:val="nil"/>
              <w:bottom w:val="nil"/>
              <w:right w:val="nil"/>
            </w:tcBorders>
          </w:tcPr>
          <w:p w14:paraId="062C694E"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Transport</w:t>
            </w:r>
          </w:p>
        </w:tc>
        <w:tc>
          <w:tcPr>
            <w:tcW w:w="2016" w:type="dxa"/>
            <w:tcBorders>
              <w:top w:val="nil"/>
              <w:left w:val="nil"/>
              <w:bottom w:val="nil"/>
              <w:right w:val="nil"/>
            </w:tcBorders>
          </w:tcPr>
          <w:p w14:paraId="70D08284"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0A2BF01A"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52A6C985"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-0.604</w:t>
            </w:r>
            <w:r>
              <w:rPr>
                <w:rFonts w:ascii="Times New Roman" w:hAnsi="Times New Roman"/>
                <w:vertAlign w:val="superscript"/>
              </w:rPr>
              <w:t>*</w:t>
            </w:r>
          </w:p>
        </w:tc>
      </w:tr>
      <w:tr w:rsidR="002E799B" w14:paraId="0C9E6888" w14:textId="77777777" w:rsidTr="00511A37">
        <w:tblPrEx>
          <w:tblCellMar>
            <w:top w:w="0" w:type="dxa"/>
            <w:bottom w:w="0" w:type="dxa"/>
          </w:tblCellMar>
        </w:tblPrEx>
        <w:tc>
          <w:tcPr>
            <w:tcW w:w="2616" w:type="dxa"/>
            <w:tcBorders>
              <w:top w:val="nil"/>
              <w:left w:val="nil"/>
              <w:bottom w:val="nil"/>
              <w:right w:val="nil"/>
            </w:tcBorders>
          </w:tcPr>
          <w:p w14:paraId="5365D94C"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54E09D6"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DDC0653"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CEB5EBE"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(0.295)</w:t>
            </w:r>
          </w:p>
        </w:tc>
      </w:tr>
      <w:tr w:rsidR="002E799B" w14:paraId="08F52C00" w14:textId="77777777" w:rsidTr="00511A37">
        <w:tblPrEx>
          <w:tblCellMar>
            <w:top w:w="0" w:type="dxa"/>
            <w:bottom w:w="0" w:type="dxa"/>
          </w:tblCellMar>
        </w:tblPrEx>
        <w:tc>
          <w:tcPr>
            <w:tcW w:w="2616" w:type="dxa"/>
            <w:tcBorders>
              <w:top w:val="nil"/>
              <w:left w:val="nil"/>
              <w:bottom w:val="nil"/>
              <w:right w:val="nil"/>
            </w:tcBorders>
          </w:tcPr>
          <w:p w14:paraId="341CE42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3696F3A"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EDCF3B7"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D7E7FAF" w14:textId="77777777" w:rsidR="002E799B" w:rsidRDefault="002E799B" w:rsidP="00511A37">
            <w:pPr>
              <w:widowControl w:val="0"/>
              <w:autoSpaceDE w:val="0"/>
              <w:autoSpaceDN w:val="0"/>
              <w:adjustRightInd w:val="0"/>
              <w:rPr>
                <w:rFonts w:ascii="Times New Roman" w:hAnsi="Times New Roman"/>
              </w:rPr>
            </w:pPr>
          </w:p>
        </w:tc>
      </w:tr>
      <w:tr w:rsidR="002E799B" w14:paraId="52DAD924" w14:textId="77777777" w:rsidTr="00511A37">
        <w:tblPrEx>
          <w:tblCellMar>
            <w:top w:w="0" w:type="dxa"/>
            <w:bottom w:w="0" w:type="dxa"/>
          </w:tblCellMar>
        </w:tblPrEx>
        <w:tc>
          <w:tcPr>
            <w:tcW w:w="2616" w:type="dxa"/>
            <w:tcBorders>
              <w:top w:val="nil"/>
              <w:left w:val="nil"/>
              <w:bottom w:val="nil"/>
              <w:right w:val="nil"/>
            </w:tcBorders>
          </w:tcPr>
          <w:p w14:paraId="40A5C428"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Competition</w:t>
            </w:r>
          </w:p>
        </w:tc>
        <w:tc>
          <w:tcPr>
            <w:tcW w:w="2016" w:type="dxa"/>
            <w:tcBorders>
              <w:top w:val="nil"/>
              <w:left w:val="nil"/>
              <w:bottom w:val="nil"/>
              <w:right w:val="nil"/>
            </w:tcBorders>
          </w:tcPr>
          <w:p w14:paraId="3263094D"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C688F7D"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25570F2"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-0.401</w:t>
            </w:r>
            <w:r>
              <w:rPr>
                <w:rFonts w:ascii="Times New Roman" w:hAnsi="Times New Roman"/>
                <w:vertAlign w:val="superscript"/>
              </w:rPr>
              <w:t>**</w:t>
            </w:r>
          </w:p>
        </w:tc>
      </w:tr>
      <w:tr w:rsidR="002E799B" w14:paraId="1E8CBDD5" w14:textId="77777777" w:rsidTr="00511A37">
        <w:tblPrEx>
          <w:tblCellMar>
            <w:top w:w="0" w:type="dxa"/>
            <w:bottom w:w="0" w:type="dxa"/>
          </w:tblCellMar>
        </w:tblPrEx>
        <w:tc>
          <w:tcPr>
            <w:tcW w:w="2616" w:type="dxa"/>
            <w:tcBorders>
              <w:top w:val="nil"/>
              <w:left w:val="nil"/>
              <w:bottom w:val="nil"/>
              <w:right w:val="nil"/>
            </w:tcBorders>
          </w:tcPr>
          <w:p w14:paraId="30C92334"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2F5855A9"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6ADB1114"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12B208D"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(0.147)</w:t>
            </w:r>
          </w:p>
        </w:tc>
      </w:tr>
      <w:tr w:rsidR="002E799B" w14:paraId="1C416A3E" w14:textId="77777777" w:rsidTr="00511A37">
        <w:tblPrEx>
          <w:tblCellMar>
            <w:top w:w="0" w:type="dxa"/>
            <w:bottom w:w="0" w:type="dxa"/>
          </w:tblCellMar>
        </w:tblPrEx>
        <w:tc>
          <w:tcPr>
            <w:tcW w:w="2616" w:type="dxa"/>
            <w:tcBorders>
              <w:top w:val="nil"/>
              <w:left w:val="nil"/>
              <w:bottom w:val="nil"/>
              <w:right w:val="nil"/>
            </w:tcBorders>
          </w:tcPr>
          <w:p w14:paraId="185B4A8E"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147E994"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ED88AE3"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455022E" w14:textId="77777777" w:rsidR="002E799B" w:rsidRDefault="002E799B" w:rsidP="00511A37">
            <w:pPr>
              <w:widowControl w:val="0"/>
              <w:autoSpaceDE w:val="0"/>
              <w:autoSpaceDN w:val="0"/>
              <w:adjustRightInd w:val="0"/>
              <w:rPr>
                <w:rFonts w:ascii="Times New Roman" w:hAnsi="Times New Roman"/>
              </w:rPr>
            </w:pPr>
          </w:p>
        </w:tc>
      </w:tr>
      <w:tr w:rsidR="002E799B" w14:paraId="530A3069" w14:textId="77777777" w:rsidTr="00511A37">
        <w:tblPrEx>
          <w:tblCellMar>
            <w:top w:w="0" w:type="dxa"/>
            <w:bottom w:w="0" w:type="dxa"/>
          </w:tblCellMar>
        </w:tblPrEx>
        <w:tc>
          <w:tcPr>
            <w:tcW w:w="2616" w:type="dxa"/>
            <w:tcBorders>
              <w:top w:val="nil"/>
              <w:left w:val="nil"/>
              <w:bottom w:val="nil"/>
              <w:right w:val="nil"/>
            </w:tcBorders>
          </w:tcPr>
          <w:p w14:paraId="14958399"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Tax</w:t>
            </w:r>
          </w:p>
        </w:tc>
        <w:tc>
          <w:tcPr>
            <w:tcW w:w="2016" w:type="dxa"/>
            <w:tcBorders>
              <w:top w:val="nil"/>
              <w:left w:val="nil"/>
              <w:bottom w:val="nil"/>
              <w:right w:val="nil"/>
            </w:tcBorders>
          </w:tcPr>
          <w:p w14:paraId="46E64B77"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0BE9E7A1"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2767C55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0.255</w:t>
            </w:r>
            <w:r>
              <w:rPr>
                <w:rFonts w:ascii="Times New Roman" w:hAnsi="Times New Roman"/>
                <w:vertAlign w:val="superscript"/>
              </w:rPr>
              <w:t>+</w:t>
            </w:r>
          </w:p>
        </w:tc>
      </w:tr>
      <w:tr w:rsidR="002E799B" w14:paraId="38542B7F" w14:textId="77777777" w:rsidTr="00511A37">
        <w:tblPrEx>
          <w:tblCellMar>
            <w:top w:w="0" w:type="dxa"/>
            <w:bottom w:w="0" w:type="dxa"/>
          </w:tblCellMar>
        </w:tblPrEx>
        <w:tc>
          <w:tcPr>
            <w:tcW w:w="2616" w:type="dxa"/>
            <w:tcBorders>
              <w:top w:val="nil"/>
              <w:left w:val="nil"/>
              <w:bottom w:val="nil"/>
              <w:right w:val="nil"/>
            </w:tcBorders>
          </w:tcPr>
          <w:p w14:paraId="48F00083"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A508FA9"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3FA419B7"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57B5AB9"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(0.149)</w:t>
            </w:r>
          </w:p>
        </w:tc>
      </w:tr>
      <w:tr w:rsidR="002E799B" w14:paraId="70059204" w14:textId="77777777" w:rsidTr="00511A37">
        <w:tblPrEx>
          <w:tblCellMar>
            <w:top w:w="0" w:type="dxa"/>
            <w:bottom w:w="0" w:type="dxa"/>
          </w:tblCellMar>
        </w:tblPrEx>
        <w:tc>
          <w:tcPr>
            <w:tcW w:w="2616" w:type="dxa"/>
            <w:tcBorders>
              <w:top w:val="nil"/>
              <w:left w:val="nil"/>
              <w:bottom w:val="nil"/>
              <w:right w:val="nil"/>
            </w:tcBorders>
          </w:tcPr>
          <w:p w14:paraId="10157B22"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23219295"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A011FB1"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829A0AA" w14:textId="77777777" w:rsidR="002E799B" w:rsidRDefault="002E799B" w:rsidP="00511A37">
            <w:pPr>
              <w:widowControl w:val="0"/>
              <w:autoSpaceDE w:val="0"/>
              <w:autoSpaceDN w:val="0"/>
              <w:adjustRightInd w:val="0"/>
              <w:rPr>
                <w:rFonts w:ascii="Times New Roman" w:hAnsi="Times New Roman"/>
              </w:rPr>
            </w:pPr>
          </w:p>
        </w:tc>
      </w:tr>
      <w:tr w:rsidR="002E799B" w14:paraId="5A65993C" w14:textId="77777777" w:rsidTr="00511A37">
        <w:tblPrEx>
          <w:tblCellMar>
            <w:top w:w="0" w:type="dxa"/>
            <w:bottom w:w="0" w:type="dxa"/>
          </w:tblCellMar>
        </w:tblPrEx>
        <w:tc>
          <w:tcPr>
            <w:tcW w:w="2616" w:type="dxa"/>
            <w:tcBorders>
              <w:top w:val="nil"/>
              <w:left w:val="nil"/>
              <w:bottom w:val="nil"/>
              <w:right w:val="nil"/>
            </w:tcBorders>
          </w:tcPr>
          <w:p w14:paraId="20BF91D3"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Customs</w:t>
            </w:r>
          </w:p>
        </w:tc>
        <w:tc>
          <w:tcPr>
            <w:tcW w:w="2016" w:type="dxa"/>
            <w:tcBorders>
              <w:top w:val="nil"/>
              <w:left w:val="nil"/>
              <w:bottom w:val="nil"/>
              <w:right w:val="nil"/>
            </w:tcBorders>
          </w:tcPr>
          <w:p w14:paraId="704A148E"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650381AC"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52928783"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0.207</w:t>
            </w:r>
          </w:p>
        </w:tc>
      </w:tr>
      <w:tr w:rsidR="002E799B" w14:paraId="6519CA5B" w14:textId="77777777" w:rsidTr="00511A37">
        <w:tblPrEx>
          <w:tblCellMar>
            <w:top w:w="0" w:type="dxa"/>
            <w:bottom w:w="0" w:type="dxa"/>
          </w:tblCellMar>
        </w:tblPrEx>
        <w:tc>
          <w:tcPr>
            <w:tcW w:w="2616" w:type="dxa"/>
            <w:tcBorders>
              <w:top w:val="nil"/>
              <w:left w:val="nil"/>
              <w:bottom w:val="nil"/>
              <w:right w:val="nil"/>
            </w:tcBorders>
          </w:tcPr>
          <w:p w14:paraId="06B47B2D"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4E621CC"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BAB6EA5"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AC07A1F"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(0.220)</w:t>
            </w:r>
          </w:p>
        </w:tc>
      </w:tr>
      <w:tr w:rsidR="002E799B" w14:paraId="318A1C7F" w14:textId="77777777" w:rsidTr="00511A37">
        <w:tblPrEx>
          <w:tblCellMar>
            <w:top w:w="0" w:type="dxa"/>
            <w:bottom w:w="0" w:type="dxa"/>
          </w:tblCellMar>
        </w:tblPrEx>
        <w:tc>
          <w:tcPr>
            <w:tcW w:w="2616" w:type="dxa"/>
            <w:tcBorders>
              <w:top w:val="nil"/>
              <w:left w:val="nil"/>
              <w:bottom w:val="nil"/>
              <w:right w:val="nil"/>
            </w:tcBorders>
          </w:tcPr>
          <w:p w14:paraId="2974EFC2"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61EB222"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2A46ED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93DC3B7" w14:textId="77777777" w:rsidR="002E799B" w:rsidRDefault="002E799B" w:rsidP="00511A37">
            <w:pPr>
              <w:widowControl w:val="0"/>
              <w:autoSpaceDE w:val="0"/>
              <w:autoSpaceDN w:val="0"/>
              <w:adjustRightInd w:val="0"/>
              <w:rPr>
                <w:rFonts w:ascii="Times New Roman" w:hAnsi="Times New Roman"/>
              </w:rPr>
            </w:pPr>
          </w:p>
        </w:tc>
      </w:tr>
      <w:tr w:rsidR="002E799B" w14:paraId="4B1B51D1" w14:textId="77777777" w:rsidTr="00511A37">
        <w:tblPrEx>
          <w:tblCellMar>
            <w:top w:w="0" w:type="dxa"/>
            <w:bottom w:w="0" w:type="dxa"/>
          </w:tblCellMar>
        </w:tblPrEx>
        <w:tc>
          <w:tcPr>
            <w:tcW w:w="2616" w:type="dxa"/>
            <w:tcBorders>
              <w:top w:val="nil"/>
              <w:left w:val="nil"/>
              <w:bottom w:val="nil"/>
              <w:right w:val="nil"/>
            </w:tcBorders>
          </w:tcPr>
          <w:p w14:paraId="1A7405E3"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Social Provisions</w:t>
            </w:r>
          </w:p>
        </w:tc>
        <w:tc>
          <w:tcPr>
            <w:tcW w:w="2016" w:type="dxa"/>
            <w:tcBorders>
              <w:top w:val="nil"/>
              <w:left w:val="nil"/>
              <w:bottom w:val="nil"/>
              <w:right w:val="nil"/>
            </w:tcBorders>
          </w:tcPr>
          <w:p w14:paraId="70128F75"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3166BF9"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5E38FBA8"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0.480</w:t>
            </w:r>
            <w:r>
              <w:rPr>
                <w:rFonts w:ascii="Times New Roman" w:hAnsi="Times New Roman"/>
                <w:vertAlign w:val="superscript"/>
              </w:rPr>
              <w:t>*</w:t>
            </w:r>
          </w:p>
        </w:tc>
      </w:tr>
      <w:tr w:rsidR="002E799B" w14:paraId="773AE856" w14:textId="77777777" w:rsidTr="00511A37">
        <w:tblPrEx>
          <w:tblCellMar>
            <w:top w:w="0" w:type="dxa"/>
            <w:bottom w:w="0" w:type="dxa"/>
          </w:tblCellMar>
        </w:tblPrEx>
        <w:tc>
          <w:tcPr>
            <w:tcW w:w="2616" w:type="dxa"/>
            <w:tcBorders>
              <w:top w:val="nil"/>
              <w:left w:val="nil"/>
              <w:bottom w:val="nil"/>
              <w:right w:val="nil"/>
            </w:tcBorders>
          </w:tcPr>
          <w:p w14:paraId="721EAD71"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DF0C52F"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38C95CBD"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1FF78F23"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(0.203)</w:t>
            </w:r>
          </w:p>
        </w:tc>
      </w:tr>
      <w:tr w:rsidR="002E799B" w14:paraId="184CD942" w14:textId="77777777" w:rsidTr="00511A37">
        <w:tblPrEx>
          <w:tblCellMar>
            <w:top w:w="0" w:type="dxa"/>
            <w:bottom w:w="0" w:type="dxa"/>
          </w:tblCellMar>
        </w:tblPrEx>
        <w:tc>
          <w:tcPr>
            <w:tcW w:w="2616" w:type="dxa"/>
            <w:tcBorders>
              <w:top w:val="nil"/>
              <w:left w:val="nil"/>
              <w:bottom w:val="nil"/>
              <w:right w:val="nil"/>
            </w:tcBorders>
          </w:tcPr>
          <w:p w14:paraId="29F0150B"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7A640CC0"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B4A2612"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16A3785A" w14:textId="77777777" w:rsidR="002E799B" w:rsidRDefault="002E799B" w:rsidP="00511A37">
            <w:pPr>
              <w:widowControl w:val="0"/>
              <w:autoSpaceDE w:val="0"/>
              <w:autoSpaceDN w:val="0"/>
              <w:adjustRightInd w:val="0"/>
              <w:rPr>
                <w:rFonts w:ascii="Times New Roman" w:hAnsi="Times New Roman"/>
              </w:rPr>
            </w:pPr>
          </w:p>
        </w:tc>
      </w:tr>
      <w:tr w:rsidR="002E799B" w14:paraId="746D2C68" w14:textId="77777777" w:rsidTr="00511A37">
        <w:tblPrEx>
          <w:tblCellMar>
            <w:top w:w="0" w:type="dxa"/>
            <w:bottom w:w="0" w:type="dxa"/>
          </w:tblCellMar>
        </w:tblPrEx>
        <w:tc>
          <w:tcPr>
            <w:tcW w:w="2616" w:type="dxa"/>
            <w:tcBorders>
              <w:top w:val="nil"/>
              <w:left w:val="nil"/>
              <w:bottom w:val="nil"/>
              <w:right w:val="nil"/>
            </w:tcBorders>
          </w:tcPr>
          <w:p w14:paraId="5737742B"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Environment</w:t>
            </w:r>
          </w:p>
        </w:tc>
        <w:tc>
          <w:tcPr>
            <w:tcW w:w="2016" w:type="dxa"/>
            <w:tcBorders>
              <w:top w:val="nil"/>
              <w:left w:val="nil"/>
              <w:bottom w:val="nil"/>
              <w:right w:val="nil"/>
            </w:tcBorders>
          </w:tcPr>
          <w:p w14:paraId="0570827F"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484AF2B1"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E4D3EBF"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0.153</w:t>
            </w:r>
          </w:p>
        </w:tc>
      </w:tr>
      <w:tr w:rsidR="002E799B" w14:paraId="7E8C6D4C" w14:textId="77777777" w:rsidTr="00511A37">
        <w:tblPrEx>
          <w:tblCellMar>
            <w:top w:w="0" w:type="dxa"/>
            <w:bottom w:w="0" w:type="dxa"/>
          </w:tblCellMar>
        </w:tblPrEx>
        <w:tc>
          <w:tcPr>
            <w:tcW w:w="2616" w:type="dxa"/>
            <w:tcBorders>
              <w:top w:val="nil"/>
              <w:left w:val="nil"/>
              <w:bottom w:val="nil"/>
              <w:right w:val="nil"/>
            </w:tcBorders>
          </w:tcPr>
          <w:p w14:paraId="1B4D77E9"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5FDEF4E"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79D225A6"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0DFB58DA"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(0.181)</w:t>
            </w:r>
          </w:p>
        </w:tc>
      </w:tr>
      <w:tr w:rsidR="002E799B" w14:paraId="00C2B9C0" w14:textId="77777777" w:rsidTr="00511A37">
        <w:tblPrEx>
          <w:tblCellMar>
            <w:top w:w="0" w:type="dxa"/>
            <w:bottom w:w="0" w:type="dxa"/>
          </w:tblCellMar>
        </w:tblPrEx>
        <w:tc>
          <w:tcPr>
            <w:tcW w:w="2616" w:type="dxa"/>
            <w:tcBorders>
              <w:top w:val="nil"/>
              <w:left w:val="nil"/>
              <w:bottom w:val="nil"/>
              <w:right w:val="nil"/>
            </w:tcBorders>
          </w:tcPr>
          <w:p w14:paraId="6C49EF19"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6B6680E6"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566BEA45"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05073682" w14:textId="77777777" w:rsidR="002E799B" w:rsidRDefault="002E799B" w:rsidP="00511A37">
            <w:pPr>
              <w:widowControl w:val="0"/>
              <w:autoSpaceDE w:val="0"/>
              <w:autoSpaceDN w:val="0"/>
              <w:adjustRightInd w:val="0"/>
              <w:rPr>
                <w:rFonts w:ascii="Times New Roman" w:hAnsi="Times New Roman"/>
              </w:rPr>
            </w:pPr>
          </w:p>
        </w:tc>
      </w:tr>
      <w:tr w:rsidR="002E799B" w14:paraId="5164E897" w14:textId="77777777" w:rsidTr="00511A37">
        <w:tblPrEx>
          <w:tblCellMar>
            <w:top w:w="0" w:type="dxa"/>
            <w:bottom w:w="0" w:type="dxa"/>
          </w:tblCellMar>
        </w:tblPrEx>
        <w:tc>
          <w:tcPr>
            <w:tcW w:w="2616" w:type="dxa"/>
            <w:tcBorders>
              <w:top w:val="nil"/>
              <w:left w:val="nil"/>
              <w:bottom w:val="nil"/>
              <w:right w:val="nil"/>
            </w:tcBorders>
          </w:tcPr>
          <w:p w14:paraId="495CA7C8"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Consumer Protection</w:t>
            </w:r>
          </w:p>
        </w:tc>
        <w:tc>
          <w:tcPr>
            <w:tcW w:w="2016" w:type="dxa"/>
            <w:tcBorders>
              <w:top w:val="nil"/>
              <w:left w:val="nil"/>
              <w:bottom w:val="nil"/>
              <w:right w:val="nil"/>
            </w:tcBorders>
          </w:tcPr>
          <w:p w14:paraId="029D83DF"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6FD8A347"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64FCCD82"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-0.131</w:t>
            </w:r>
          </w:p>
        </w:tc>
      </w:tr>
      <w:tr w:rsidR="002E799B" w14:paraId="3CF9BBA0" w14:textId="77777777" w:rsidTr="00511A37">
        <w:tblPrEx>
          <w:tblCellMar>
            <w:top w:w="0" w:type="dxa"/>
            <w:bottom w:w="0" w:type="dxa"/>
          </w:tblCellMar>
        </w:tblPrEx>
        <w:tc>
          <w:tcPr>
            <w:tcW w:w="2616" w:type="dxa"/>
            <w:tcBorders>
              <w:top w:val="nil"/>
              <w:left w:val="nil"/>
              <w:bottom w:val="nil"/>
              <w:right w:val="nil"/>
            </w:tcBorders>
          </w:tcPr>
          <w:p w14:paraId="273BC611"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3B2A5284"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61AC71B6"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nil"/>
              <w:left w:val="nil"/>
              <w:bottom w:val="nil"/>
              <w:right w:val="nil"/>
            </w:tcBorders>
          </w:tcPr>
          <w:p w14:paraId="2F933234"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(0.236)</w:t>
            </w:r>
          </w:p>
        </w:tc>
      </w:tr>
      <w:tr w:rsidR="002E799B" w14:paraId="24AF06FC" w14:textId="77777777" w:rsidTr="00511A37">
        <w:tblPrEx>
          <w:tblCellMar>
            <w:top w:w="0" w:type="dxa"/>
            <w:bottom w:w="0" w:type="dxa"/>
          </w:tblCellMar>
        </w:tblPrEx>
        <w:tc>
          <w:tcPr>
            <w:tcW w:w="2616" w:type="dxa"/>
            <w:tcBorders>
              <w:top w:val="single" w:sz="4" w:space="0" w:color="auto"/>
              <w:left w:val="nil"/>
              <w:bottom w:val="nil"/>
              <w:right w:val="nil"/>
            </w:tcBorders>
          </w:tcPr>
          <w:p w14:paraId="539FAE95"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cut1</w:t>
            </w:r>
          </w:p>
        </w:tc>
        <w:tc>
          <w:tcPr>
            <w:tcW w:w="2016" w:type="dxa"/>
            <w:tcBorders>
              <w:top w:val="single" w:sz="4" w:space="0" w:color="auto"/>
              <w:left w:val="nil"/>
              <w:bottom w:val="nil"/>
              <w:right w:val="nil"/>
            </w:tcBorders>
          </w:tcPr>
          <w:p w14:paraId="2FF97295"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single" w:sz="4" w:space="0" w:color="auto"/>
              <w:left w:val="nil"/>
              <w:bottom w:val="nil"/>
              <w:right w:val="nil"/>
            </w:tcBorders>
          </w:tcPr>
          <w:p w14:paraId="0FAD798D"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single" w:sz="4" w:space="0" w:color="auto"/>
              <w:left w:val="nil"/>
              <w:bottom w:val="nil"/>
              <w:right w:val="nil"/>
            </w:tcBorders>
          </w:tcPr>
          <w:p w14:paraId="0D1CCB46" w14:textId="77777777" w:rsidR="002E799B" w:rsidRDefault="002E799B" w:rsidP="00511A37">
            <w:pPr>
              <w:widowControl w:val="0"/>
              <w:autoSpaceDE w:val="0"/>
              <w:autoSpaceDN w:val="0"/>
              <w:adjustRightInd w:val="0"/>
              <w:jc w:val="center"/>
              <w:rPr>
                <w:rFonts w:ascii="Times New Roman" w:hAnsi="Times New Roman"/>
              </w:rPr>
            </w:pPr>
          </w:p>
        </w:tc>
      </w:tr>
      <w:tr w:rsidR="002E799B" w14:paraId="5E36EDF8" w14:textId="77777777" w:rsidTr="00511A37">
        <w:tblPrEx>
          <w:tblCellMar>
            <w:top w:w="0" w:type="dxa"/>
            <w:bottom w:w="0" w:type="dxa"/>
          </w:tblCellMar>
        </w:tblPrEx>
        <w:tc>
          <w:tcPr>
            <w:tcW w:w="2616" w:type="dxa"/>
            <w:tcBorders>
              <w:top w:val="nil"/>
              <w:left w:val="nil"/>
              <w:bottom w:val="nil"/>
              <w:right w:val="nil"/>
            </w:tcBorders>
          </w:tcPr>
          <w:p w14:paraId="69ABC11E"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Constant</w:t>
            </w:r>
          </w:p>
        </w:tc>
        <w:tc>
          <w:tcPr>
            <w:tcW w:w="2016" w:type="dxa"/>
            <w:tcBorders>
              <w:top w:val="nil"/>
              <w:left w:val="nil"/>
              <w:bottom w:val="nil"/>
              <w:right w:val="nil"/>
            </w:tcBorders>
          </w:tcPr>
          <w:p w14:paraId="7D1C985A"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-1.370</w:t>
            </w:r>
            <w:r>
              <w:rPr>
                <w:rFonts w:ascii="Times New Roman" w:hAnsi="Times New Roman"/>
                <w:vertAlign w:val="superscript"/>
              </w:rPr>
              <w:t>***</w:t>
            </w:r>
          </w:p>
        </w:tc>
        <w:tc>
          <w:tcPr>
            <w:tcW w:w="2016" w:type="dxa"/>
            <w:tcBorders>
              <w:top w:val="nil"/>
              <w:left w:val="nil"/>
              <w:bottom w:val="nil"/>
              <w:right w:val="nil"/>
            </w:tcBorders>
          </w:tcPr>
          <w:p w14:paraId="4D0DA995"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-1.559</w:t>
            </w:r>
            <w:r>
              <w:rPr>
                <w:rFonts w:ascii="Times New Roman" w:hAnsi="Times New Roman"/>
                <w:vertAlign w:val="superscript"/>
              </w:rPr>
              <w:t>***</w:t>
            </w:r>
          </w:p>
        </w:tc>
        <w:tc>
          <w:tcPr>
            <w:tcW w:w="2016" w:type="dxa"/>
            <w:tcBorders>
              <w:top w:val="nil"/>
              <w:left w:val="nil"/>
              <w:bottom w:val="nil"/>
              <w:right w:val="nil"/>
            </w:tcBorders>
          </w:tcPr>
          <w:p w14:paraId="202FA0C2"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-1.376</w:t>
            </w:r>
            <w:r>
              <w:rPr>
                <w:rFonts w:ascii="Times New Roman" w:hAnsi="Times New Roman"/>
                <w:vertAlign w:val="superscript"/>
              </w:rPr>
              <w:t>***</w:t>
            </w:r>
          </w:p>
        </w:tc>
      </w:tr>
      <w:tr w:rsidR="002E799B" w14:paraId="69A3FEE2" w14:textId="77777777" w:rsidTr="00511A37">
        <w:tblPrEx>
          <w:tblCellMar>
            <w:top w:w="0" w:type="dxa"/>
            <w:bottom w:w="0" w:type="dxa"/>
          </w:tblCellMar>
        </w:tblPrEx>
        <w:tc>
          <w:tcPr>
            <w:tcW w:w="2616" w:type="dxa"/>
            <w:tcBorders>
              <w:top w:val="nil"/>
              <w:left w:val="nil"/>
              <w:bottom w:val="nil"/>
              <w:right w:val="nil"/>
            </w:tcBorders>
          </w:tcPr>
          <w:p w14:paraId="7C542579"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nil"/>
              <w:right w:val="nil"/>
            </w:tcBorders>
          </w:tcPr>
          <w:p w14:paraId="432E7FC1"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(0.102)</w:t>
            </w:r>
          </w:p>
        </w:tc>
        <w:tc>
          <w:tcPr>
            <w:tcW w:w="2016" w:type="dxa"/>
            <w:tcBorders>
              <w:top w:val="nil"/>
              <w:left w:val="nil"/>
              <w:bottom w:val="nil"/>
              <w:right w:val="nil"/>
            </w:tcBorders>
          </w:tcPr>
          <w:p w14:paraId="69E7DF0F"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(0.170)</w:t>
            </w:r>
          </w:p>
        </w:tc>
        <w:tc>
          <w:tcPr>
            <w:tcW w:w="2016" w:type="dxa"/>
            <w:tcBorders>
              <w:top w:val="nil"/>
              <w:left w:val="nil"/>
              <w:bottom w:val="nil"/>
              <w:right w:val="nil"/>
            </w:tcBorders>
          </w:tcPr>
          <w:p w14:paraId="7F653B61"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(0.134)</w:t>
            </w:r>
          </w:p>
        </w:tc>
      </w:tr>
      <w:tr w:rsidR="002E799B" w14:paraId="7B6822CF" w14:textId="77777777" w:rsidTr="00511A37">
        <w:tblPrEx>
          <w:tblCellMar>
            <w:top w:w="0" w:type="dxa"/>
            <w:bottom w:w="0" w:type="dxa"/>
          </w:tblCellMar>
        </w:tblPrEx>
        <w:tc>
          <w:tcPr>
            <w:tcW w:w="2616" w:type="dxa"/>
            <w:tcBorders>
              <w:top w:val="single" w:sz="4" w:space="0" w:color="auto"/>
              <w:left w:val="nil"/>
              <w:bottom w:val="nil"/>
              <w:right w:val="nil"/>
            </w:tcBorders>
          </w:tcPr>
          <w:p w14:paraId="53760DAD"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cut2</w:t>
            </w:r>
          </w:p>
        </w:tc>
        <w:tc>
          <w:tcPr>
            <w:tcW w:w="2016" w:type="dxa"/>
            <w:tcBorders>
              <w:top w:val="single" w:sz="4" w:space="0" w:color="auto"/>
              <w:left w:val="nil"/>
              <w:bottom w:val="nil"/>
              <w:right w:val="nil"/>
            </w:tcBorders>
          </w:tcPr>
          <w:p w14:paraId="72F77D10"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single" w:sz="4" w:space="0" w:color="auto"/>
              <w:left w:val="nil"/>
              <w:bottom w:val="nil"/>
              <w:right w:val="nil"/>
            </w:tcBorders>
          </w:tcPr>
          <w:p w14:paraId="1B85B923" w14:textId="77777777" w:rsidR="002E799B" w:rsidRDefault="002E799B" w:rsidP="00511A37">
            <w:pPr>
              <w:widowControl w:val="0"/>
              <w:autoSpaceDE w:val="0"/>
              <w:autoSpaceDN w:val="0"/>
              <w:adjustRightInd w:val="0"/>
              <w:jc w:val="center"/>
              <w:rPr>
                <w:rFonts w:ascii="Times New Roman" w:hAnsi="Times New Roman"/>
              </w:rPr>
            </w:pPr>
          </w:p>
        </w:tc>
        <w:tc>
          <w:tcPr>
            <w:tcW w:w="2016" w:type="dxa"/>
            <w:tcBorders>
              <w:top w:val="single" w:sz="4" w:space="0" w:color="auto"/>
              <w:left w:val="nil"/>
              <w:bottom w:val="nil"/>
              <w:right w:val="nil"/>
            </w:tcBorders>
          </w:tcPr>
          <w:p w14:paraId="741C43F6" w14:textId="77777777" w:rsidR="002E799B" w:rsidRDefault="002E799B" w:rsidP="00511A37">
            <w:pPr>
              <w:widowControl w:val="0"/>
              <w:autoSpaceDE w:val="0"/>
              <w:autoSpaceDN w:val="0"/>
              <w:adjustRightInd w:val="0"/>
              <w:jc w:val="center"/>
              <w:rPr>
                <w:rFonts w:ascii="Times New Roman" w:hAnsi="Times New Roman"/>
              </w:rPr>
            </w:pPr>
          </w:p>
        </w:tc>
      </w:tr>
      <w:tr w:rsidR="002E799B" w14:paraId="7A8DE648" w14:textId="77777777" w:rsidTr="00511A37">
        <w:tblPrEx>
          <w:tblCellMar>
            <w:top w:w="0" w:type="dxa"/>
            <w:bottom w:w="0" w:type="dxa"/>
          </w:tblCellMar>
        </w:tblPrEx>
        <w:tc>
          <w:tcPr>
            <w:tcW w:w="2616" w:type="dxa"/>
            <w:tcBorders>
              <w:top w:val="nil"/>
              <w:left w:val="nil"/>
              <w:bottom w:val="nil"/>
              <w:right w:val="nil"/>
            </w:tcBorders>
          </w:tcPr>
          <w:p w14:paraId="650C5582"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Constant</w:t>
            </w:r>
          </w:p>
        </w:tc>
        <w:tc>
          <w:tcPr>
            <w:tcW w:w="2016" w:type="dxa"/>
            <w:tcBorders>
              <w:top w:val="nil"/>
              <w:left w:val="nil"/>
              <w:bottom w:val="nil"/>
              <w:right w:val="nil"/>
            </w:tcBorders>
          </w:tcPr>
          <w:p w14:paraId="2539553D"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1.395</w:t>
            </w:r>
            <w:r>
              <w:rPr>
                <w:rFonts w:ascii="Times New Roman" w:hAnsi="Times New Roman"/>
                <w:vertAlign w:val="superscript"/>
              </w:rPr>
              <w:t>***</w:t>
            </w:r>
          </w:p>
        </w:tc>
        <w:tc>
          <w:tcPr>
            <w:tcW w:w="2016" w:type="dxa"/>
            <w:tcBorders>
              <w:top w:val="nil"/>
              <w:left w:val="nil"/>
              <w:bottom w:val="nil"/>
              <w:right w:val="nil"/>
            </w:tcBorders>
          </w:tcPr>
          <w:p w14:paraId="2387C60D"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2.071</w:t>
            </w:r>
            <w:r>
              <w:rPr>
                <w:rFonts w:ascii="Times New Roman" w:hAnsi="Times New Roman"/>
                <w:vertAlign w:val="superscript"/>
              </w:rPr>
              <w:t>***</w:t>
            </w:r>
          </w:p>
        </w:tc>
        <w:tc>
          <w:tcPr>
            <w:tcW w:w="2016" w:type="dxa"/>
            <w:tcBorders>
              <w:top w:val="nil"/>
              <w:left w:val="nil"/>
              <w:bottom w:val="nil"/>
              <w:right w:val="nil"/>
            </w:tcBorders>
          </w:tcPr>
          <w:p w14:paraId="2AC59FBD"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1.191</w:t>
            </w:r>
            <w:r>
              <w:rPr>
                <w:rFonts w:ascii="Times New Roman" w:hAnsi="Times New Roman"/>
                <w:vertAlign w:val="superscript"/>
              </w:rPr>
              <w:t>***</w:t>
            </w:r>
          </w:p>
        </w:tc>
      </w:tr>
      <w:tr w:rsidR="002E799B" w14:paraId="11CED94B" w14:textId="77777777" w:rsidTr="00511A37">
        <w:tblPrEx>
          <w:tblCellMar>
            <w:top w:w="0" w:type="dxa"/>
            <w:bottom w:w="0" w:type="dxa"/>
          </w:tblCellMar>
        </w:tblPrEx>
        <w:tc>
          <w:tcPr>
            <w:tcW w:w="2616" w:type="dxa"/>
            <w:tcBorders>
              <w:top w:val="nil"/>
              <w:left w:val="nil"/>
              <w:bottom w:val="single" w:sz="4" w:space="0" w:color="auto"/>
              <w:right w:val="nil"/>
            </w:tcBorders>
          </w:tcPr>
          <w:p w14:paraId="30C84315" w14:textId="77777777" w:rsidR="002E799B" w:rsidRDefault="002E799B" w:rsidP="00511A37">
            <w:pPr>
              <w:widowControl w:val="0"/>
              <w:autoSpaceDE w:val="0"/>
              <w:autoSpaceDN w:val="0"/>
              <w:adjustRightInd w:val="0"/>
              <w:rPr>
                <w:rFonts w:ascii="Times New Roman" w:hAnsi="Times New Roman"/>
              </w:rPr>
            </w:pPr>
          </w:p>
        </w:tc>
        <w:tc>
          <w:tcPr>
            <w:tcW w:w="2016" w:type="dxa"/>
            <w:tcBorders>
              <w:top w:val="nil"/>
              <w:left w:val="nil"/>
              <w:bottom w:val="single" w:sz="4" w:space="0" w:color="auto"/>
              <w:right w:val="nil"/>
            </w:tcBorders>
          </w:tcPr>
          <w:p w14:paraId="0DC237E7"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(0.101)</w:t>
            </w:r>
          </w:p>
        </w:tc>
        <w:tc>
          <w:tcPr>
            <w:tcW w:w="2016" w:type="dxa"/>
            <w:tcBorders>
              <w:top w:val="nil"/>
              <w:left w:val="nil"/>
              <w:bottom w:val="single" w:sz="4" w:space="0" w:color="auto"/>
              <w:right w:val="nil"/>
            </w:tcBorders>
          </w:tcPr>
          <w:p w14:paraId="6EE74007"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(0.183)</w:t>
            </w:r>
          </w:p>
        </w:tc>
        <w:tc>
          <w:tcPr>
            <w:tcW w:w="2016" w:type="dxa"/>
            <w:tcBorders>
              <w:top w:val="nil"/>
              <w:left w:val="nil"/>
              <w:bottom w:val="single" w:sz="4" w:space="0" w:color="auto"/>
              <w:right w:val="nil"/>
            </w:tcBorders>
          </w:tcPr>
          <w:p w14:paraId="389045B4"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(0.132)</w:t>
            </w:r>
          </w:p>
        </w:tc>
      </w:tr>
      <w:tr w:rsidR="002E799B" w14:paraId="1A486B4A" w14:textId="77777777" w:rsidTr="00511A37">
        <w:tblPrEx>
          <w:tblCellMar>
            <w:top w:w="0" w:type="dxa"/>
            <w:bottom w:w="0" w:type="dxa"/>
          </w:tblCellMar>
        </w:tblPrEx>
        <w:tc>
          <w:tcPr>
            <w:tcW w:w="2616" w:type="dxa"/>
            <w:tcBorders>
              <w:top w:val="single" w:sz="4" w:space="0" w:color="auto"/>
              <w:left w:val="nil"/>
              <w:bottom w:val="nil"/>
              <w:right w:val="nil"/>
            </w:tcBorders>
          </w:tcPr>
          <w:p w14:paraId="4772CFFD"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Pseudo R2</w:t>
            </w:r>
          </w:p>
        </w:tc>
        <w:tc>
          <w:tcPr>
            <w:tcW w:w="2016" w:type="dxa"/>
            <w:tcBorders>
              <w:top w:val="single" w:sz="4" w:space="0" w:color="auto"/>
              <w:left w:val="nil"/>
              <w:bottom w:val="nil"/>
              <w:right w:val="nil"/>
            </w:tcBorders>
          </w:tcPr>
          <w:p w14:paraId="1AA1EA2A"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0.317</w:t>
            </w:r>
          </w:p>
        </w:tc>
        <w:tc>
          <w:tcPr>
            <w:tcW w:w="2016" w:type="dxa"/>
            <w:tcBorders>
              <w:top w:val="single" w:sz="4" w:space="0" w:color="auto"/>
              <w:left w:val="nil"/>
              <w:bottom w:val="nil"/>
              <w:right w:val="nil"/>
            </w:tcBorders>
          </w:tcPr>
          <w:p w14:paraId="50A10B26"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0.387</w:t>
            </w:r>
          </w:p>
        </w:tc>
        <w:tc>
          <w:tcPr>
            <w:tcW w:w="2016" w:type="dxa"/>
            <w:tcBorders>
              <w:top w:val="single" w:sz="4" w:space="0" w:color="auto"/>
              <w:left w:val="nil"/>
              <w:bottom w:val="nil"/>
              <w:right w:val="nil"/>
            </w:tcBorders>
          </w:tcPr>
          <w:p w14:paraId="4D358BFE"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0.264</w:t>
            </w:r>
          </w:p>
        </w:tc>
      </w:tr>
      <w:tr w:rsidR="002E799B" w14:paraId="61E22523" w14:textId="77777777" w:rsidTr="00511A37">
        <w:tblPrEx>
          <w:tblCellMar>
            <w:top w:w="0" w:type="dxa"/>
            <w:bottom w:w="0" w:type="dxa"/>
          </w:tblCellMar>
        </w:tblPrEx>
        <w:tc>
          <w:tcPr>
            <w:tcW w:w="2616" w:type="dxa"/>
            <w:tcBorders>
              <w:top w:val="nil"/>
              <w:left w:val="nil"/>
              <w:bottom w:val="single" w:sz="4" w:space="0" w:color="auto"/>
              <w:right w:val="nil"/>
            </w:tcBorders>
          </w:tcPr>
          <w:p w14:paraId="6748AB74" w14:textId="77777777" w:rsidR="002E799B" w:rsidRDefault="002E799B" w:rsidP="00511A37">
            <w:pPr>
              <w:widowControl w:val="0"/>
              <w:autoSpaceDE w:val="0"/>
              <w:autoSpaceDN w:val="0"/>
              <w:adjustRightInd w:val="0"/>
              <w:rPr>
                <w:rFonts w:ascii="Times New Roman" w:hAnsi="Times New Roman"/>
              </w:rPr>
            </w:pPr>
            <w:r>
              <w:rPr>
                <w:rFonts w:ascii="Times New Roman" w:hAnsi="Times New Roman"/>
              </w:rPr>
              <w:t>N</w:t>
            </w:r>
          </w:p>
        </w:tc>
        <w:tc>
          <w:tcPr>
            <w:tcW w:w="2016" w:type="dxa"/>
            <w:tcBorders>
              <w:top w:val="nil"/>
              <w:left w:val="nil"/>
              <w:bottom w:val="single" w:sz="4" w:space="0" w:color="auto"/>
              <w:right w:val="nil"/>
            </w:tcBorders>
          </w:tcPr>
          <w:p w14:paraId="69E67C78"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2572</w:t>
            </w:r>
          </w:p>
        </w:tc>
        <w:tc>
          <w:tcPr>
            <w:tcW w:w="2016" w:type="dxa"/>
            <w:tcBorders>
              <w:top w:val="nil"/>
              <w:left w:val="nil"/>
              <w:bottom w:val="single" w:sz="4" w:space="0" w:color="auto"/>
              <w:right w:val="nil"/>
            </w:tcBorders>
          </w:tcPr>
          <w:p w14:paraId="4A42070C"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903</w:t>
            </w:r>
          </w:p>
        </w:tc>
        <w:tc>
          <w:tcPr>
            <w:tcW w:w="2016" w:type="dxa"/>
            <w:tcBorders>
              <w:top w:val="nil"/>
              <w:left w:val="nil"/>
              <w:bottom w:val="single" w:sz="4" w:space="0" w:color="auto"/>
              <w:right w:val="nil"/>
            </w:tcBorders>
          </w:tcPr>
          <w:p w14:paraId="62153013" w14:textId="77777777" w:rsidR="002E799B" w:rsidRDefault="002E799B" w:rsidP="00511A37">
            <w:pPr>
              <w:widowControl w:val="0"/>
              <w:autoSpaceDE w:val="0"/>
              <w:autoSpaceDN w:val="0"/>
              <w:adjustRightInd w:val="0"/>
              <w:jc w:val="center"/>
              <w:rPr>
                <w:rFonts w:ascii="Times New Roman" w:hAnsi="Times New Roman"/>
              </w:rPr>
            </w:pPr>
            <w:r>
              <w:rPr>
                <w:rFonts w:ascii="Times New Roman" w:hAnsi="Times New Roman"/>
              </w:rPr>
              <w:t>2572</w:t>
            </w:r>
          </w:p>
        </w:tc>
      </w:tr>
    </w:tbl>
    <w:p w14:paraId="3BB7A08F" w14:textId="77777777" w:rsidR="002E799B" w:rsidRDefault="002E799B" w:rsidP="002E799B">
      <w:pPr>
        <w:widowControl w:val="0"/>
        <w:autoSpaceDE w:val="0"/>
        <w:autoSpaceDN w:val="0"/>
        <w:adjustRightInd w:val="0"/>
        <w:rPr>
          <w:rFonts w:ascii="Times New Roman" w:hAnsi="Times New Roman"/>
          <w:sz w:val="20"/>
          <w:szCs w:val="20"/>
        </w:rPr>
      </w:pPr>
      <w:r>
        <w:rPr>
          <w:rFonts w:ascii="Times New Roman" w:hAnsi="Times New Roman"/>
          <w:sz w:val="20"/>
          <w:szCs w:val="20"/>
        </w:rPr>
        <w:t>Standard errors in parentheses</w:t>
      </w:r>
    </w:p>
    <w:p w14:paraId="0E97568F" w14:textId="77777777" w:rsidR="002E799B" w:rsidRDefault="002E799B" w:rsidP="002E799B">
      <w:pPr>
        <w:widowControl w:val="0"/>
        <w:autoSpaceDE w:val="0"/>
        <w:autoSpaceDN w:val="0"/>
        <w:adjustRightInd w:val="0"/>
        <w:rPr>
          <w:rFonts w:ascii="Times New Roman" w:hAnsi="Times New Roman"/>
          <w:sz w:val="20"/>
          <w:szCs w:val="20"/>
        </w:rPr>
      </w:pPr>
      <w:r>
        <w:rPr>
          <w:rFonts w:ascii="Times New Roman" w:hAnsi="Times New Roman"/>
          <w:sz w:val="20"/>
          <w:szCs w:val="20"/>
          <w:vertAlign w:val="superscript"/>
        </w:rPr>
        <w:t>+</w:t>
      </w:r>
      <w:r>
        <w:rPr>
          <w:rFonts w:ascii="Times New Roman" w:hAnsi="Times New Roman"/>
          <w:sz w:val="20"/>
          <w:szCs w:val="20"/>
        </w:rPr>
        <w:t xml:space="preserve"> </w:t>
      </w:r>
      <w:r>
        <w:rPr>
          <w:rFonts w:ascii="Times New Roman" w:hAnsi="Times New Roman"/>
          <w:i/>
          <w:iCs/>
          <w:sz w:val="20"/>
          <w:szCs w:val="20"/>
        </w:rPr>
        <w:t>p</w:t>
      </w:r>
      <w:r>
        <w:rPr>
          <w:rFonts w:ascii="Times New Roman" w:hAnsi="Times New Roman"/>
          <w:sz w:val="20"/>
          <w:szCs w:val="20"/>
        </w:rPr>
        <w:t xml:space="preserve"> &lt; 0.1, </w:t>
      </w:r>
      <w:r>
        <w:rPr>
          <w:rFonts w:ascii="Times New Roman" w:hAnsi="Times New Roman"/>
          <w:sz w:val="20"/>
          <w:szCs w:val="20"/>
          <w:vertAlign w:val="superscript"/>
        </w:rPr>
        <w:t>*</w:t>
      </w:r>
      <w:r>
        <w:rPr>
          <w:rFonts w:ascii="Times New Roman" w:hAnsi="Times New Roman"/>
          <w:sz w:val="20"/>
          <w:szCs w:val="20"/>
        </w:rPr>
        <w:t xml:space="preserve"> </w:t>
      </w:r>
      <w:r>
        <w:rPr>
          <w:rFonts w:ascii="Times New Roman" w:hAnsi="Times New Roman"/>
          <w:i/>
          <w:iCs/>
          <w:sz w:val="20"/>
          <w:szCs w:val="20"/>
        </w:rPr>
        <w:t>p</w:t>
      </w:r>
      <w:r>
        <w:rPr>
          <w:rFonts w:ascii="Times New Roman" w:hAnsi="Times New Roman"/>
          <w:sz w:val="20"/>
          <w:szCs w:val="20"/>
        </w:rPr>
        <w:t xml:space="preserve"> &lt; 0.05, </w:t>
      </w:r>
      <w:r>
        <w:rPr>
          <w:rFonts w:ascii="Times New Roman" w:hAnsi="Times New Roman"/>
          <w:sz w:val="20"/>
          <w:szCs w:val="20"/>
          <w:vertAlign w:val="superscript"/>
        </w:rPr>
        <w:t>**</w:t>
      </w:r>
      <w:r>
        <w:rPr>
          <w:rFonts w:ascii="Times New Roman" w:hAnsi="Times New Roman"/>
          <w:sz w:val="20"/>
          <w:szCs w:val="20"/>
        </w:rPr>
        <w:t xml:space="preserve"> </w:t>
      </w:r>
      <w:r>
        <w:rPr>
          <w:rFonts w:ascii="Times New Roman" w:hAnsi="Times New Roman"/>
          <w:i/>
          <w:iCs/>
          <w:sz w:val="20"/>
          <w:szCs w:val="20"/>
        </w:rPr>
        <w:t>p</w:t>
      </w:r>
      <w:r>
        <w:rPr>
          <w:rFonts w:ascii="Times New Roman" w:hAnsi="Times New Roman"/>
          <w:sz w:val="20"/>
          <w:szCs w:val="20"/>
        </w:rPr>
        <w:t xml:space="preserve"> &lt; 0.01, </w:t>
      </w:r>
      <w:r>
        <w:rPr>
          <w:rFonts w:ascii="Times New Roman" w:hAnsi="Times New Roman"/>
          <w:sz w:val="20"/>
          <w:szCs w:val="20"/>
          <w:vertAlign w:val="superscript"/>
        </w:rPr>
        <w:t>***</w:t>
      </w:r>
      <w:r>
        <w:rPr>
          <w:rFonts w:ascii="Times New Roman" w:hAnsi="Times New Roman"/>
          <w:sz w:val="20"/>
          <w:szCs w:val="20"/>
        </w:rPr>
        <w:t xml:space="preserve"> </w:t>
      </w:r>
      <w:r>
        <w:rPr>
          <w:rFonts w:ascii="Times New Roman" w:hAnsi="Times New Roman"/>
          <w:i/>
          <w:iCs/>
          <w:sz w:val="20"/>
          <w:szCs w:val="20"/>
        </w:rPr>
        <w:t>p</w:t>
      </w:r>
      <w:r>
        <w:rPr>
          <w:rFonts w:ascii="Times New Roman" w:hAnsi="Times New Roman"/>
          <w:sz w:val="20"/>
          <w:szCs w:val="20"/>
        </w:rPr>
        <w:t xml:space="preserve"> &lt; 0.001</w:t>
      </w:r>
    </w:p>
    <w:p w14:paraId="5EE05FCC" w14:textId="77777777" w:rsidR="002E799B" w:rsidRDefault="002E799B" w:rsidP="002E799B">
      <w:pPr>
        <w:widowControl w:val="0"/>
        <w:autoSpaceDE w:val="0"/>
        <w:autoSpaceDN w:val="0"/>
        <w:adjustRightInd w:val="0"/>
        <w:rPr>
          <w:rFonts w:ascii="Times New Roman" w:hAnsi="Times New Roman"/>
        </w:rPr>
      </w:pPr>
    </w:p>
    <w:p w14:paraId="0A4A03ED" w14:textId="77777777" w:rsidR="002E799B" w:rsidRPr="004E4F3D" w:rsidRDefault="002E799B" w:rsidP="00693B57">
      <w:pPr>
        <w:rPr>
          <w:rFonts w:cs="Times New Roman"/>
          <w:color w:val="000000" w:themeColor="text1"/>
          <w:lang w:val="en-US"/>
        </w:rPr>
      </w:pPr>
      <w:bookmarkStart w:id="0" w:name="_GoBack"/>
      <w:bookmarkEnd w:id="0"/>
    </w:p>
    <w:sectPr w:rsidR="002E799B" w:rsidRPr="004E4F3D" w:rsidSect="00DA60F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EBC7B" w14:textId="77777777" w:rsidR="007A2286" w:rsidRDefault="007A2286" w:rsidP="00FF16CC">
      <w:r>
        <w:separator/>
      </w:r>
    </w:p>
  </w:endnote>
  <w:endnote w:type="continuationSeparator" w:id="0">
    <w:p w14:paraId="6F70B1A6" w14:textId="77777777" w:rsidR="007A2286" w:rsidRDefault="007A2286" w:rsidP="00FF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D9732" w14:textId="77777777" w:rsidR="007A2286" w:rsidRDefault="007A2286" w:rsidP="003F3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C97F1" w14:textId="77777777" w:rsidR="007A2286" w:rsidRDefault="007A22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46D38" w14:textId="77777777" w:rsidR="007A2286" w:rsidRDefault="007A2286" w:rsidP="003F3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799B">
      <w:rPr>
        <w:rStyle w:val="PageNumber"/>
        <w:noProof/>
      </w:rPr>
      <w:t>19</w:t>
    </w:r>
    <w:r>
      <w:rPr>
        <w:rStyle w:val="PageNumber"/>
      </w:rPr>
      <w:fldChar w:fldCharType="end"/>
    </w:r>
  </w:p>
  <w:p w14:paraId="609CF0F2" w14:textId="77777777" w:rsidR="007A2286" w:rsidRDefault="007A22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1BAE8" w14:textId="77777777" w:rsidR="007A2286" w:rsidRDefault="007A2286" w:rsidP="00FF16CC">
      <w:r>
        <w:separator/>
      </w:r>
    </w:p>
  </w:footnote>
  <w:footnote w:type="continuationSeparator" w:id="0">
    <w:p w14:paraId="496E9610" w14:textId="77777777" w:rsidR="007A2286" w:rsidRDefault="007A2286" w:rsidP="00FF16CC">
      <w:r>
        <w:continuationSeparator/>
      </w:r>
    </w:p>
  </w:footnote>
  <w:footnote w:id="1">
    <w:p w14:paraId="0E4510D3" w14:textId="32E71CDF" w:rsidR="007A2286" w:rsidRPr="0092050D" w:rsidRDefault="007A2286">
      <w:pPr>
        <w:pStyle w:val="FootnoteText"/>
      </w:pPr>
      <w:r w:rsidRPr="0092050D">
        <w:rPr>
          <w:rStyle w:val="FootnoteReference"/>
        </w:rPr>
        <w:footnoteRef/>
      </w:r>
      <w:r w:rsidRPr="0092050D">
        <w:t xml:space="preserve"> For more information about coding and reliability tests see </w:t>
      </w:r>
      <w:r>
        <w:t>Naurin et al (2013) “</w:t>
      </w:r>
      <w:r w:rsidRPr="0092050D">
        <w:rPr>
          <w:bCs/>
          <w:lang w:val="sv-SE"/>
        </w:rPr>
        <w:t>Coding observations of the Member States and judgments of the Court of Justice of the EU under the preliminary reference procedure 1997-2008: Data report”, Cergu Working Paper Series 2013:1</w:t>
      </w:r>
      <w:r>
        <w:rPr>
          <w:bCs/>
          <w:lang w:val="sv-SE"/>
        </w:rPr>
        <w:t>.</w:t>
      </w:r>
    </w:p>
  </w:footnote>
  <w:footnote w:id="2">
    <w:p w14:paraId="77E34ADE" w14:textId="77777777" w:rsidR="007A2286" w:rsidRPr="00DF01F1" w:rsidRDefault="007A2286" w:rsidP="00A611D7">
      <w:pPr>
        <w:pStyle w:val="FootnoteText"/>
      </w:pPr>
      <w:r>
        <w:rPr>
          <w:rStyle w:val="FootnoteReference"/>
        </w:rPr>
        <w:footnoteRef/>
      </w:r>
      <w:r>
        <w:t xml:space="preserve"> We use the Nice treaty numbering of articles throughout this appendix.</w:t>
      </w:r>
    </w:p>
  </w:footnote>
  <w:footnote w:id="3">
    <w:p w14:paraId="49570174" w14:textId="77777777" w:rsidR="007A2286" w:rsidRPr="003C2DAA" w:rsidRDefault="007A2286" w:rsidP="0051333B">
      <w:pPr>
        <w:pStyle w:val="FootnoteText"/>
        <w:rPr>
          <w:lang w:val="en-GB"/>
        </w:rPr>
      </w:pPr>
      <w:r>
        <w:rPr>
          <w:rStyle w:val="FootnoteReference"/>
        </w:rPr>
        <w:footnoteRef/>
      </w:r>
      <w:r w:rsidRPr="003C2DAA">
        <w:rPr>
          <w:lang w:val="en-GB"/>
        </w:rPr>
        <w:t xml:space="preserve"> </w:t>
      </w:r>
      <w:r w:rsidRPr="00AB74D4">
        <w:rPr>
          <w:i/>
        </w:rPr>
        <w:t>Laval</w:t>
      </w:r>
      <w:r w:rsidRPr="00AB74D4">
        <w:t xml:space="preserve"> C-341/05; </w:t>
      </w:r>
      <w:r w:rsidRPr="00AB74D4">
        <w:rPr>
          <w:i/>
        </w:rPr>
        <w:t>Rüffert</w:t>
      </w:r>
      <w:r w:rsidRPr="00AB74D4">
        <w:t xml:space="preserve">C-346/06; </w:t>
      </w:r>
      <w:r w:rsidRPr="00AB74D4">
        <w:rPr>
          <w:i/>
        </w:rPr>
        <w:t>Commission v Luxembourg</w:t>
      </w:r>
      <w:r>
        <w:t xml:space="preserve"> </w:t>
      </w:r>
      <w:r w:rsidRPr="00AB74D4">
        <w:t>C-319/06</w:t>
      </w:r>
      <w:r>
        <w:t xml:space="preserve">; </w:t>
      </w:r>
      <w:r w:rsidRPr="00AB74D4">
        <w:rPr>
          <w:i/>
        </w:rPr>
        <w:t>V</w:t>
      </w:r>
      <w:r>
        <w:rPr>
          <w:i/>
        </w:rPr>
        <w:t xml:space="preserve">iking </w:t>
      </w:r>
      <w:r>
        <w:t>C-438/05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43"/>
    <w:rsid w:val="00002165"/>
    <w:rsid w:val="00005347"/>
    <w:rsid w:val="00005D99"/>
    <w:rsid w:val="00023381"/>
    <w:rsid w:val="00023CA6"/>
    <w:rsid w:val="00023EDA"/>
    <w:rsid w:val="00025F32"/>
    <w:rsid w:val="00034634"/>
    <w:rsid w:val="000359A0"/>
    <w:rsid w:val="00037639"/>
    <w:rsid w:val="00037794"/>
    <w:rsid w:val="00042211"/>
    <w:rsid w:val="000433F4"/>
    <w:rsid w:val="00044B9C"/>
    <w:rsid w:val="00055DAE"/>
    <w:rsid w:val="0006366D"/>
    <w:rsid w:val="00063D00"/>
    <w:rsid w:val="00083EC5"/>
    <w:rsid w:val="00087992"/>
    <w:rsid w:val="000914FB"/>
    <w:rsid w:val="00096B36"/>
    <w:rsid w:val="000A22B1"/>
    <w:rsid w:val="000B664D"/>
    <w:rsid w:val="000C78EF"/>
    <w:rsid w:val="000D7188"/>
    <w:rsid w:val="000E22EE"/>
    <w:rsid w:val="000E5363"/>
    <w:rsid w:val="00121363"/>
    <w:rsid w:val="00122B23"/>
    <w:rsid w:val="001316D5"/>
    <w:rsid w:val="0013288A"/>
    <w:rsid w:val="001414DC"/>
    <w:rsid w:val="00145938"/>
    <w:rsid w:val="001476B2"/>
    <w:rsid w:val="00170758"/>
    <w:rsid w:val="001756FD"/>
    <w:rsid w:val="00180E14"/>
    <w:rsid w:val="001850F4"/>
    <w:rsid w:val="00191CC6"/>
    <w:rsid w:val="00193A54"/>
    <w:rsid w:val="001C5166"/>
    <w:rsid w:val="001C67CA"/>
    <w:rsid w:val="001C6C03"/>
    <w:rsid w:val="001D1DF3"/>
    <w:rsid w:val="001D70D0"/>
    <w:rsid w:val="001E1F83"/>
    <w:rsid w:val="001F0A13"/>
    <w:rsid w:val="00203AD7"/>
    <w:rsid w:val="00206379"/>
    <w:rsid w:val="00213D05"/>
    <w:rsid w:val="002305FC"/>
    <w:rsid w:val="002329D3"/>
    <w:rsid w:val="0024119C"/>
    <w:rsid w:val="002414C4"/>
    <w:rsid w:val="00245803"/>
    <w:rsid w:val="002509D8"/>
    <w:rsid w:val="00262896"/>
    <w:rsid w:val="00267F63"/>
    <w:rsid w:val="0027130C"/>
    <w:rsid w:val="00273857"/>
    <w:rsid w:val="00291535"/>
    <w:rsid w:val="00293657"/>
    <w:rsid w:val="00295291"/>
    <w:rsid w:val="002A5EFA"/>
    <w:rsid w:val="002B00FC"/>
    <w:rsid w:val="002E2FB6"/>
    <w:rsid w:val="002E799B"/>
    <w:rsid w:val="002F160A"/>
    <w:rsid w:val="002F1D9A"/>
    <w:rsid w:val="002F363E"/>
    <w:rsid w:val="003049F4"/>
    <w:rsid w:val="00331D81"/>
    <w:rsid w:val="00334CED"/>
    <w:rsid w:val="0034202D"/>
    <w:rsid w:val="0034278F"/>
    <w:rsid w:val="003475D5"/>
    <w:rsid w:val="00353285"/>
    <w:rsid w:val="003728CE"/>
    <w:rsid w:val="00377FDA"/>
    <w:rsid w:val="003812EB"/>
    <w:rsid w:val="0038257E"/>
    <w:rsid w:val="00383E92"/>
    <w:rsid w:val="00386782"/>
    <w:rsid w:val="00395C45"/>
    <w:rsid w:val="00396282"/>
    <w:rsid w:val="003A51AD"/>
    <w:rsid w:val="003A7745"/>
    <w:rsid w:val="003B0EC5"/>
    <w:rsid w:val="003B6855"/>
    <w:rsid w:val="003B763A"/>
    <w:rsid w:val="003C0661"/>
    <w:rsid w:val="003C2DAA"/>
    <w:rsid w:val="003C46A4"/>
    <w:rsid w:val="003D0BA0"/>
    <w:rsid w:val="003E6819"/>
    <w:rsid w:val="003F39A7"/>
    <w:rsid w:val="00410125"/>
    <w:rsid w:val="0041392F"/>
    <w:rsid w:val="00413F55"/>
    <w:rsid w:val="00414223"/>
    <w:rsid w:val="00425FE3"/>
    <w:rsid w:val="0043030A"/>
    <w:rsid w:val="00434D7C"/>
    <w:rsid w:val="0044593B"/>
    <w:rsid w:val="00453456"/>
    <w:rsid w:val="00453E4F"/>
    <w:rsid w:val="00455794"/>
    <w:rsid w:val="0045713D"/>
    <w:rsid w:val="0047258D"/>
    <w:rsid w:val="004776CC"/>
    <w:rsid w:val="0048113A"/>
    <w:rsid w:val="00482700"/>
    <w:rsid w:val="004A5A20"/>
    <w:rsid w:val="004A6774"/>
    <w:rsid w:val="004A67A2"/>
    <w:rsid w:val="004B1B35"/>
    <w:rsid w:val="004C341E"/>
    <w:rsid w:val="004C60B1"/>
    <w:rsid w:val="004C7F5D"/>
    <w:rsid w:val="004D316D"/>
    <w:rsid w:val="004E4F3D"/>
    <w:rsid w:val="004F1535"/>
    <w:rsid w:val="004F4F9D"/>
    <w:rsid w:val="004F6207"/>
    <w:rsid w:val="004F7931"/>
    <w:rsid w:val="0051333B"/>
    <w:rsid w:val="0052598E"/>
    <w:rsid w:val="00541F65"/>
    <w:rsid w:val="005446B0"/>
    <w:rsid w:val="005542C9"/>
    <w:rsid w:val="00565938"/>
    <w:rsid w:val="00571261"/>
    <w:rsid w:val="00575794"/>
    <w:rsid w:val="00580098"/>
    <w:rsid w:val="00583F99"/>
    <w:rsid w:val="005903DC"/>
    <w:rsid w:val="005929AB"/>
    <w:rsid w:val="005A735E"/>
    <w:rsid w:val="005B3D93"/>
    <w:rsid w:val="005B4EFF"/>
    <w:rsid w:val="005C0680"/>
    <w:rsid w:val="005C1D2A"/>
    <w:rsid w:val="005D6B34"/>
    <w:rsid w:val="005D6E2B"/>
    <w:rsid w:val="005F6F03"/>
    <w:rsid w:val="00601476"/>
    <w:rsid w:val="00616DA4"/>
    <w:rsid w:val="00620230"/>
    <w:rsid w:val="006427CD"/>
    <w:rsid w:val="00643F79"/>
    <w:rsid w:val="006464FA"/>
    <w:rsid w:val="00646B9B"/>
    <w:rsid w:val="00654BD7"/>
    <w:rsid w:val="006567AD"/>
    <w:rsid w:val="00663652"/>
    <w:rsid w:val="0066451C"/>
    <w:rsid w:val="0066749A"/>
    <w:rsid w:val="00684C20"/>
    <w:rsid w:val="00690688"/>
    <w:rsid w:val="00693936"/>
    <w:rsid w:val="00693B57"/>
    <w:rsid w:val="006A5419"/>
    <w:rsid w:val="006A79EE"/>
    <w:rsid w:val="006B0A2E"/>
    <w:rsid w:val="006B786A"/>
    <w:rsid w:val="006D2C3E"/>
    <w:rsid w:val="006E079A"/>
    <w:rsid w:val="006E5407"/>
    <w:rsid w:val="006E6BC0"/>
    <w:rsid w:val="006F22E1"/>
    <w:rsid w:val="006F7042"/>
    <w:rsid w:val="0070089A"/>
    <w:rsid w:val="00703A6D"/>
    <w:rsid w:val="0070668B"/>
    <w:rsid w:val="0070693B"/>
    <w:rsid w:val="007117FA"/>
    <w:rsid w:val="00712B7C"/>
    <w:rsid w:val="00712F9B"/>
    <w:rsid w:val="00713C91"/>
    <w:rsid w:val="0072095B"/>
    <w:rsid w:val="007235B5"/>
    <w:rsid w:val="00725AFF"/>
    <w:rsid w:val="00741568"/>
    <w:rsid w:val="00745945"/>
    <w:rsid w:val="00747EAB"/>
    <w:rsid w:val="007627B6"/>
    <w:rsid w:val="0076371E"/>
    <w:rsid w:val="00766187"/>
    <w:rsid w:val="007805D7"/>
    <w:rsid w:val="00785C13"/>
    <w:rsid w:val="00786A55"/>
    <w:rsid w:val="00787A56"/>
    <w:rsid w:val="0079192E"/>
    <w:rsid w:val="007A2286"/>
    <w:rsid w:val="007A5261"/>
    <w:rsid w:val="007B5302"/>
    <w:rsid w:val="007B5D97"/>
    <w:rsid w:val="007E0FD5"/>
    <w:rsid w:val="007E4D84"/>
    <w:rsid w:val="007E7E74"/>
    <w:rsid w:val="007F416A"/>
    <w:rsid w:val="00811EBC"/>
    <w:rsid w:val="00821D0E"/>
    <w:rsid w:val="00826B0B"/>
    <w:rsid w:val="00835C11"/>
    <w:rsid w:val="0084279D"/>
    <w:rsid w:val="00856761"/>
    <w:rsid w:val="008626F7"/>
    <w:rsid w:val="008637A2"/>
    <w:rsid w:val="00865587"/>
    <w:rsid w:val="00872EDA"/>
    <w:rsid w:val="008759E4"/>
    <w:rsid w:val="008808A5"/>
    <w:rsid w:val="00883970"/>
    <w:rsid w:val="008867B9"/>
    <w:rsid w:val="008926AC"/>
    <w:rsid w:val="00896C18"/>
    <w:rsid w:val="008B132F"/>
    <w:rsid w:val="008B5B01"/>
    <w:rsid w:val="008C5E40"/>
    <w:rsid w:val="008F114F"/>
    <w:rsid w:val="008F2E5A"/>
    <w:rsid w:val="009018D5"/>
    <w:rsid w:val="00903612"/>
    <w:rsid w:val="00906B1B"/>
    <w:rsid w:val="009177A5"/>
    <w:rsid w:val="0092050D"/>
    <w:rsid w:val="00920C63"/>
    <w:rsid w:val="0094242C"/>
    <w:rsid w:val="009435A4"/>
    <w:rsid w:val="00945478"/>
    <w:rsid w:val="009469C3"/>
    <w:rsid w:val="00946D8B"/>
    <w:rsid w:val="00947AF2"/>
    <w:rsid w:val="009511B4"/>
    <w:rsid w:val="009535F2"/>
    <w:rsid w:val="009568B6"/>
    <w:rsid w:val="00960BA3"/>
    <w:rsid w:val="00962F55"/>
    <w:rsid w:val="00971EAC"/>
    <w:rsid w:val="009735C4"/>
    <w:rsid w:val="0098458A"/>
    <w:rsid w:val="009979C0"/>
    <w:rsid w:val="009A6DA5"/>
    <w:rsid w:val="009A7D64"/>
    <w:rsid w:val="009B5064"/>
    <w:rsid w:val="009B5BFE"/>
    <w:rsid w:val="009C446B"/>
    <w:rsid w:val="009C44F0"/>
    <w:rsid w:val="009D0EDE"/>
    <w:rsid w:val="009D2F1B"/>
    <w:rsid w:val="009E1046"/>
    <w:rsid w:val="009E682E"/>
    <w:rsid w:val="009F0256"/>
    <w:rsid w:val="00A1465B"/>
    <w:rsid w:val="00A235BF"/>
    <w:rsid w:val="00A26297"/>
    <w:rsid w:val="00A35B91"/>
    <w:rsid w:val="00A4502B"/>
    <w:rsid w:val="00A45896"/>
    <w:rsid w:val="00A508CC"/>
    <w:rsid w:val="00A5721A"/>
    <w:rsid w:val="00A611D7"/>
    <w:rsid w:val="00A72AE2"/>
    <w:rsid w:val="00A81E1A"/>
    <w:rsid w:val="00A907E3"/>
    <w:rsid w:val="00AC34A2"/>
    <w:rsid w:val="00AD08B9"/>
    <w:rsid w:val="00AD0DF8"/>
    <w:rsid w:val="00AD3E0C"/>
    <w:rsid w:val="00AD7C77"/>
    <w:rsid w:val="00AF069C"/>
    <w:rsid w:val="00AF3D12"/>
    <w:rsid w:val="00B00213"/>
    <w:rsid w:val="00B0560F"/>
    <w:rsid w:val="00B06933"/>
    <w:rsid w:val="00B07DCC"/>
    <w:rsid w:val="00B12943"/>
    <w:rsid w:val="00B30F57"/>
    <w:rsid w:val="00B3131C"/>
    <w:rsid w:val="00B32070"/>
    <w:rsid w:val="00B35783"/>
    <w:rsid w:val="00B4099E"/>
    <w:rsid w:val="00B43B8D"/>
    <w:rsid w:val="00B5381F"/>
    <w:rsid w:val="00B63290"/>
    <w:rsid w:val="00B7057E"/>
    <w:rsid w:val="00B85997"/>
    <w:rsid w:val="00BA0421"/>
    <w:rsid w:val="00BA2512"/>
    <w:rsid w:val="00BA2781"/>
    <w:rsid w:val="00BB676B"/>
    <w:rsid w:val="00BC207B"/>
    <w:rsid w:val="00BC2C4B"/>
    <w:rsid w:val="00BD3237"/>
    <w:rsid w:val="00BD614A"/>
    <w:rsid w:val="00BE26E8"/>
    <w:rsid w:val="00BE7402"/>
    <w:rsid w:val="00BE7AE3"/>
    <w:rsid w:val="00C205F3"/>
    <w:rsid w:val="00C23243"/>
    <w:rsid w:val="00C319AD"/>
    <w:rsid w:val="00C3654F"/>
    <w:rsid w:val="00C4094D"/>
    <w:rsid w:val="00C41A7D"/>
    <w:rsid w:val="00C509FE"/>
    <w:rsid w:val="00C54465"/>
    <w:rsid w:val="00C7311B"/>
    <w:rsid w:val="00C7379E"/>
    <w:rsid w:val="00C7645D"/>
    <w:rsid w:val="00C76E27"/>
    <w:rsid w:val="00C85CFC"/>
    <w:rsid w:val="00C91EF4"/>
    <w:rsid w:val="00C963B1"/>
    <w:rsid w:val="00CA406D"/>
    <w:rsid w:val="00CB0E70"/>
    <w:rsid w:val="00CE0C59"/>
    <w:rsid w:val="00CE19D3"/>
    <w:rsid w:val="00CE1E75"/>
    <w:rsid w:val="00CE57A6"/>
    <w:rsid w:val="00CF449E"/>
    <w:rsid w:val="00D047FD"/>
    <w:rsid w:val="00D13D87"/>
    <w:rsid w:val="00D1656B"/>
    <w:rsid w:val="00D421E2"/>
    <w:rsid w:val="00D54220"/>
    <w:rsid w:val="00D65E90"/>
    <w:rsid w:val="00D75B59"/>
    <w:rsid w:val="00D8299E"/>
    <w:rsid w:val="00D86291"/>
    <w:rsid w:val="00D864AF"/>
    <w:rsid w:val="00D91A85"/>
    <w:rsid w:val="00D92088"/>
    <w:rsid w:val="00D927D4"/>
    <w:rsid w:val="00D929B4"/>
    <w:rsid w:val="00DA4B53"/>
    <w:rsid w:val="00DA60F9"/>
    <w:rsid w:val="00DB122F"/>
    <w:rsid w:val="00DB3B7F"/>
    <w:rsid w:val="00DC310B"/>
    <w:rsid w:val="00DC73ED"/>
    <w:rsid w:val="00DD23C2"/>
    <w:rsid w:val="00DE2D5E"/>
    <w:rsid w:val="00DE339E"/>
    <w:rsid w:val="00DF01F1"/>
    <w:rsid w:val="00DF17FB"/>
    <w:rsid w:val="00DF6566"/>
    <w:rsid w:val="00E00593"/>
    <w:rsid w:val="00E0227C"/>
    <w:rsid w:val="00E139C3"/>
    <w:rsid w:val="00E202A1"/>
    <w:rsid w:val="00E2324F"/>
    <w:rsid w:val="00E36ACD"/>
    <w:rsid w:val="00E73052"/>
    <w:rsid w:val="00E751E1"/>
    <w:rsid w:val="00E81302"/>
    <w:rsid w:val="00E874C0"/>
    <w:rsid w:val="00EB5347"/>
    <w:rsid w:val="00EC36AB"/>
    <w:rsid w:val="00EC382B"/>
    <w:rsid w:val="00ED10C4"/>
    <w:rsid w:val="00ED1D30"/>
    <w:rsid w:val="00ED5245"/>
    <w:rsid w:val="00EE438B"/>
    <w:rsid w:val="00EE482A"/>
    <w:rsid w:val="00EE7B89"/>
    <w:rsid w:val="00EF172F"/>
    <w:rsid w:val="00F07E46"/>
    <w:rsid w:val="00F122BC"/>
    <w:rsid w:val="00F12726"/>
    <w:rsid w:val="00F22CDB"/>
    <w:rsid w:val="00F23599"/>
    <w:rsid w:val="00F3490B"/>
    <w:rsid w:val="00F44CA9"/>
    <w:rsid w:val="00F4548E"/>
    <w:rsid w:val="00F5565B"/>
    <w:rsid w:val="00F57B94"/>
    <w:rsid w:val="00F662D2"/>
    <w:rsid w:val="00F774C3"/>
    <w:rsid w:val="00F805B9"/>
    <w:rsid w:val="00F831C6"/>
    <w:rsid w:val="00F8321B"/>
    <w:rsid w:val="00F92F0D"/>
    <w:rsid w:val="00FA0C33"/>
    <w:rsid w:val="00FA17EA"/>
    <w:rsid w:val="00FB1E52"/>
    <w:rsid w:val="00FB25A8"/>
    <w:rsid w:val="00FB4439"/>
    <w:rsid w:val="00FB51C2"/>
    <w:rsid w:val="00FC160D"/>
    <w:rsid w:val="00FD1280"/>
    <w:rsid w:val="00FF16CC"/>
    <w:rsid w:val="00FF2511"/>
    <w:rsid w:val="00FF5F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4556A7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1414DC"/>
    <w:pPr>
      <w:keepNext/>
      <w:widowControl w:val="0"/>
      <w:autoSpaceDE w:val="0"/>
      <w:autoSpaceDN w:val="0"/>
      <w:adjustRightInd w:val="0"/>
      <w:spacing w:before="240" w:after="120"/>
      <w:outlineLvl w:val="1"/>
    </w:pPr>
    <w:rPr>
      <w:rFonts w:ascii="Times New Roman" w:hAnsi="Times New Roman" w:cs="Times New Roman"/>
      <w:b/>
      <w:bCs/>
      <w:noProof/>
      <w:sz w:val="32"/>
      <w:szCs w:val="3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E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EDE"/>
    <w:rPr>
      <w:rFonts w:ascii="Lucida Grande" w:hAnsi="Lucida Grande" w:cs="Lucida Grande"/>
      <w:sz w:val="18"/>
      <w:szCs w:val="18"/>
    </w:rPr>
  </w:style>
  <w:style w:type="paragraph" w:styleId="FootnoteText">
    <w:name w:val="footnote text"/>
    <w:basedOn w:val="Normal"/>
    <w:link w:val="FootnoteTextChar"/>
    <w:uiPriority w:val="99"/>
    <w:unhideWhenUsed/>
    <w:rsid w:val="00FF16CC"/>
    <w:rPr>
      <w:rFonts w:ascii="Times New Roman" w:eastAsiaTheme="minorHAnsi" w:hAnsi="Times New Roman"/>
      <w:sz w:val="20"/>
      <w:szCs w:val="20"/>
      <w:lang w:val="en-US"/>
    </w:rPr>
  </w:style>
  <w:style w:type="character" w:customStyle="1" w:styleId="FootnoteTextChar">
    <w:name w:val="Footnote Text Char"/>
    <w:basedOn w:val="DefaultParagraphFont"/>
    <w:link w:val="FootnoteText"/>
    <w:uiPriority w:val="99"/>
    <w:rsid w:val="00FF16CC"/>
    <w:rPr>
      <w:rFonts w:ascii="Times New Roman" w:eastAsiaTheme="minorHAnsi" w:hAnsi="Times New Roman"/>
      <w:sz w:val="20"/>
      <w:szCs w:val="20"/>
      <w:lang w:val="en-US"/>
    </w:rPr>
  </w:style>
  <w:style w:type="character" w:styleId="FootnoteReference">
    <w:name w:val="footnote reference"/>
    <w:basedOn w:val="DefaultParagraphFont"/>
    <w:uiPriority w:val="99"/>
    <w:unhideWhenUsed/>
    <w:rsid w:val="00FF16CC"/>
    <w:rPr>
      <w:vertAlign w:val="superscript"/>
    </w:rPr>
  </w:style>
  <w:style w:type="paragraph" w:styleId="CommentText">
    <w:name w:val="annotation text"/>
    <w:basedOn w:val="Normal"/>
    <w:link w:val="CommentTextChar"/>
    <w:uiPriority w:val="99"/>
    <w:unhideWhenUsed/>
    <w:rsid w:val="00FF16CC"/>
    <w:rPr>
      <w:rFonts w:ascii="Times New Roman" w:eastAsiaTheme="minorHAnsi" w:hAnsi="Times New Roman"/>
      <w:lang w:val="en-US"/>
    </w:rPr>
  </w:style>
  <w:style w:type="character" w:customStyle="1" w:styleId="CommentTextChar">
    <w:name w:val="Comment Text Char"/>
    <w:basedOn w:val="DefaultParagraphFont"/>
    <w:link w:val="CommentText"/>
    <w:uiPriority w:val="99"/>
    <w:rsid w:val="00FF16CC"/>
    <w:rPr>
      <w:rFonts w:ascii="Times New Roman" w:eastAsiaTheme="minorHAnsi" w:hAnsi="Times New Roman"/>
      <w:lang w:val="en-US"/>
    </w:rPr>
  </w:style>
  <w:style w:type="paragraph" w:styleId="Footer">
    <w:name w:val="footer"/>
    <w:basedOn w:val="Normal"/>
    <w:link w:val="FooterChar"/>
    <w:uiPriority w:val="99"/>
    <w:unhideWhenUsed/>
    <w:rsid w:val="001C67CA"/>
    <w:pPr>
      <w:tabs>
        <w:tab w:val="center" w:pos="4153"/>
        <w:tab w:val="right" w:pos="8306"/>
      </w:tabs>
    </w:pPr>
  </w:style>
  <w:style w:type="character" w:customStyle="1" w:styleId="FooterChar">
    <w:name w:val="Footer Char"/>
    <w:basedOn w:val="DefaultParagraphFont"/>
    <w:link w:val="Footer"/>
    <w:uiPriority w:val="99"/>
    <w:rsid w:val="001C67CA"/>
  </w:style>
  <w:style w:type="character" w:styleId="PageNumber">
    <w:name w:val="page number"/>
    <w:basedOn w:val="DefaultParagraphFont"/>
    <w:uiPriority w:val="99"/>
    <w:semiHidden/>
    <w:unhideWhenUsed/>
    <w:rsid w:val="001C67CA"/>
  </w:style>
  <w:style w:type="character" w:customStyle="1" w:styleId="Heading2Char">
    <w:name w:val="Heading 2 Char"/>
    <w:basedOn w:val="DefaultParagraphFont"/>
    <w:link w:val="Heading2"/>
    <w:uiPriority w:val="99"/>
    <w:rsid w:val="001414DC"/>
    <w:rPr>
      <w:rFonts w:ascii="Times New Roman" w:hAnsi="Times New Roman" w:cs="Times New Roman"/>
      <w:b/>
      <w:bCs/>
      <w:noProof/>
      <w:sz w:val="32"/>
      <w:szCs w:val="32"/>
      <w:lang w:val="en-GB" w:eastAsia="en-GB"/>
    </w:rPr>
  </w:style>
  <w:style w:type="table" w:styleId="TableGrid">
    <w:name w:val="Table Grid"/>
    <w:basedOn w:val="TableNormal"/>
    <w:uiPriority w:val="59"/>
    <w:rsid w:val="00481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3970"/>
    <w:rPr>
      <w:sz w:val="18"/>
      <w:szCs w:val="18"/>
    </w:rPr>
  </w:style>
  <w:style w:type="paragraph" w:styleId="CommentSubject">
    <w:name w:val="annotation subject"/>
    <w:basedOn w:val="CommentText"/>
    <w:next w:val="CommentText"/>
    <w:link w:val="CommentSubjectChar"/>
    <w:uiPriority w:val="99"/>
    <w:semiHidden/>
    <w:unhideWhenUsed/>
    <w:rsid w:val="00883970"/>
    <w:rPr>
      <w:rFonts w:asciiTheme="minorHAnsi" w:eastAsiaTheme="minorEastAsia" w:hAnsiTheme="minorHAnsi"/>
      <w:b/>
      <w:bCs/>
      <w:sz w:val="20"/>
      <w:szCs w:val="20"/>
      <w:lang w:val="sv-SE"/>
    </w:rPr>
  </w:style>
  <w:style w:type="character" w:customStyle="1" w:styleId="CommentSubjectChar">
    <w:name w:val="Comment Subject Char"/>
    <w:basedOn w:val="CommentTextChar"/>
    <w:link w:val="CommentSubject"/>
    <w:uiPriority w:val="99"/>
    <w:semiHidden/>
    <w:rsid w:val="00883970"/>
    <w:rPr>
      <w:rFonts w:ascii="Times New Roman" w:eastAsiaTheme="minorHAnsi" w:hAnsi="Times New Roman"/>
      <w:b/>
      <w:bCs/>
      <w:sz w:val="20"/>
      <w:szCs w:val="20"/>
      <w:lang w:val="en-US"/>
    </w:rPr>
  </w:style>
  <w:style w:type="character" w:styleId="Emphasis">
    <w:name w:val="Emphasis"/>
    <w:basedOn w:val="DefaultParagraphFont"/>
    <w:uiPriority w:val="20"/>
    <w:qFormat/>
    <w:rsid w:val="0051333B"/>
    <w:rPr>
      <w:i/>
      <w:iCs/>
    </w:rPr>
  </w:style>
  <w:style w:type="character" w:customStyle="1" w:styleId="st">
    <w:name w:val="st"/>
    <w:basedOn w:val="DefaultParagraphFont"/>
    <w:rsid w:val="009E68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1414DC"/>
    <w:pPr>
      <w:keepNext/>
      <w:widowControl w:val="0"/>
      <w:autoSpaceDE w:val="0"/>
      <w:autoSpaceDN w:val="0"/>
      <w:adjustRightInd w:val="0"/>
      <w:spacing w:before="240" w:after="120"/>
      <w:outlineLvl w:val="1"/>
    </w:pPr>
    <w:rPr>
      <w:rFonts w:ascii="Times New Roman" w:hAnsi="Times New Roman" w:cs="Times New Roman"/>
      <w:b/>
      <w:bCs/>
      <w:noProof/>
      <w:sz w:val="32"/>
      <w:szCs w:val="3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E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EDE"/>
    <w:rPr>
      <w:rFonts w:ascii="Lucida Grande" w:hAnsi="Lucida Grande" w:cs="Lucida Grande"/>
      <w:sz w:val="18"/>
      <w:szCs w:val="18"/>
    </w:rPr>
  </w:style>
  <w:style w:type="paragraph" w:styleId="FootnoteText">
    <w:name w:val="footnote text"/>
    <w:basedOn w:val="Normal"/>
    <w:link w:val="FootnoteTextChar"/>
    <w:uiPriority w:val="99"/>
    <w:unhideWhenUsed/>
    <w:rsid w:val="00FF16CC"/>
    <w:rPr>
      <w:rFonts w:ascii="Times New Roman" w:eastAsiaTheme="minorHAnsi" w:hAnsi="Times New Roman"/>
      <w:sz w:val="20"/>
      <w:szCs w:val="20"/>
      <w:lang w:val="en-US"/>
    </w:rPr>
  </w:style>
  <w:style w:type="character" w:customStyle="1" w:styleId="FootnoteTextChar">
    <w:name w:val="Footnote Text Char"/>
    <w:basedOn w:val="DefaultParagraphFont"/>
    <w:link w:val="FootnoteText"/>
    <w:uiPriority w:val="99"/>
    <w:rsid w:val="00FF16CC"/>
    <w:rPr>
      <w:rFonts w:ascii="Times New Roman" w:eastAsiaTheme="minorHAnsi" w:hAnsi="Times New Roman"/>
      <w:sz w:val="20"/>
      <w:szCs w:val="20"/>
      <w:lang w:val="en-US"/>
    </w:rPr>
  </w:style>
  <w:style w:type="character" w:styleId="FootnoteReference">
    <w:name w:val="footnote reference"/>
    <w:basedOn w:val="DefaultParagraphFont"/>
    <w:uiPriority w:val="99"/>
    <w:unhideWhenUsed/>
    <w:rsid w:val="00FF16CC"/>
    <w:rPr>
      <w:vertAlign w:val="superscript"/>
    </w:rPr>
  </w:style>
  <w:style w:type="paragraph" w:styleId="CommentText">
    <w:name w:val="annotation text"/>
    <w:basedOn w:val="Normal"/>
    <w:link w:val="CommentTextChar"/>
    <w:uiPriority w:val="99"/>
    <w:unhideWhenUsed/>
    <w:rsid w:val="00FF16CC"/>
    <w:rPr>
      <w:rFonts w:ascii="Times New Roman" w:eastAsiaTheme="minorHAnsi" w:hAnsi="Times New Roman"/>
      <w:lang w:val="en-US"/>
    </w:rPr>
  </w:style>
  <w:style w:type="character" w:customStyle="1" w:styleId="CommentTextChar">
    <w:name w:val="Comment Text Char"/>
    <w:basedOn w:val="DefaultParagraphFont"/>
    <w:link w:val="CommentText"/>
    <w:uiPriority w:val="99"/>
    <w:rsid w:val="00FF16CC"/>
    <w:rPr>
      <w:rFonts w:ascii="Times New Roman" w:eastAsiaTheme="minorHAnsi" w:hAnsi="Times New Roman"/>
      <w:lang w:val="en-US"/>
    </w:rPr>
  </w:style>
  <w:style w:type="paragraph" w:styleId="Footer">
    <w:name w:val="footer"/>
    <w:basedOn w:val="Normal"/>
    <w:link w:val="FooterChar"/>
    <w:uiPriority w:val="99"/>
    <w:unhideWhenUsed/>
    <w:rsid w:val="001C67CA"/>
    <w:pPr>
      <w:tabs>
        <w:tab w:val="center" w:pos="4153"/>
        <w:tab w:val="right" w:pos="8306"/>
      </w:tabs>
    </w:pPr>
  </w:style>
  <w:style w:type="character" w:customStyle="1" w:styleId="FooterChar">
    <w:name w:val="Footer Char"/>
    <w:basedOn w:val="DefaultParagraphFont"/>
    <w:link w:val="Footer"/>
    <w:uiPriority w:val="99"/>
    <w:rsid w:val="001C67CA"/>
  </w:style>
  <w:style w:type="character" w:styleId="PageNumber">
    <w:name w:val="page number"/>
    <w:basedOn w:val="DefaultParagraphFont"/>
    <w:uiPriority w:val="99"/>
    <w:semiHidden/>
    <w:unhideWhenUsed/>
    <w:rsid w:val="001C67CA"/>
  </w:style>
  <w:style w:type="character" w:customStyle="1" w:styleId="Heading2Char">
    <w:name w:val="Heading 2 Char"/>
    <w:basedOn w:val="DefaultParagraphFont"/>
    <w:link w:val="Heading2"/>
    <w:uiPriority w:val="99"/>
    <w:rsid w:val="001414DC"/>
    <w:rPr>
      <w:rFonts w:ascii="Times New Roman" w:hAnsi="Times New Roman" w:cs="Times New Roman"/>
      <w:b/>
      <w:bCs/>
      <w:noProof/>
      <w:sz w:val="32"/>
      <w:szCs w:val="32"/>
      <w:lang w:val="en-GB" w:eastAsia="en-GB"/>
    </w:rPr>
  </w:style>
  <w:style w:type="table" w:styleId="TableGrid">
    <w:name w:val="Table Grid"/>
    <w:basedOn w:val="TableNormal"/>
    <w:uiPriority w:val="59"/>
    <w:rsid w:val="00481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3970"/>
    <w:rPr>
      <w:sz w:val="18"/>
      <w:szCs w:val="18"/>
    </w:rPr>
  </w:style>
  <w:style w:type="paragraph" w:styleId="CommentSubject">
    <w:name w:val="annotation subject"/>
    <w:basedOn w:val="CommentText"/>
    <w:next w:val="CommentText"/>
    <w:link w:val="CommentSubjectChar"/>
    <w:uiPriority w:val="99"/>
    <w:semiHidden/>
    <w:unhideWhenUsed/>
    <w:rsid w:val="00883970"/>
    <w:rPr>
      <w:rFonts w:asciiTheme="minorHAnsi" w:eastAsiaTheme="minorEastAsia" w:hAnsiTheme="minorHAnsi"/>
      <w:b/>
      <w:bCs/>
      <w:sz w:val="20"/>
      <w:szCs w:val="20"/>
      <w:lang w:val="sv-SE"/>
    </w:rPr>
  </w:style>
  <w:style w:type="character" w:customStyle="1" w:styleId="CommentSubjectChar">
    <w:name w:val="Comment Subject Char"/>
    <w:basedOn w:val="CommentTextChar"/>
    <w:link w:val="CommentSubject"/>
    <w:uiPriority w:val="99"/>
    <w:semiHidden/>
    <w:rsid w:val="00883970"/>
    <w:rPr>
      <w:rFonts w:ascii="Times New Roman" w:eastAsiaTheme="minorHAnsi" w:hAnsi="Times New Roman"/>
      <w:b/>
      <w:bCs/>
      <w:sz w:val="20"/>
      <w:szCs w:val="20"/>
      <w:lang w:val="en-US"/>
    </w:rPr>
  </w:style>
  <w:style w:type="character" w:styleId="Emphasis">
    <w:name w:val="Emphasis"/>
    <w:basedOn w:val="DefaultParagraphFont"/>
    <w:uiPriority w:val="20"/>
    <w:qFormat/>
    <w:rsid w:val="0051333B"/>
    <w:rPr>
      <w:i/>
      <w:iCs/>
    </w:rPr>
  </w:style>
  <w:style w:type="character" w:customStyle="1" w:styleId="st">
    <w:name w:val="st"/>
    <w:basedOn w:val="DefaultParagraphFont"/>
    <w:rsid w:val="009E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156">
      <w:bodyDiv w:val="1"/>
      <w:marLeft w:val="0"/>
      <w:marRight w:val="0"/>
      <w:marTop w:val="0"/>
      <w:marBottom w:val="0"/>
      <w:divBdr>
        <w:top w:val="none" w:sz="0" w:space="0" w:color="auto"/>
        <w:left w:val="none" w:sz="0" w:space="0" w:color="auto"/>
        <w:bottom w:val="none" w:sz="0" w:space="0" w:color="auto"/>
        <w:right w:val="none" w:sz="0" w:space="0" w:color="auto"/>
      </w:divBdr>
    </w:div>
    <w:div w:id="94052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image" Target="media/image7.emf"/><Relationship Id="rId17" Type="http://schemas.openxmlformats.org/officeDocument/2006/relationships/image" Target="media/image8.emf"/><Relationship Id="rId18" Type="http://schemas.openxmlformats.org/officeDocument/2006/relationships/image" Target="media/image9.em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7BBB-1463-5649-A0D7-4B9C3155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4291</Words>
  <Characters>23303</Characters>
  <Application>Microsoft Macintosh Word</Application>
  <DocSecurity>0</DocSecurity>
  <Lines>495</Lines>
  <Paragraphs>148</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27446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Naurin</dc:creator>
  <cp:lastModifiedBy>Daniel Naurin</cp:lastModifiedBy>
  <cp:revision>43</cp:revision>
  <dcterms:created xsi:type="dcterms:W3CDTF">2014-12-15T20:08:00Z</dcterms:created>
  <dcterms:modified xsi:type="dcterms:W3CDTF">2014-12-17T14:20:00Z</dcterms:modified>
</cp:coreProperties>
</file>