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79" w:rsidRPr="00403D3A" w:rsidRDefault="00A00D79" w:rsidP="00A00D79">
      <w:pPr>
        <w:spacing w:after="120" w:line="480" w:lineRule="auto"/>
        <w:rPr>
          <w:rFonts w:ascii="Garamond" w:hAnsi="Garamond"/>
          <w:b/>
          <w:sz w:val="24"/>
          <w:szCs w:val="24"/>
          <w:lang w:val="en-US"/>
        </w:rPr>
      </w:pPr>
      <w:r w:rsidRPr="00403D3A">
        <w:rPr>
          <w:rFonts w:ascii="Garamond" w:hAnsi="Garamond"/>
          <w:b/>
          <w:sz w:val="24"/>
          <w:szCs w:val="24"/>
          <w:lang w:val="en-US"/>
        </w:rPr>
        <w:t>Appendix</w:t>
      </w:r>
    </w:p>
    <w:p w:rsidR="00A00D79" w:rsidRDefault="00A00D79" w:rsidP="00A00D79">
      <w:pPr>
        <w:spacing w:after="120" w:line="480" w:lineRule="auto"/>
        <w:rPr>
          <w:rFonts w:ascii="Garamond" w:hAnsi="Garamond"/>
          <w:sz w:val="24"/>
          <w:szCs w:val="24"/>
          <w:lang w:val="en-US"/>
        </w:rPr>
      </w:pPr>
      <w:r w:rsidRPr="00403D3A">
        <w:rPr>
          <w:rFonts w:ascii="Garamond" w:hAnsi="Garamond"/>
          <w:sz w:val="24"/>
          <w:szCs w:val="24"/>
          <w:lang w:val="en-US"/>
        </w:rPr>
        <w:t xml:space="preserve">This appendix includes the results of an extended analysis concerning the impact of regional mediation efforts in the Middle East and South America. This </w:t>
      </w:r>
      <w:r>
        <w:rPr>
          <w:rFonts w:ascii="Garamond" w:hAnsi="Garamond"/>
          <w:sz w:val="24"/>
          <w:szCs w:val="24"/>
          <w:lang w:val="en-US"/>
        </w:rPr>
        <w:t>extended analysis focuses on m</w:t>
      </w:r>
      <w:r w:rsidRPr="00403D3A">
        <w:rPr>
          <w:rFonts w:ascii="Garamond" w:hAnsi="Garamond"/>
          <w:sz w:val="24"/>
          <w:szCs w:val="24"/>
          <w:lang w:val="en-US"/>
        </w:rPr>
        <w:t xml:space="preserve">ediation efforts by regional </w:t>
      </w:r>
      <w:proofErr w:type="gramStart"/>
      <w:r w:rsidRPr="00403D3A">
        <w:rPr>
          <w:rFonts w:ascii="Garamond" w:hAnsi="Garamond"/>
          <w:sz w:val="24"/>
          <w:szCs w:val="24"/>
          <w:lang w:val="en-US"/>
        </w:rPr>
        <w:t>third-parties</w:t>
      </w:r>
      <w:proofErr w:type="gramEnd"/>
      <w:r w:rsidRPr="00403D3A">
        <w:rPr>
          <w:rFonts w:ascii="Garamond" w:hAnsi="Garamond"/>
          <w:sz w:val="24"/>
          <w:szCs w:val="24"/>
          <w:lang w:val="en-US"/>
        </w:rPr>
        <w:t xml:space="preserve"> in the Middle East and Latin America</w:t>
      </w:r>
      <w:r>
        <w:rPr>
          <w:rFonts w:ascii="Garamond" w:hAnsi="Garamond"/>
          <w:sz w:val="24"/>
          <w:szCs w:val="24"/>
          <w:lang w:val="en-US"/>
        </w:rPr>
        <w:t>, because these are both regions</w:t>
      </w:r>
      <w:r w:rsidRPr="00403D3A">
        <w:rPr>
          <w:rFonts w:ascii="Garamond" w:hAnsi="Garamond"/>
          <w:sz w:val="24"/>
          <w:szCs w:val="24"/>
          <w:lang w:val="en-US"/>
        </w:rPr>
        <w:t xml:space="preserve"> where regional third-parties with a high degree of third-party</w:t>
      </w:r>
      <w:r>
        <w:rPr>
          <w:rFonts w:ascii="Garamond" w:hAnsi="Garamond"/>
          <w:sz w:val="24"/>
          <w:szCs w:val="24"/>
          <w:lang w:val="en-US"/>
        </w:rPr>
        <w:t xml:space="preserve"> capacity are largely absent, as opposed to</w:t>
      </w:r>
      <w:r w:rsidR="00B913DD">
        <w:rPr>
          <w:rFonts w:ascii="Garamond" w:hAnsi="Garamond"/>
          <w:sz w:val="24"/>
          <w:szCs w:val="24"/>
          <w:lang w:val="en-US"/>
        </w:rPr>
        <w:t xml:space="preserve"> potential regional third parties in</w:t>
      </w:r>
      <w:r>
        <w:rPr>
          <w:rFonts w:ascii="Garamond" w:hAnsi="Garamond"/>
          <w:sz w:val="24"/>
          <w:szCs w:val="24"/>
          <w:lang w:val="en-US"/>
        </w:rPr>
        <w:t xml:space="preserve"> Europe and Asia. This makes </w:t>
      </w:r>
      <w:r w:rsidR="00B913DD" w:rsidRPr="00403D3A">
        <w:rPr>
          <w:rFonts w:ascii="Garamond" w:hAnsi="Garamond"/>
          <w:sz w:val="24"/>
          <w:szCs w:val="24"/>
          <w:lang w:val="en-US"/>
        </w:rPr>
        <w:t>the Middle East and Latin America</w:t>
      </w:r>
      <w:r>
        <w:rPr>
          <w:rFonts w:ascii="Garamond" w:hAnsi="Garamond"/>
          <w:sz w:val="24"/>
          <w:szCs w:val="24"/>
          <w:lang w:val="en-US"/>
        </w:rPr>
        <w:t xml:space="preserve"> regions suitable for a comparison to Africa. I draw on data from Svensson to code whether a mediation effort took place in a given conflict dyad-year in non-African conflicts in these regions between 1975 and 2015.</w:t>
      </w:r>
      <w:r>
        <w:rPr>
          <w:rStyle w:val="Funotenzeichen"/>
          <w:rFonts w:ascii="Garamond" w:hAnsi="Garamond"/>
          <w:sz w:val="24"/>
          <w:szCs w:val="24"/>
          <w:lang w:val="en-US"/>
        </w:rPr>
        <w:footnoteReference w:id="1"/>
      </w:r>
    </w:p>
    <w:p w:rsidR="008F614C" w:rsidRDefault="00A00D79" w:rsidP="00A00D79">
      <w:pPr>
        <w:spacing w:after="120" w:line="48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Table A-1 below s</w:t>
      </w:r>
      <w:r w:rsidR="00FE4CA9">
        <w:rPr>
          <w:rFonts w:ascii="Garamond" w:hAnsi="Garamond"/>
          <w:sz w:val="24"/>
          <w:szCs w:val="24"/>
          <w:lang w:val="en-US"/>
        </w:rPr>
        <w:t>h</w:t>
      </w:r>
      <w:r>
        <w:rPr>
          <w:rFonts w:ascii="Garamond" w:hAnsi="Garamond"/>
          <w:sz w:val="24"/>
          <w:szCs w:val="24"/>
          <w:lang w:val="en-US"/>
        </w:rPr>
        <w:t>ow</w:t>
      </w:r>
      <w:r w:rsidR="00FE4CA9">
        <w:rPr>
          <w:rFonts w:ascii="Garamond" w:hAnsi="Garamond"/>
          <w:sz w:val="24"/>
          <w:szCs w:val="24"/>
          <w:lang w:val="en-US"/>
        </w:rPr>
        <w:t>s</w:t>
      </w:r>
      <w:r>
        <w:rPr>
          <w:rFonts w:ascii="Garamond" w:hAnsi="Garamond"/>
          <w:sz w:val="24"/>
          <w:szCs w:val="24"/>
          <w:lang w:val="en-US"/>
        </w:rPr>
        <w:t xml:space="preserve"> that </w:t>
      </w:r>
      <w:r w:rsidR="00FE4CA9">
        <w:rPr>
          <w:rFonts w:ascii="Garamond" w:hAnsi="Garamond"/>
          <w:sz w:val="24"/>
          <w:szCs w:val="24"/>
          <w:lang w:val="en-US"/>
        </w:rPr>
        <w:t xml:space="preserve">both </w:t>
      </w:r>
      <w:r>
        <w:rPr>
          <w:rFonts w:ascii="Garamond" w:hAnsi="Garamond"/>
          <w:sz w:val="24"/>
          <w:szCs w:val="24"/>
          <w:lang w:val="en-US"/>
        </w:rPr>
        <w:t xml:space="preserve">regional </w:t>
      </w:r>
      <w:r w:rsidR="00FE4CA9">
        <w:rPr>
          <w:rFonts w:ascii="Garamond" w:hAnsi="Garamond"/>
          <w:sz w:val="24"/>
          <w:szCs w:val="24"/>
          <w:lang w:val="en-US"/>
        </w:rPr>
        <w:t xml:space="preserve">and non-regional </w:t>
      </w:r>
      <w:r>
        <w:rPr>
          <w:rFonts w:ascii="Garamond" w:hAnsi="Garamond"/>
          <w:sz w:val="24"/>
          <w:szCs w:val="24"/>
          <w:lang w:val="en-US"/>
        </w:rPr>
        <w:t xml:space="preserve">mediation efforts in the Middle East and Latin America </w:t>
      </w:r>
      <w:r w:rsidR="00FE4CA9">
        <w:rPr>
          <w:rFonts w:ascii="Garamond" w:hAnsi="Garamond"/>
          <w:sz w:val="24"/>
          <w:szCs w:val="24"/>
          <w:lang w:val="en-US"/>
        </w:rPr>
        <w:t xml:space="preserve">have a positive impact on the likelihood that a negotiated settlement </w:t>
      </w:r>
      <w:proofErr w:type="gramStart"/>
      <w:r w:rsidR="00FE4CA9">
        <w:rPr>
          <w:rFonts w:ascii="Garamond" w:hAnsi="Garamond"/>
          <w:sz w:val="24"/>
          <w:szCs w:val="24"/>
          <w:lang w:val="en-US"/>
        </w:rPr>
        <w:t>is concluded</w:t>
      </w:r>
      <w:proofErr w:type="gramEnd"/>
      <w:r w:rsidR="00FE4CA9">
        <w:rPr>
          <w:rFonts w:ascii="Garamond" w:hAnsi="Garamond"/>
          <w:sz w:val="24"/>
          <w:szCs w:val="24"/>
          <w:lang w:val="en-US"/>
        </w:rPr>
        <w:t>, but only the impact of non-regional mediation efforts is statistically significant. This effect is significant at the 5 percent level. This suggest that regional third parties are l</w:t>
      </w:r>
      <w:r w:rsidRPr="00403D3A">
        <w:rPr>
          <w:rFonts w:ascii="Garamond" w:hAnsi="Garamond"/>
          <w:sz w:val="24"/>
          <w:szCs w:val="24"/>
          <w:lang w:val="en-US"/>
        </w:rPr>
        <w:t xml:space="preserve">ess effective </w:t>
      </w:r>
      <w:proofErr w:type="gramStart"/>
      <w:r w:rsidRPr="00403D3A">
        <w:rPr>
          <w:rFonts w:ascii="Garamond" w:hAnsi="Garamond"/>
          <w:sz w:val="24"/>
          <w:szCs w:val="24"/>
          <w:lang w:val="en-US"/>
        </w:rPr>
        <w:t xml:space="preserve">than non-regional </w:t>
      </w:r>
      <w:r w:rsidR="00FE4CA9">
        <w:rPr>
          <w:rFonts w:ascii="Garamond" w:hAnsi="Garamond"/>
          <w:sz w:val="24"/>
          <w:szCs w:val="24"/>
          <w:lang w:val="en-US"/>
        </w:rPr>
        <w:t>third parties</w:t>
      </w:r>
      <w:proofErr w:type="gramEnd"/>
      <w:r w:rsidR="00FE4CA9">
        <w:rPr>
          <w:rFonts w:ascii="Garamond" w:hAnsi="Garamond"/>
          <w:sz w:val="24"/>
          <w:szCs w:val="24"/>
          <w:lang w:val="en-US"/>
        </w:rPr>
        <w:t xml:space="preserve"> in the Middle East and South America</w:t>
      </w:r>
      <w:r w:rsidRPr="00403D3A">
        <w:rPr>
          <w:rFonts w:ascii="Garamond" w:hAnsi="Garamond"/>
          <w:sz w:val="24"/>
          <w:szCs w:val="24"/>
          <w:lang w:val="en-US"/>
        </w:rPr>
        <w:t xml:space="preserve">. </w:t>
      </w:r>
    </w:p>
    <w:p w:rsidR="00A00D79" w:rsidRPr="00403D3A" w:rsidRDefault="00A00D79" w:rsidP="00A00D79">
      <w:pPr>
        <w:spacing w:after="120" w:line="480" w:lineRule="auto"/>
        <w:rPr>
          <w:rFonts w:ascii="Garamond" w:hAnsi="Garamond"/>
          <w:sz w:val="24"/>
          <w:szCs w:val="24"/>
          <w:lang w:val="en-US"/>
        </w:rPr>
      </w:pPr>
      <w:r w:rsidRPr="00403D3A">
        <w:rPr>
          <w:rFonts w:ascii="Garamond" w:hAnsi="Garamond"/>
          <w:sz w:val="24"/>
          <w:szCs w:val="24"/>
          <w:lang w:val="en-US"/>
        </w:rPr>
        <w:t>This could mean that the African</w:t>
      </w:r>
      <w:bookmarkStart w:id="0" w:name="_GoBack"/>
      <w:bookmarkEnd w:id="0"/>
      <w:r w:rsidRPr="00403D3A">
        <w:rPr>
          <w:rFonts w:ascii="Garamond" w:hAnsi="Garamond"/>
          <w:sz w:val="24"/>
          <w:szCs w:val="24"/>
          <w:lang w:val="en-US"/>
        </w:rPr>
        <w:t xml:space="preserve"> solution norm bestows legitimacy onto African </w:t>
      </w:r>
      <w:proofErr w:type="gramStart"/>
      <w:r w:rsidRPr="00403D3A">
        <w:rPr>
          <w:rFonts w:ascii="Garamond" w:hAnsi="Garamond"/>
          <w:sz w:val="24"/>
          <w:szCs w:val="24"/>
          <w:lang w:val="en-US"/>
        </w:rPr>
        <w:t>third-parties</w:t>
      </w:r>
      <w:proofErr w:type="gramEnd"/>
      <w:r w:rsidRPr="00403D3A">
        <w:rPr>
          <w:rFonts w:ascii="Garamond" w:hAnsi="Garamond"/>
          <w:sz w:val="24"/>
          <w:szCs w:val="24"/>
          <w:lang w:val="en-US"/>
        </w:rPr>
        <w:t xml:space="preserve"> that not only non-African third-parties do not get, but also that regional mediators in other regions do not get.</w:t>
      </w:r>
    </w:p>
    <w:p w:rsidR="00A00D79" w:rsidRPr="00403D3A" w:rsidRDefault="00A00D79" w:rsidP="00A00D79">
      <w:pPr>
        <w:spacing w:after="120" w:line="48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8F614C" w:rsidRDefault="008F614C" w:rsidP="00A00D79">
      <w:pPr>
        <w:spacing w:after="120" w:line="48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:rsidR="008F614C" w:rsidRDefault="008F614C" w:rsidP="00A00D79">
      <w:pPr>
        <w:spacing w:after="120" w:line="48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:rsidR="008F614C" w:rsidRDefault="008F614C" w:rsidP="00A00D79">
      <w:pPr>
        <w:spacing w:after="120" w:line="48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:rsidR="008F614C" w:rsidRDefault="008F614C" w:rsidP="00A00D79">
      <w:pPr>
        <w:spacing w:after="120" w:line="48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:rsidR="008F614C" w:rsidRDefault="008F614C" w:rsidP="00A00D79">
      <w:pPr>
        <w:spacing w:after="120" w:line="48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:rsidR="00A00D79" w:rsidRPr="00403D3A" w:rsidRDefault="00A00D79" w:rsidP="00A00D79">
      <w:pPr>
        <w:spacing w:after="120" w:line="48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i/>
          <w:iCs/>
          <w:sz w:val="24"/>
          <w:szCs w:val="24"/>
          <w:lang w:val="en-US"/>
        </w:rPr>
        <w:lastRenderedPageBreak/>
        <w:t>Table A-1</w:t>
      </w:r>
      <w:r w:rsidRPr="00403D3A">
        <w:rPr>
          <w:rFonts w:ascii="Garamond" w:hAnsi="Garamond"/>
          <w:i/>
          <w:iCs/>
          <w:sz w:val="24"/>
          <w:szCs w:val="24"/>
          <w:lang w:val="en-US"/>
        </w:rPr>
        <w:t xml:space="preserve">: Logit Estimates on the Likelihood of Negotiated Settlements in Civil Wars in the </w:t>
      </w:r>
      <w:r w:rsidRPr="00403D3A">
        <w:rPr>
          <w:rFonts w:ascii="Garamond" w:hAnsi="Garamond"/>
          <w:i/>
          <w:sz w:val="24"/>
          <w:szCs w:val="24"/>
          <w:lang w:val="en-US"/>
        </w:rPr>
        <w:t>Middle East and South America, 1975-2015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7"/>
        <w:gridCol w:w="1440"/>
      </w:tblGrid>
      <w:tr w:rsidR="00A00D79" w:rsidRPr="00403D3A" w:rsidTr="00A27643"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(1)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Regional Mediation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0.647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(0.485)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Non-Regional Mediation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2.190**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(0.974)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War Support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omitted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Conflict Intensity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-0.968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(1.112)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0.0522***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(0.0136)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Territorial Issue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-0.307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(0.630)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Time Since Last Negotiated Settlement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-2.040**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(0.822)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Spline1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-0.446*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(0.269)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Spline2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0.157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(0.116)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Spline3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-0.00189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(0.0114)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-3.005***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(0.528)</w:t>
            </w:r>
          </w:p>
        </w:tc>
      </w:tr>
      <w:tr w:rsidR="00A00D79" w:rsidRPr="00403D3A" w:rsidTr="00A27643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Pseudo-R2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0.2919</w:t>
            </w:r>
          </w:p>
        </w:tc>
      </w:tr>
      <w:tr w:rsidR="00A00D79" w:rsidRPr="00403D3A" w:rsidTr="00A27643">
        <w:tblPrEx>
          <w:tblBorders>
            <w:bottom w:val="single" w:sz="6" w:space="0" w:color="auto"/>
          </w:tblBorders>
        </w:tblPrEx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Likelihood ratio chi-square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491.93***</w:t>
            </w:r>
          </w:p>
        </w:tc>
      </w:tr>
      <w:tr w:rsidR="00A00D79" w:rsidRPr="00403D3A" w:rsidTr="00A27643">
        <w:tblPrEx>
          <w:tblBorders>
            <w:bottom w:val="single" w:sz="6" w:space="0" w:color="auto"/>
          </w:tblBorders>
        </w:tblPrEx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D79" w:rsidRPr="00403D3A" w:rsidRDefault="00A00D79" w:rsidP="00A27643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403D3A">
              <w:rPr>
                <w:rFonts w:ascii="Garamond" w:hAnsi="Garamond"/>
                <w:sz w:val="24"/>
                <w:szCs w:val="24"/>
                <w:lang w:val="en-US"/>
              </w:rPr>
              <w:t>423</w:t>
            </w:r>
          </w:p>
        </w:tc>
      </w:tr>
    </w:tbl>
    <w:p w:rsidR="00A00D79" w:rsidRDefault="00A00D79" w:rsidP="00A00D79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en-US"/>
        </w:rPr>
      </w:pPr>
      <w:r w:rsidRPr="00403D3A">
        <w:rPr>
          <w:rFonts w:ascii="Garamond" w:hAnsi="Garamond" w:cs="Times New Roman"/>
          <w:sz w:val="20"/>
          <w:szCs w:val="20"/>
          <w:lang w:val="en-US"/>
        </w:rPr>
        <w:t>Note: Conflict-dyad-years with no mediation is the reference category. Robust standard errors, clustered on the conflict level, are in parentheses. *significant at 10 percent; **significant at 5 percent; ***significant at 1 percent.</w:t>
      </w:r>
    </w:p>
    <w:p w:rsidR="00A00D79" w:rsidRDefault="00A00D79" w:rsidP="00A00D79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en-US"/>
        </w:rPr>
      </w:pPr>
    </w:p>
    <w:p w:rsidR="00A00D79" w:rsidRDefault="00A00D79" w:rsidP="00A00D79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en-US"/>
        </w:rPr>
      </w:pPr>
    </w:p>
    <w:p w:rsidR="008F614C" w:rsidRDefault="008F614C" w:rsidP="00FE4CA9">
      <w:pPr>
        <w:spacing w:after="120" w:line="480" w:lineRule="auto"/>
        <w:rPr>
          <w:rFonts w:ascii="Garamond" w:hAnsi="Garamond"/>
          <w:b/>
          <w:sz w:val="24"/>
          <w:szCs w:val="24"/>
          <w:lang w:val="en-US"/>
        </w:rPr>
      </w:pPr>
    </w:p>
    <w:p w:rsidR="008F614C" w:rsidRDefault="008F614C" w:rsidP="00FE4CA9">
      <w:pPr>
        <w:spacing w:after="120" w:line="480" w:lineRule="auto"/>
        <w:rPr>
          <w:rFonts w:ascii="Garamond" w:hAnsi="Garamond"/>
          <w:b/>
          <w:sz w:val="24"/>
          <w:szCs w:val="24"/>
          <w:lang w:val="en-US"/>
        </w:rPr>
      </w:pPr>
    </w:p>
    <w:p w:rsidR="008F614C" w:rsidRDefault="008F614C" w:rsidP="00FE4CA9">
      <w:pPr>
        <w:spacing w:after="120" w:line="480" w:lineRule="auto"/>
        <w:rPr>
          <w:rFonts w:ascii="Garamond" w:hAnsi="Garamond"/>
          <w:b/>
          <w:sz w:val="24"/>
          <w:szCs w:val="24"/>
          <w:lang w:val="en-US"/>
        </w:rPr>
      </w:pPr>
    </w:p>
    <w:p w:rsidR="008F614C" w:rsidRDefault="008F614C" w:rsidP="00FE4CA9">
      <w:pPr>
        <w:spacing w:after="120" w:line="480" w:lineRule="auto"/>
        <w:rPr>
          <w:rFonts w:ascii="Garamond" w:hAnsi="Garamond"/>
          <w:b/>
          <w:sz w:val="24"/>
          <w:szCs w:val="24"/>
          <w:lang w:val="en-US"/>
        </w:rPr>
      </w:pPr>
    </w:p>
    <w:p w:rsidR="008F614C" w:rsidRDefault="008F614C" w:rsidP="00FE4CA9">
      <w:pPr>
        <w:spacing w:after="120" w:line="480" w:lineRule="auto"/>
        <w:rPr>
          <w:rFonts w:ascii="Garamond" w:hAnsi="Garamond"/>
          <w:b/>
          <w:sz w:val="24"/>
          <w:szCs w:val="24"/>
          <w:lang w:val="en-US"/>
        </w:rPr>
      </w:pPr>
    </w:p>
    <w:p w:rsidR="00A00D79" w:rsidRPr="00FE4CA9" w:rsidRDefault="00A00D79" w:rsidP="00FE4CA9">
      <w:pPr>
        <w:spacing w:after="120" w:line="480" w:lineRule="auto"/>
        <w:rPr>
          <w:rFonts w:ascii="Garamond" w:hAnsi="Garamond"/>
          <w:b/>
          <w:sz w:val="24"/>
          <w:szCs w:val="24"/>
          <w:lang w:val="en-US"/>
        </w:rPr>
      </w:pPr>
      <w:r w:rsidRPr="00FE4CA9">
        <w:rPr>
          <w:rFonts w:ascii="Garamond" w:hAnsi="Garamond"/>
          <w:b/>
          <w:sz w:val="24"/>
          <w:szCs w:val="24"/>
          <w:lang w:val="en-US"/>
        </w:rPr>
        <w:lastRenderedPageBreak/>
        <w:t>References</w:t>
      </w:r>
    </w:p>
    <w:p w:rsidR="00A00D79" w:rsidRPr="00FE4CA9" w:rsidRDefault="00A00D79" w:rsidP="00FE4CA9">
      <w:pPr>
        <w:pStyle w:val="EndNoteBibliography"/>
        <w:spacing w:after="120" w:line="480" w:lineRule="auto"/>
        <w:ind w:left="720" w:hanging="720"/>
        <w:rPr>
          <w:rFonts w:ascii="Garamond" w:hAnsi="Garamond"/>
          <w:sz w:val="24"/>
          <w:szCs w:val="24"/>
        </w:rPr>
      </w:pPr>
      <w:r w:rsidRPr="00FE4CA9">
        <w:rPr>
          <w:rFonts w:ascii="Garamond" w:hAnsi="Garamond"/>
          <w:sz w:val="24"/>
          <w:szCs w:val="24"/>
        </w:rPr>
        <w:t xml:space="preserve">Svensson, Isak, and Desirée Nilsson. "Disputes over the Divine: Introducing the Religion and Armed Conflict (Relac) Data, 1975 to 2015." </w:t>
      </w:r>
      <w:r w:rsidRPr="00FE4CA9">
        <w:rPr>
          <w:rFonts w:ascii="Garamond" w:hAnsi="Garamond"/>
          <w:i/>
          <w:sz w:val="24"/>
          <w:szCs w:val="24"/>
        </w:rPr>
        <w:t xml:space="preserve">Journal of Conflict Resolution </w:t>
      </w:r>
      <w:r w:rsidRPr="00FE4CA9">
        <w:rPr>
          <w:rFonts w:ascii="Garamond" w:hAnsi="Garamond"/>
          <w:sz w:val="24"/>
          <w:szCs w:val="24"/>
        </w:rPr>
        <w:t>62, no. 5 (2018/05/01 2017): 1127-48.</w:t>
      </w:r>
    </w:p>
    <w:p w:rsidR="00A00D79" w:rsidRPr="00FE4CA9" w:rsidRDefault="00A00D79" w:rsidP="00FE4CA9">
      <w:pPr>
        <w:spacing w:after="120" w:line="48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</w:p>
    <w:p w:rsidR="00A00D79" w:rsidRPr="00FE4CA9" w:rsidRDefault="00A00D79" w:rsidP="00FE4CA9">
      <w:pPr>
        <w:spacing w:after="120" w:line="480" w:lineRule="auto"/>
        <w:rPr>
          <w:rFonts w:ascii="Garamond" w:hAnsi="Garamond"/>
          <w:sz w:val="24"/>
          <w:szCs w:val="24"/>
        </w:rPr>
      </w:pPr>
    </w:p>
    <w:p w:rsidR="00665495" w:rsidRPr="00FE4CA9" w:rsidRDefault="00665495" w:rsidP="00FE4CA9">
      <w:pPr>
        <w:spacing w:after="120" w:line="480" w:lineRule="auto"/>
        <w:rPr>
          <w:rFonts w:ascii="Garamond" w:hAnsi="Garamond"/>
          <w:sz w:val="24"/>
          <w:szCs w:val="24"/>
        </w:rPr>
      </w:pPr>
    </w:p>
    <w:sectPr w:rsidR="00665495" w:rsidRPr="00FE4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79" w:rsidRDefault="00A00D79" w:rsidP="00A00D79">
      <w:pPr>
        <w:spacing w:after="0" w:line="240" w:lineRule="auto"/>
      </w:pPr>
      <w:r>
        <w:separator/>
      </w:r>
    </w:p>
  </w:endnote>
  <w:endnote w:type="continuationSeparator" w:id="0">
    <w:p w:rsidR="00A00D79" w:rsidRDefault="00A00D79" w:rsidP="00A0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79" w:rsidRDefault="00A00D79" w:rsidP="00A00D79">
      <w:pPr>
        <w:spacing w:after="0" w:line="240" w:lineRule="auto"/>
      </w:pPr>
      <w:r>
        <w:separator/>
      </w:r>
    </w:p>
  </w:footnote>
  <w:footnote w:type="continuationSeparator" w:id="0">
    <w:p w:rsidR="00A00D79" w:rsidRDefault="00A00D79" w:rsidP="00A00D79">
      <w:pPr>
        <w:spacing w:after="0" w:line="240" w:lineRule="auto"/>
      </w:pPr>
      <w:r>
        <w:continuationSeparator/>
      </w:r>
    </w:p>
  </w:footnote>
  <w:footnote w:id="1">
    <w:p w:rsidR="00A00D79" w:rsidRPr="00A00D79" w:rsidRDefault="00A00D79" w:rsidP="00A00D79">
      <w:pPr>
        <w:pStyle w:val="Funotentext"/>
        <w:rPr>
          <w:rFonts w:ascii="Garamond" w:hAnsi="Garamond"/>
          <w:lang w:val="en-US"/>
        </w:rPr>
      </w:pPr>
      <w:r w:rsidRPr="00A00D79">
        <w:rPr>
          <w:rStyle w:val="Funotenzeichen"/>
          <w:rFonts w:ascii="Garamond" w:hAnsi="Garamond"/>
        </w:rPr>
        <w:footnoteRef/>
      </w:r>
      <w:r w:rsidRPr="00A00D79">
        <w:rPr>
          <w:rFonts w:ascii="Garamond" w:hAnsi="Garamond"/>
          <w:lang w:val="en-US"/>
        </w:rPr>
        <w:t xml:space="preserve"> </w:t>
      </w:r>
      <w:r w:rsidRPr="00A00D79">
        <w:rPr>
          <w:rFonts w:ascii="Garamond" w:hAnsi="Garamond"/>
          <w:noProof/>
          <w:lang w:val="en-US"/>
        </w:rPr>
        <w:t xml:space="preserve">Svensson and </w:t>
      </w:r>
      <w:r w:rsidR="00FE4CA9">
        <w:rPr>
          <w:rFonts w:ascii="Garamond" w:hAnsi="Garamond"/>
          <w:noProof/>
          <w:lang w:val="en-US"/>
        </w:rPr>
        <w:t>Nilsson 2</w:t>
      </w:r>
      <w:r w:rsidRPr="00A00D79">
        <w:rPr>
          <w:rFonts w:ascii="Garamond" w:hAnsi="Garamond"/>
          <w:noProof/>
          <w:lang w:val="en-US"/>
        </w:rPr>
        <w:t>017.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Footno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pt0zpavdd5ayez9sqp5ss32d9dxxwzdwsp&quot;&gt;Endnote&lt;record-ids&gt;&lt;item&gt;2099&lt;/item&gt;&lt;/record-ids&gt;&lt;/item&gt;&lt;/Libraries&gt;"/>
  </w:docVars>
  <w:rsids>
    <w:rsidRoot w:val="00E87247"/>
    <w:rsid w:val="00320B94"/>
    <w:rsid w:val="003F7217"/>
    <w:rsid w:val="00403D3A"/>
    <w:rsid w:val="00644F4E"/>
    <w:rsid w:val="00665495"/>
    <w:rsid w:val="008E1138"/>
    <w:rsid w:val="008F614C"/>
    <w:rsid w:val="00A00D79"/>
    <w:rsid w:val="00B23749"/>
    <w:rsid w:val="00B913DD"/>
    <w:rsid w:val="00DD14D6"/>
    <w:rsid w:val="00E87247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D3309F"/>
  <w15:chartTrackingRefBased/>
  <w15:docId w15:val="{461D7FD6-A46E-4DA8-AE03-B6B8962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00D7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0D7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00D79"/>
    <w:rPr>
      <w:vertAlign w:val="superscript"/>
    </w:rPr>
  </w:style>
  <w:style w:type="paragraph" w:customStyle="1" w:styleId="EndNoteBibliographyTitle">
    <w:name w:val="EndNote Bibliography Title"/>
    <w:basedOn w:val="Standard"/>
    <w:link w:val="EndNoteBibliographyTitleZchn"/>
    <w:rsid w:val="00A00D7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FunotentextZchn"/>
    <w:link w:val="EndNoteBibliographyTitle"/>
    <w:rsid w:val="00A00D79"/>
    <w:rPr>
      <w:rFonts w:ascii="Calibri" w:hAnsi="Calibri" w:cs="Calibri"/>
      <w:noProof/>
      <w:sz w:val="20"/>
      <w:szCs w:val="20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A00D79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FunotentextZchn"/>
    <w:link w:val="EndNoteBibliography"/>
    <w:rsid w:val="00A00D79"/>
    <w:rPr>
      <w:rFonts w:ascii="Calibri" w:hAnsi="Calibri" w:cs="Calibri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43FF-C47B-46E6-8183-562087CD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Duursma  Allard</dc:creator>
  <cp:keywords/>
  <dc:description/>
  <cp:lastModifiedBy>Duursma  Allard</cp:lastModifiedBy>
  <cp:revision>11</cp:revision>
  <dcterms:created xsi:type="dcterms:W3CDTF">2019-08-29T14:34:00Z</dcterms:created>
  <dcterms:modified xsi:type="dcterms:W3CDTF">2019-09-03T15:03:00Z</dcterms:modified>
</cp:coreProperties>
</file>