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2A" w:rsidRPr="009D3E2A" w:rsidRDefault="002A238B" w:rsidP="009D3E2A">
      <w:pPr>
        <w:autoSpaceDE w:val="0"/>
        <w:autoSpaceDN w:val="0"/>
        <w:adjustRightInd w:val="0"/>
        <w:spacing w:after="0" w:line="480" w:lineRule="auto"/>
        <w:jc w:val="both"/>
        <w:rPr>
          <w:rFonts w:ascii="Times New Roman" w:eastAsia="Calibri" w:hAnsi="Times New Roman" w:cs="Times New Roman"/>
          <w:b/>
          <w:sz w:val="24"/>
          <w:szCs w:val="18"/>
        </w:rPr>
      </w:pPr>
      <w:bookmarkStart w:id="0" w:name="_GoBack"/>
      <w:r w:rsidRPr="009D3E2A">
        <w:rPr>
          <w:rFonts w:ascii="Calibri" w:eastAsia="Calibri" w:hAnsi="Calibri" w:cs="Arial"/>
          <w:noProof/>
          <w:lang w:eastAsia="en-GB"/>
        </w:rPr>
        <w:drawing>
          <wp:anchor distT="0" distB="0" distL="114300" distR="114300" simplePos="0" relativeHeight="251659264" behindDoc="0" locked="0" layoutInCell="1" allowOverlap="1" wp14:anchorId="1AC0D96A" wp14:editId="73616D4E">
            <wp:simplePos x="0" y="0"/>
            <wp:positionH relativeFrom="margin">
              <wp:align>right</wp:align>
            </wp:positionH>
            <wp:positionV relativeFrom="margin">
              <wp:posOffset>354330</wp:posOffset>
            </wp:positionV>
            <wp:extent cx="8515350" cy="507682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46892"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8515350" cy="50768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D3E2A" w:rsidRPr="009D3E2A">
        <w:rPr>
          <w:rFonts w:ascii="Times New Roman" w:eastAsia="Calibri" w:hAnsi="Times New Roman" w:cs="Times New Roman"/>
          <w:b/>
          <w:noProof/>
          <w:sz w:val="24"/>
          <w:szCs w:val="18"/>
          <w:lang w:eastAsia="en-GB"/>
        </w:rPr>
        <mc:AlternateContent>
          <mc:Choice Requires="wps">
            <w:drawing>
              <wp:anchor distT="45720" distB="45720" distL="114300" distR="114300" simplePos="0" relativeHeight="251660288" behindDoc="0" locked="0" layoutInCell="1" allowOverlap="1" wp14:anchorId="677D40A8" wp14:editId="4B26636B">
                <wp:simplePos x="0" y="0"/>
                <wp:positionH relativeFrom="margin">
                  <wp:posOffset>-83820</wp:posOffset>
                </wp:positionH>
                <wp:positionV relativeFrom="paragraph">
                  <wp:posOffset>358775</wp:posOffset>
                </wp:positionV>
                <wp:extent cx="374650" cy="368935"/>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68935"/>
                        </a:xfrm>
                        <a:prstGeom prst="rect">
                          <a:avLst/>
                        </a:prstGeom>
                        <a:solidFill>
                          <a:srgbClr val="FFFFFF"/>
                        </a:solidFill>
                        <a:ln w="9525">
                          <a:noFill/>
                          <a:miter lim="800000"/>
                          <a:headEnd/>
                          <a:tailEnd/>
                        </a:ln>
                      </wps:spPr>
                      <wps:txbx>
                        <w:txbxContent>
                          <w:p w:rsidR="009D3E2A" w:rsidRPr="00431EA6" w:rsidRDefault="009D3E2A" w:rsidP="009D3E2A">
                            <w:pPr>
                              <w:rPr>
                                <w:rFonts w:ascii="Arial" w:hAnsi="Arial" w:cs="Arial"/>
                                <w:sz w:val="28"/>
                              </w:rPr>
                            </w:pPr>
                            <w:r>
                              <w:rPr>
                                <w:rFonts w:ascii="Arial" w:hAnsi="Arial" w:cs="Arial"/>
                                <w:sz w:val="28"/>
                              </w:rPr>
                              <w:t>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77D40A8" id="_x0000_t202" coordsize="21600,21600" o:spt="202" path="m,l,21600r21600,l21600,xe">
                <v:stroke joinstyle="miter"/>
                <v:path gradientshapeok="t" o:connecttype="rect"/>
              </v:shapetype>
              <v:shape id="Zone de texte 2" o:spid="_x0000_s1026" type="#_x0000_t202" style="position:absolute;left:0;text-align:left;margin-left:-6.6pt;margin-top:28.25pt;width:29.5pt;height:29.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" stroked="f">
                <v:textbox>
                  <w:txbxContent>
                    <w:p w:rsidR="009D3E2A" w:rsidRPr="00431EA6" w:rsidRDefault="009D3E2A" w:rsidP="009D3E2A">
                      <w:pPr>
                        <w:rPr>
                          <w:rFonts w:ascii="Arial" w:hAnsi="Arial" w:cs="Arial"/>
                          <w:sz w:val="28"/>
                        </w:rPr>
                      </w:pPr>
                      <w:r>
                        <w:rPr>
                          <w:rFonts w:ascii="Arial" w:hAnsi="Arial" w:cs="Arial"/>
                          <w:sz w:val="28"/>
                        </w:rPr>
                        <w:t>A)</w:t>
                      </w:r>
                    </w:p>
                  </w:txbxContent>
                </v:textbox>
                <w10:wrap type="square" anchorx="margin"/>
              </v:shape>
            </w:pict>
          </mc:Fallback>
        </mc:AlternateContent>
      </w:r>
      <w:r w:rsidR="009D3E2A" w:rsidRPr="009D3E2A">
        <w:rPr>
          <w:rFonts w:ascii="Times New Roman" w:eastAsia="Calibri" w:hAnsi="Times New Roman" w:cs="Times New Roman"/>
          <w:b/>
          <w:sz w:val="24"/>
          <w:szCs w:val="18"/>
        </w:rPr>
        <w:t>Supporting information</w:t>
      </w:r>
    </w:p>
    <w:p w:rsidR="009D3E2A" w:rsidRPr="009D3E2A" w:rsidRDefault="009D3E2A" w:rsidP="009D3E2A">
      <w:pPr>
        <w:autoSpaceDE w:val="0"/>
        <w:autoSpaceDN w:val="0"/>
        <w:adjustRightInd w:val="0"/>
        <w:spacing w:after="200" w:line="360" w:lineRule="auto"/>
        <w:jc w:val="both"/>
        <w:rPr>
          <w:rFonts w:ascii="Times New Roman" w:eastAsia="Calibri" w:hAnsi="Times New Roman" w:cs="Times New Roman"/>
          <w:b/>
          <w:sz w:val="24"/>
          <w:szCs w:val="18"/>
        </w:rPr>
      </w:pPr>
    </w:p>
    <w:p w:rsidR="009D3E2A" w:rsidRPr="009D3E2A" w:rsidRDefault="009D3E2A" w:rsidP="009D3E2A">
      <w:pPr>
        <w:autoSpaceDE w:val="0"/>
        <w:autoSpaceDN w:val="0"/>
        <w:adjustRightInd w:val="0"/>
        <w:spacing w:after="200" w:line="360" w:lineRule="auto"/>
        <w:jc w:val="both"/>
        <w:rPr>
          <w:rFonts w:ascii="Times New Roman" w:eastAsia="Calibri" w:hAnsi="Times New Roman" w:cs="Times New Roman"/>
          <w:b/>
          <w:sz w:val="24"/>
          <w:szCs w:val="18"/>
        </w:rPr>
      </w:pPr>
      <w:r w:rsidRPr="009D3E2A">
        <w:rPr>
          <w:rFonts w:ascii="Times New Roman" w:eastAsia="Calibri" w:hAnsi="Times New Roman" w:cs="Times New Roman"/>
          <w:b/>
          <w:noProof/>
          <w:sz w:val="24"/>
          <w:szCs w:val="18"/>
          <w:lang w:eastAsia="en-GB"/>
        </w:rPr>
        <mc:AlternateContent>
          <mc:Choice Requires="wps">
            <w:drawing>
              <wp:anchor distT="45720" distB="45720" distL="114300" distR="114300" simplePos="0" relativeHeight="251661312" behindDoc="0" locked="0" layoutInCell="1" allowOverlap="1" wp14:anchorId="7BAB3335" wp14:editId="71D86B6A">
                <wp:simplePos x="0" y="0"/>
                <wp:positionH relativeFrom="margin">
                  <wp:posOffset>-8255</wp:posOffset>
                </wp:positionH>
                <wp:positionV relativeFrom="paragraph">
                  <wp:posOffset>1969135</wp:posOffset>
                </wp:positionV>
                <wp:extent cx="374650" cy="368935"/>
                <wp:effectExtent l="0" t="0" r="635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68935"/>
                        </a:xfrm>
                        <a:prstGeom prst="rect">
                          <a:avLst/>
                        </a:prstGeom>
                        <a:solidFill>
                          <a:srgbClr val="FFFFFF"/>
                        </a:solidFill>
                        <a:ln w="9525">
                          <a:noFill/>
                          <a:miter lim="800000"/>
                          <a:headEnd/>
                          <a:tailEnd/>
                        </a:ln>
                      </wps:spPr>
                      <wps:txbx>
                        <w:txbxContent>
                          <w:p w:rsidR="009D3E2A" w:rsidRPr="00431EA6" w:rsidRDefault="009D3E2A" w:rsidP="009D3E2A">
                            <w:pPr>
                              <w:rPr>
                                <w:rFonts w:ascii="Arial" w:hAnsi="Arial" w:cs="Arial"/>
                                <w:sz w:val="28"/>
                              </w:rPr>
                            </w:pPr>
                            <w:r>
                              <w:rPr>
                                <w:rFonts w:ascii="Arial" w:hAnsi="Arial" w:cs="Arial"/>
                                <w:sz w:val="28"/>
                              </w:rPr>
                              <w:t>B)</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BAB3335" id="_x0000_s1027" type="#_x0000_t202" style="position:absolute;left:0;text-align:left;margin-left:-.65pt;margin-top:155.05pt;width:29.5pt;height:29.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" stroked="f">
                <v:textbox>
                  <w:txbxContent>
                    <w:p w:rsidR="009D3E2A" w:rsidRPr="00431EA6" w:rsidRDefault="009D3E2A" w:rsidP="009D3E2A">
                      <w:pPr>
                        <w:rPr>
                          <w:rFonts w:ascii="Arial" w:hAnsi="Arial" w:cs="Arial"/>
                          <w:sz w:val="28"/>
                        </w:rPr>
                      </w:pPr>
                      <w:r>
                        <w:rPr>
                          <w:rFonts w:ascii="Arial" w:hAnsi="Arial" w:cs="Arial"/>
                          <w:sz w:val="28"/>
                        </w:rPr>
                        <w:t>B)</w:t>
                      </w:r>
                    </w:p>
                  </w:txbxContent>
                </v:textbox>
                <w10:wrap type="square" anchorx="margin"/>
              </v:shape>
            </w:pict>
          </mc:Fallback>
        </mc:AlternateContent>
      </w:r>
    </w:p>
    <w:p w:rsidR="009D3E2A" w:rsidRPr="009D3E2A" w:rsidRDefault="009D3E2A" w:rsidP="009D3E2A">
      <w:pPr>
        <w:autoSpaceDE w:val="0"/>
        <w:autoSpaceDN w:val="0"/>
        <w:adjustRightInd w:val="0"/>
        <w:spacing w:after="200" w:line="360" w:lineRule="auto"/>
        <w:jc w:val="both"/>
        <w:rPr>
          <w:rFonts w:ascii="Times New Roman" w:eastAsia="Calibri" w:hAnsi="Times New Roman" w:cs="Times New Roman"/>
          <w:sz w:val="24"/>
        </w:rPr>
      </w:pPr>
      <w:r w:rsidRPr="009D3E2A">
        <w:rPr>
          <w:rFonts w:ascii="Times New Roman" w:eastAsia="Calibri" w:hAnsi="Times New Roman" w:cs="Times New Roman"/>
          <w:b/>
          <w:sz w:val="24"/>
          <w:szCs w:val="18"/>
        </w:rPr>
        <w:t xml:space="preserve">Figure S1. Modelling the kinetics of </w:t>
      </w:r>
      <w:r w:rsidRPr="009D3E2A">
        <w:rPr>
          <w:rFonts w:ascii="Times New Roman" w:eastAsia="Calibri" w:hAnsi="Times New Roman" w:cs="Times New Roman"/>
          <w:b/>
          <w:sz w:val="24"/>
          <w:szCs w:val="18"/>
          <w:vertAlign w:val="superscript"/>
        </w:rPr>
        <w:t>15</w:t>
      </w:r>
      <w:r w:rsidRPr="009D3E2A">
        <w:rPr>
          <w:rFonts w:ascii="Times New Roman" w:eastAsia="Calibri" w:hAnsi="Times New Roman" w:cs="Times New Roman"/>
          <w:b/>
          <w:sz w:val="24"/>
          <w:szCs w:val="18"/>
        </w:rPr>
        <w:t xml:space="preserve">N after a </w:t>
      </w:r>
      <w:r w:rsidRPr="009D3E2A">
        <w:rPr>
          <w:rFonts w:ascii="Times New Roman" w:eastAsia="Calibri" w:hAnsi="Times New Roman" w:cs="Times New Roman"/>
          <w:b/>
          <w:sz w:val="24"/>
          <w:szCs w:val="18"/>
          <w:vertAlign w:val="superscript"/>
        </w:rPr>
        <w:t>15</w:t>
      </w:r>
      <w:r w:rsidRPr="009D3E2A">
        <w:rPr>
          <w:rFonts w:ascii="Times New Roman" w:eastAsia="Calibri" w:hAnsi="Times New Roman" w:cs="Times New Roman"/>
          <w:b/>
          <w:sz w:val="24"/>
          <w:szCs w:val="18"/>
        </w:rPr>
        <w:t xml:space="preserve">N diet switch in ruminants depends on whether a mono-exponential model is sufficient or that a bi-exponential model is required to adequately fit the data. </w:t>
      </w:r>
      <w:r w:rsidRPr="009D3E2A">
        <w:rPr>
          <w:rFonts w:ascii="Times New Roman" w:eastAsia="Calibri" w:hAnsi="Times New Roman" w:cs="Times New Roman"/>
          <w:sz w:val="24"/>
          <w:szCs w:val="18"/>
        </w:rPr>
        <w:t>A) Mono-exponential model (as in plasma proteins), where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 xml:space="preserve">N kinetics are </w:t>
      </w:r>
      <w:r w:rsidRPr="009D3E2A">
        <w:rPr>
          <w:rFonts w:ascii="Times New Roman" w:eastAsia="Calibri" w:hAnsi="Times New Roman" w:cs="Times New Roman"/>
          <w:sz w:val="24"/>
          <w:szCs w:val="18"/>
        </w:rPr>
        <w:lastRenderedPageBreak/>
        <w:t>adequately fitted according to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N(t) =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 xml:space="preserve">∞ </w:t>
      </w:r>
      <w:r w:rsidRPr="009D3E2A">
        <w:rPr>
          <w:rFonts w:ascii="Times New Roman" w:eastAsia="Calibri" w:hAnsi="Times New Roman" w:cs="Times New Roman"/>
          <w:sz w:val="24"/>
          <w:szCs w:val="18"/>
        </w:rPr>
        <w:t>+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 xml:space="preserve">0 </w:t>
      </w:r>
      <w:r w:rsidRPr="009D3E2A">
        <w:rPr>
          <w:rFonts w:ascii="Times New Roman" w:eastAsia="Calibri" w:hAnsi="Times New Roman" w:cs="Times New Roman"/>
          <w:sz w:val="24"/>
          <w:szCs w:val="18"/>
        </w:rPr>
        <w:t>-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w:t>
      </w:r>
      <w:r w:rsidRPr="009D3E2A">
        <w:rPr>
          <w:rFonts w:ascii="Times New Roman" w:eastAsia="Calibri" w:hAnsi="Times New Roman" w:cs="Times New Roman"/>
          <w:sz w:val="24"/>
          <w:szCs w:val="18"/>
        </w:rPr>
        <w:t>)×</w:t>
      </w:r>
      <w:r w:rsidRPr="009D3E2A">
        <w:rPr>
          <w:rFonts w:ascii="Times New Roman" w:eastAsia="Calibri" w:hAnsi="Times New Roman" w:cs="Times New Roman"/>
          <w:i/>
          <w:sz w:val="24"/>
          <w:szCs w:val="18"/>
        </w:rPr>
        <w:t>e</w:t>
      </w:r>
      <w:r w:rsidRPr="009D3E2A">
        <w:rPr>
          <w:rFonts w:ascii="Times New Roman" w:eastAsia="Calibri" w:hAnsi="Times New Roman" w:cs="Times New Roman"/>
          <w:sz w:val="24"/>
          <w:szCs w:val="18"/>
          <w:vertAlign w:val="superscript"/>
        </w:rPr>
        <w:t xml:space="preserve">-k×t </w:t>
      </w:r>
      <w:r w:rsidRPr="009D3E2A">
        <w:rPr>
          <w:rFonts w:ascii="Times New Roman" w:eastAsia="Calibri" w:hAnsi="Times New Roman" w:cs="Times New Roman"/>
          <w:sz w:val="24"/>
          <w:szCs w:val="18"/>
        </w:rPr>
        <w:t>and a single slope is noted when the logarithm of the reaction progress variable (1-F =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N(t)</w:t>
      </w:r>
      <w:r w:rsidRPr="009D3E2A">
        <w:rPr>
          <w:rFonts w:ascii="Times New Roman" w:eastAsia="Calibri" w:hAnsi="Times New Roman" w:cs="Times New Roman"/>
          <w:sz w:val="24"/>
          <w:szCs w:val="18"/>
          <w:vertAlign w:val="subscript"/>
        </w:rPr>
        <w:t xml:space="preserve"> </w:t>
      </w:r>
      <w:r w:rsidRPr="009D3E2A">
        <w:rPr>
          <w:rFonts w:ascii="Times New Roman" w:eastAsia="Calibri" w:hAnsi="Times New Roman" w:cs="Times New Roman"/>
          <w:sz w:val="24"/>
          <w:szCs w:val="18"/>
        </w:rPr>
        <w:t>-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w:t>
      </w:r>
      <w:r w:rsidRPr="009D3E2A">
        <w:rPr>
          <w:rFonts w:ascii="Times New Roman" w:eastAsia="Calibri" w:hAnsi="Times New Roman" w:cs="Times New Roman"/>
          <w:sz w:val="24"/>
          <w:szCs w:val="18"/>
        </w:rPr>
        <w:t>)/(δ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 xml:space="preserve">0 </w:t>
      </w:r>
      <w:r w:rsidRPr="009D3E2A">
        <w:rPr>
          <w:rFonts w:ascii="Times New Roman" w:eastAsia="Calibri" w:hAnsi="Times New Roman" w:cs="Times New Roman"/>
          <w:sz w:val="24"/>
          <w:szCs w:val="18"/>
        </w:rPr>
        <w:t>-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w:t>
      </w:r>
      <w:r w:rsidRPr="009D3E2A">
        <w:rPr>
          <w:rFonts w:ascii="Times New Roman" w:eastAsia="Calibri" w:hAnsi="Times New Roman" w:cs="Times New Roman"/>
          <w:sz w:val="24"/>
          <w:szCs w:val="18"/>
        </w:rPr>
        <w:t>)) is plotted versus time. B) Bi-exponential model (as in urine), where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 kinetics are adequately fitted according to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N(t) =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 xml:space="preserve">∞ </w:t>
      </w:r>
      <w:r w:rsidRPr="009D3E2A">
        <w:rPr>
          <w:rFonts w:ascii="Times New Roman" w:eastAsia="Calibri" w:hAnsi="Times New Roman" w:cs="Times New Roman"/>
          <w:sz w:val="24"/>
          <w:szCs w:val="18"/>
        </w:rPr>
        <w:t>+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 xml:space="preserve">0 </w:t>
      </w:r>
      <w:r w:rsidRPr="009D3E2A">
        <w:rPr>
          <w:rFonts w:ascii="Times New Roman" w:eastAsia="Calibri" w:hAnsi="Times New Roman" w:cs="Times New Roman"/>
          <w:sz w:val="24"/>
          <w:szCs w:val="18"/>
        </w:rPr>
        <w:t>- δ</w:t>
      </w:r>
      <w:r w:rsidRPr="009D3E2A">
        <w:rPr>
          <w:rFonts w:ascii="Times New Roman" w:eastAsia="Calibri" w:hAnsi="Times New Roman" w:cs="Times New Roman"/>
          <w:sz w:val="24"/>
          <w:szCs w:val="18"/>
          <w:vertAlign w:val="superscript"/>
        </w:rPr>
        <w:t>15</w:t>
      </w:r>
      <w:r w:rsidRPr="009D3E2A">
        <w:rPr>
          <w:rFonts w:ascii="Times New Roman" w:eastAsia="Calibri" w:hAnsi="Times New Roman" w:cs="Times New Roman"/>
          <w:sz w:val="24"/>
          <w:szCs w:val="18"/>
        </w:rPr>
        <w:t>N</w:t>
      </w:r>
      <w:r w:rsidRPr="009D3E2A">
        <w:rPr>
          <w:rFonts w:ascii="Times New Roman" w:eastAsia="Calibri" w:hAnsi="Times New Roman" w:cs="Times New Roman"/>
          <w:sz w:val="24"/>
          <w:szCs w:val="18"/>
          <w:vertAlign w:val="subscript"/>
        </w:rPr>
        <w:t>∞</w:t>
      </w:r>
      <w:r w:rsidRPr="009D3E2A">
        <w:rPr>
          <w:rFonts w:ascii="Times New Roman" w:eastAsia="Calibri" w:hAnsi="Times New Roman" w:cs="Times New Roman"/>
          <w:sz w:val="24"/>
          <w:szCs w:val="18"/>
        </w:rPr>
        <w:t>)×[p×</w:t>
      </w:r>
      <w:r w:rsidRPr="009D3E2A">
        <w:rPr>
          <w:rFonts w:ascii="Times New Roman" w:eastAsia="Calibri" w:hAnsi="Times New Roman" w:cs="Times New Roman"/>
          <w:i/>
          <w:sz w:val="24"/>
          <w:szCs w:val="18"/>
        </w:rPr>
        <w:t>e</w:t>
      </w:r>
      <w:r w:rsidRPr="009D3E2A">
        <w:rPr>
          <w:rFonts w:ascii="Times New Roman" w:eastAsia="Calibri" w:hAnsi="Times New Roman" w:cs="Times New Roman"/>
          <w:sz w:val="24"/>
          <w:szCs w:val="18"/>
          <w:vertAlign w:val="superscript"/>
        </w:rPr>
        <w:t>-k</w:t>
      </w:r>
      <w:r w:rsidRPr="009D3E2A">
        <w:rPr>
          <w:rFonts w:ascii="Times New Roman" w:eastAsia="Calibri" w:hAnsi="Times New Roman" w:cs="Times New Roman"/>
          <w:position w:val="6"/>
          <w:sz w:val="24"/>
          <w:szCs w:val="18"/>
          <w:vertAlign w:val="subscript"/>
        </w:rPr>
        <w:t>1</w:t>
      </w:r>
      <w:r w:rsidRPr="009D3E2A">
        <w:rPr>
          <w:rFonts w:ascii="Times New Roman" w:eastAsia="Calibri" w:hAnsi="Times New Roman" w:cs="Times New Roman"/>
          <w:sz w:val="24"/>
          <w:szCs w:val="18"/>
          <w:vertAlign w:val="superscript"/>
        </w:rPr>
        <w:t>×t</w:t>
      </w:r>
      <w:r w:rsidRPr="009D3E2A">
        <w:rPr>
          <w:rFonts w:ascii="Times New Roman" w:eastAsia="Calibri" w:hAnsi="Times New Roman" w:cs="Times New Roman"/>
          <w:sz w:val="24"/>
          <w:szCs w:val="18"/>
        </w:rPr>
        <w:t xml:space="preserve"> + (1-p)×</w:t>
      </w:r>
      <w:r w:rsidRPr="009D3E2A">
        <w:rPr>
          <w:rFonts w:ascii="Times New Roman" w:eastAsia="Calibri" w:hAnsi="Times New Roman" w:cs="Times New Roman"/>
          <w:i/>
          <w:sz w:val="24"/>
          <w:szCs w:val="18"/>
        </w:rPr>
        <w:t>e</w:t>
      </w:r>
      <w:r w:rsidRPr="009D3E2A">
        <w:rPr>
          <w:rFonts w:ascii="Times New Roman" w:eastAsia="Calibri" w:hAnsi="Times New Roman" w:cs="Times New Roman"/>
          <w:sz w:val="24"/>
          <w:szCs w:val="18"/>
          <w:vertAlign w:val="superscript"/>
        </w:rPr>
        <w:t>-k</w:t>
      </w:r>
      <w:r w:rsidRPr="009D3E2A">
        <w:rPr>
          <w:rFonts w:ascii="Times New Roman" w:eastAsia="Calibri" w:hAnsi="Times New Roman" w:cs="Times New Roman"/>
          <w:position w:val="6"/>
          <w:sz w:val="24"/>
          <w:szCs w:val="18"/>
          <w:vertAlign w:val="subscript"/>
        </w:rPr>
        <w:t>2</w:t>
      </w:r>
      <w:r w:rsidRPr="009D3E2A">
        <w:rPr>
          <w:rFonts w:ascii="Times New Roman" w:eastAsia="Calibri" w:hAnsi="Times New Roman" w:cs="Times New Roman"/>
          <w:sz w:val="24"/>
          <w:szCs w:val="18"/>
          <w:vertAlign w:val="superscript"/>
        </w:rPr>
        <w:t>×t</w:t>
      </w:r>
      <w:r w:rsidRPr="009D3E2A">
        <w:rPr>
          <w:rFonts w:ascii="Times New Roman" w:eastAsia="Calibri" w:hAnsi="Times New Roman" w:cs="Times New Roman"/>
          <w:sz w:val="24"/>
          <w:szCs w:val="18"/>
        </w:rPr>
        <w:t>] and two different slopes are noted when the logarithm of the reaction progress variables are plotted versus time. The two different slopes represent the fractional turnover rates during the first, fast (k</w:t>
      </w:r>
      <w:r w:rsidRPr="009D3E2A">
        <w:rPr>
          <w:rFonts w:ascii="Times New Roman" w:eastAsia="Calibri" w:hAnsi="Times New Roman" w:cs="Times New Roman"/>
          <w:sz w:val="24"/>
          <w:szCs w:val="18"/>
          <w:vertAlign w:val="subscript"/>
        </w:rPr>
        <w:t>1</w:t>
      </w:r>
      <w:r w:rsidRPr="009D3E2A">
        <w:rPr>
          <w:rFonts w:ascii="Times New Roman" w:eastAsia="Calibri" w:hAnsi="Times New Roman" w:cs="Times New Roman"/>
          <w:sz w:val="24"/>
          <w:szCs w:val="18"/>
        </w:rPr>
        <w:t>) and second, slow (k</w:t>
      </w:r>
      <w:r w:rsidRPr="009D3E2A">
        <w:rPr>
          <w:rFonts w:ascii="Times New Roman" w:eastAsia="Calibri" w:hAnsi="Times New Roman" w:cs="Times New Roman"/>
          <w:sz w:val="24"/>
          <w:szCs w:val="18"/>
          <w:vertAlign w:val="subscript"/>
        </w:rPr>
        <w:t>2</w:t>
      </w:r>
      <w:r w:rsidRPr="009D3E2A">
        <w:rPr>
          <w:rFonts w:ascii="Times New Roman" w:eastAsia="Calibri" w:hAnsi="Times New Roman" w:cs="Times New Roman"/>
          <w:sz w:val="24"/>
          <w:szCs w:val="18"/>
        </w:rPr>
        <w:t>) phases.</w:t>
      </w:r>
    </w:p>
    <w:p w:rsidR="00742C72" w:rsidRDefault="002A238B"/>
    <w:sectPr w:rsidR="00742C72" w:rsidSect="009D3E2A">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2A"/>
    <w:rsid w:val="00033928"/>
    <w:rsid w:val="002A238B"/>
    <w:rsid w:val="003F12EE"/>
    <w:rsid w:val="0084167D"/>
    <w:rsid w:val="009D3E2A"/>
    <w:rsid w:val="00B66D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AAA51-B7AF-46E4-922C-F9FD287D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Cambridge University Press</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Sage</dc:creator>
  <cp:keywords/>
  <dc:description/>
  <cp:lastModifiedBy>Alison Sage</cp:lastModifiedBy>
  <cp:revision>2</cp:revision>
  <dcterms:created xsi:type="dcterms:W3CDTF">2020-02-25T13:21:00Z</dcterms:created>
  <dcterms:modified xsi:type="dcterms:W3CDTF">2020-02-25T13:22:00Z</dcterms:modified>
</cp:coreProperties>
</file>