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1E02F" w14:textId="77777777" w:rsidR="00BF4687" w:rsidRDefault="00BF4687" w:rsidP="00BF4687">
      <w:pPr>
        <w:pStyle w:val="Heading1"/>
        <w:jc w:val="center"/>
        <w:rPr>
          <w:sz w:val="32"/>
          <w:szCs w:val="32"/>
        </w:rPr>
      </w:pPr>
      <w:r w:rsidRPr="00133202">
        <w:rPr>
          <w:sz w:val="32"/>
          <w:szCs w:val="32"/>
        </w:rPr>
        <w:t xml:space="preserve">Effect of a homogeneous magnetic field on the </w:t>
      </w:r>
      <w:proofErr w:type="spellStart"/>
      <w:r w:rsidRPr="00133202">
        <w:rPr>
          <w:sz w:val="32"/>
          <w:szCs w:val="32"/>
        </w:rPr>
        <w:t>electrospraying</w:t>
      </w:r>
      <w:proofErr w:type="spellEnd"/>
      <w:r w:rsidRPr="00133202">
        <w:rPr>
          <w:sz w:val="32"/>
          <w:szCs w:val="32"/>
        </w:rPr>
        <w:t xml:space="preserve"> characteristics of sulfolane ferrofluids</w:t>
      </w:r>
    </w:p>
    <w:p w14:paraId="3B024A3C" w14:textId="77777777" w:rsidR="00BF4687" w:rsidRPr="00133202" w:rsidRDefault="00BF4687" w:rsidP="00BF4687"/>
    <w:p w14:paraId="61E6AD7F" w14:textId="77777777" w:rsidR="00BF4687" w:rsidRPr="00DC327F" w:rsidRDefault="00BF4687" w:rsidP="00BF4687">
      <w:pPr>
        <w:pStyle w:val="Heading1"/>
        <w:jc w:val="center"/>
        <w:rPr>
          <w:b w:val="0"/>
          <w:sz w:val="24"/>
          <w:szCs w:val="24"/>
        </w:rPr>
      </w:pPr>
      <w:r w:rsidRPr="00DC327F">
        <w:rPr>
          <w:b w:val="0"/>
          <w:sz w:val="24"/>
          <w:szCs w:val="24"/>
        </w:rPr>
        <w:t>Aaron Madden</w:t>
      </w:r>
      <w:r>
        <w:rPr>
          <w:b w:val="0"/>
          <w:sz w:val="24"/>
          <w:szCs w:val="24"/>
          <w:vertAlign w:val="superscript"/>
        </w:rPr>
        <w:t>1</w:t>
      </w:r>
      <w:r w:rsidRPr="00DC327F">
        <w:rPr>
          <w:b w:val="0"/>
          <w:sz w:val="24"/>
          <w:szCs w:val="24"/>
        </w:rPr>
        <w:t xml:space="preserve"> and Juan Fernandez de la Mora</w:t>
      </w:r>
      <w:r>
        <w:rPr>
          <w:b w:val="0"/>
          <w:sz w:val="24"/>
          <w:szCs w:val="24"/>
          <w:vertAlign w:val="superscript"/>
        </w:rPr>
        <w:t>1</w:t>
      </w:r>
    </w:p>
    <w:p w14:paraId="699AC8D6" w14:textId="77777777" w:rsidR="00BF4687" w:rsidRPr="00DC327F" w:rsidRDefault="00BF4687" w:rsidP="00BF4687">
      <w:pPr>
        <w:pStyle w:val="Heading1"/>
        <w:jc w:val="center"/>
      </w:pPr>
      <w:proofErr w:type="spellStart"/>
      <w:r w:rsidRPr="00DC327F">
        <w:rPr>
          <w:b w:val="0"/>
          <w:sz w:val="24"/>
          <w:szCs w:val="24"/>
        </w:rPr>
        <w:t>Nirmesh</w:t>
      </w:r>
      <w:proofErr w:type="spellEnd"/>
      <w:r w:rsidRPr="00DC327F">
        <w:rPr>
          <w:b w:val="0"/>
          <w:sz w:val="24"/>
          <w:szCs w:val="24"/>
        </w:rPr>
        <w:t xml:space="preserve"> Jain</w:t>
      </w:r>
      <w:r>
        <w:rPr>
          <w:b w:val="0"/>
          <w:sz w:val="24"/>
          <w:szCs w:val="24"/>
          <w:vertAlign w:val="superscript"/>
        </w:rPr>
        <w:t>2</w:t>
      </w:r>
      <w:r>
        <w:rPr>
          <w:b w:val="0"/>
          <w:sz w:val="24"/>
          <w:szCs w:val="24"/>
          <w:vertAlign w:val="subscript"/>
        </w:rPr>
        <w:t xml:space="preserve">, </w:t>
      </w:r>
      <w:proofErr w:type="spellStart"/>
      <w:r w:rsidRPr="00A549B6">
        <w:rPr>
          <w:b w:val="0"/>
          <w:sz w:val="24"/>
          <w:szCs w:val="24"/>
        </w:rPr>
        <w:t>Hadi</w:t>
      </w:r>
      <w:proofErr w:type="spellEnd"/>
      <w:r w:rsidRPr="00A549B6">
        <w:rPr>
          <w:b w:val="0"/>
          <w:sz w:val="24"/>
          <w:szCs w:val="24"/>
        </w:rPr>
        <w:t xml:space="preserve"> Sabouri</w:t>
      </w:r>
      <w:r>
        <w:rPr>
          <w:b w:val="0"/>
          <w:sz w:val="24"/>
          <w:szCs w:val="24"/>
          <w:vertAlign w:val="superscript"/>
        </w:rPr>
        <w:t>2</w:t>
      </w:r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and</w:t>
      </w:r>
      <w:r w:rsidRPr="00DC327F">
        <w:t> </w:t>
      </w:r>
      <w:r w:rsidRPr="00DC327F">
        <w:rPr>
          <w:b w:val="0"/>
          <w:sz w:val="24"/>
          <w:szCs w:val="24"/>
        </w:rPr>
        <w:t xml:space="preserve"> Brian</w:t>
      </w:r>
      <w:proofErr w:type="gramEnd"/>
      <w:r w:rsidRPr="00DC327F">
        <w:rPr>
          <w:b w:val="0"/>
          <w:sz w:val="24"/>
          <w:szCs w:val="24"/>
        </w:rPr>
        <w:t xml:space="preserve"> Hawkett</w:t>
      </w:r>
      <w:r>
        <w:rPr>
          <w:b w:val="0"/>
          <w:sz w:val="24"/>
          <w:szCs w:val="24"/>
          <w:vertAlign w:val="superscript"/>
        </w:rPr>
        <w:t>2</w:t>
      </w:r>
    </w:p>
    <w:p w14:paraId="7217A290" w14:textId="77777777" w:rsidR="00BF4687" w:rsidRPr="00DC327F" w:rsidRDefault="00BF4687" w:rsidP="00BF4687">
      <w:pPr>
        <w:pStyle w:val="Heading1"/>
        <w:jc w:val="center"/>
        <w:rPr>
          <w:b w:val="0"/>
          <w:sz w:val="24"/>
          <w:szCs w:val="24"/>
        </w:rPr>
      </w:pPr>
    </w:p>
    <w:p w14:paraId="0FC472F0" w14:textId="77777777" w:rsidR="00BF4687" w:rsidRPr="00DC327F" w:rsidRDefault="00BF4687" w:rsidP="00BF4687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vertAlign w:val="superscript"/>
        </w:rPr>
        <w:t xml:space="preserve">1 </w:t>
      </w:r>
      <w:r w:rsidRPr="00DC327F">
        <w:rPr>
          <w:rFonts w:cs="Times New Roman"/>
          <w:sz w:val="24"/>
          <w:szCs w:val="24"/>
        </w:rPr>
        <w:t>Yale University, Mechanical Engineering Department, New Haven, CT</w:t>
      </w:r>
      <w:r>
        <w:rPr>
          <w:rFonts w:cs="Times New Roman"/>
          <w:sz w:val="24"/>
          <w:szCs w:val="24"/>
        </w:rPr>
        <w:t xml:space="preserve"> 06520-8286</w:t>
      </w:r>
      <w:r w:rsidRPr="00DC327F">
        <w:rPr>
          <w:rFonts w:cs="Times New Roman"/>
          <w:sz w:val="24"/>
          <w:szCs w:val="24"/>
        </w:rPr>
        <w:t>, USA</w:t>
      </w:r>
    </w:p>
    <w:p w14:paraId="7E7A2824" w14:textId="77777777" w:rsidR="00BF4687" w:rsidRPr="00DC327F" w:rsidRDefault="00BF4687" w:rsidP="00BF4687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vertAlign w:val="superscript"/>
        </w:rPr>
        <w:t xml:space="preserve">2 </w:t>
      </w:r>
      <w:r w:rsidRPr="00980B39">
        <w:rPr>
          <w:rFonts w:cs="Times New Roman"/>
          <w:sz w:val="24"/>
          <w:szCs w:val="24"/>
        </w:rPr>
        <w:t xml:space="preserve">The </w:t>
      </w:r>
      <w:r w:rsidRPr="00DC327F">
        <w:rPr>
          <w:rFonts w:cs="Times New Roman"/>
          <w:sz w:val="24"/>
          <w:szCs w:val="24"/>
        </w:rPr>
        <w:t xml:space="preserve">University of Sydney, Chemistry Department, Key Centre for Polymers and Colloids, </w:t>
      </w:r>
      <w:r w:rsidRPr="00DC327F">
        <w:rPr>
          <w:rFonts w:eastAsiaTheme="minorHAnsi" w:cs="Times New Roman"/>
          <w:sz w:val="24"/>
          <w:szCs w:val="24"/>
        </w:rPr>
        <w:t>NSW, 2006, Australia</w:t>
      </w:r>
    </w:p>
    <w:p w14:paraId="2F62EDCE" w14:textId="77777777" w:rsidR="00BF4687" w:rsidRDefault="00BF4687" w:rsidP="00BF4687">
      <w:pPr>
        <w:jc w:val="center"/>
        <w:rPr>
          <w:rFonts w:cs="Times New Roman"/>
          <w:sz w:val="24"/>
          <w:szCs w:val="24"/>
        </w:rPr>
      </w:pPr>
    </w:p>
    <w:p w14:paraId="0149D414" w14:textId="77777777" w:rsidR="00BF4687" w:rsidRPr="00DC327F" w:rsidRDefault="00BF4687" w:rsidP="00BF4687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(Received 21 May 2016; Revised  31 Jan 2017; accepted …  )</w:t>
      </w:r>
    </w:p>
    <w:p w14:paraId="0859A763" w14:textId="77777777" w:rsidR="00BF4687" w:rsidRDefault="00BF4687" w:rsidP="00856B94">
      <w:pPr>
        <w:jc w:val="center"/>
        <w:rPr>
          <w:rFonts w:cs="Times New Roman"/>
          <w:sz w:val="24"/>
          <w:szCs w:val="24"/>
        </w:rPr>
      </w:pPr>
    </w:p>
    <w:p w14:paraId="6698B7EA" w14:textId="0BD4670D" w:rsidR="00856B94" w:rsidRPr="00856B94" w:rsidRDefault="00856B94" w:rsidP="00856B94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AUXILIARY MATERIAL</w:t>
      </w:r>
    </w:p>
    <w:p w14:paraId="72772335" w14:textId="57AEE029" w:rsidR="00C43D8B" w:rsidRPr="00C43D8B" w:rsidRDefault="00012300" w:rsidP="00C43D8B">
      <w:pPr>
        <w:ind w:firstLine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table below</w:t>
      </w:r>
      <w:r w:rsidR="00C43D8B" w:rsidRPr="00DC327F">
        <w:rPr>
          <w:rFonts w:cs="Times New Roman"/>
          <w:sz w:val="24"/>
          <w:szCs w:val="24"/>
        </w:rPr>
        <w:t xml:space="preserve"> collects relevant data relating to the minimum flow rate at the edge of stability. </w:t>
      </w:r>
      <w:r w:rsidR="00C43D8B" w:rsidRPr="00C43D8B">
        <w:rPr>
          <w:rFonts w:cs="Times New Roman"/>
          <w:i/>
          <w:sz w:val="24"/>
          <w:szCs w:val="24"/>
        </w:rPr>
        <w:t>H</w:t>
      </w:r>
      <w:r w:rsidR="00C43D8B">
        <w:rPr>
          <w:rFonts w:cs="Times New Roman"/>
          <w:sz w:val="24"/>
          <w:szCs w:val="24"/>
        </w:rPr>
        <w:t xml:space="preserve"> is the applied magnetization. </w:t>
      </w:r>
      <w:proofErr w:type="spellStart"/>
      <w:r w:rsidR="00C43D8B">
        <w:rPr>
          <w:rFonts w:cs="Times New Roman"/>
          <w:i/>
          <w:sz w:val="24"/>
          <w:szCs w:val="24"/>
        </w:rPr>
        <w:t>V</w:t>
      </w:r>
      <w:r w:rsidR="00C43D8B">
        <w:rPr>
          <w:rFonts w:cs="Times New Roman"/>
          <w:i/>
          <w:sz w:val="24"/>
          <w:szCs w:val="24"/>
          <w:vertAlign w:val="subscript"/>
        </w:rPr>
        <w:t>vial</w:t>
      </w:r>
      <w:proofErr w:type="spellEnd"/>
      <w:r w:rsidR="00C43D8B">
        <w:rPr>
          <w:rFonts w:cs="Times New Roman"/>
          <w:i/>
          <w:sz w:val="24"/>
          <w:szCs w:val="24"/>
        </w:rPr>
        <w:t xml:space="preserve"> </w:t>
      </w:r>
      <w:r w:rsidR="00C43D8B">
        <w:rPr>
          <w:rFonts w:cs="Times New Roman"/>
          <w:sz w:val="24"/>
          <w:szCs w:val="24"/>
        </w:rPr>
        <w:t xml:space="preserve">is the high voltage applied to the ferrofluid reservoir. </w:t>
      </w:r>
      <w:proofErr w:type="spellStart"/>
      <w:r w:rsidR="00C43D8B">
        <w:rPr>
          <w:rFonts w:cs="Times New Roman"/>
          <w:i/>
          <w:sz w:val="24"/>
          <w:szCs w:val="24"/>
        </w:rPr>
        <w:t>V</w:t>
      </w:r>
      <w:r w:rsidR="00C43D8B">
        <w:rPr>
          <w:rFonts w:cs="Times New Roman"/>
          <w:i/>
          <w:sz w:val="24"/>
          <w:szCs w:val="24"/>
          <w:vertAlign w:val="subscript"/>
        </w:rPr>
        <w:t>drop</w:t>
      </w:r>
      <w:proofErr w:type="spellEnd"/>
      <w:r w:rsidR="00C43D8B">
        <w:rPr>
          <w:rFonts w:cs="Times New Roman"/>
          <w:i/>
          <w:sz w:val="24"/>
          <w:szCs w:val="24"/>
        </w:rPr>
        <w:t xml:space="preserve"> </w:t>
      </w:r>
      <w:r w:rsidR="00C43D8B">
        <w:rPr>
          <w:rFonts w:cs="Times New Roman"/>
          <w:sz w:val="24"/>
          <w:szCs w:val="24"/>
        </w:rPr>
        <w:t xml:space="preserve">is the calculated voltage drop associated to transmitted current </w:t>
      </w:r>
      <w:r w:rsidR="00856B94">
        <w:rPr>
          <w:rFonts w:cs="Times New Roman"/>
          <w:sz w:val="24"/>
          <w:szCs w:val="24"/>
        </w:rPr>
        <w:t>through</w:t>
      </w:r>
      <w:r w:rsidR="00C43D8B">
        <w:rPr>
          <w:rFonts w:cs="Times New Roman"/>
          <w:sz w:val="24"/>
          <w:szCs w:val="24"/>
        </w:rPr>
        <w:t xml:space="preserve"> the bulk resistance of the line. </w:t>
      </w:r>
      <w:r w:rsidR="00345BD9">
        <w:rPr>
          <w:rFonts w:cs="Times New Roman"/>
          <w:sz w:val="24"/>
          <w:szCs w:val="24"/>
        </w:rPr>
        <w:t xml:space="preserve">For each magnetization and applied voltage, a set of emission destabilizations is observed and their flow rates and currents at destabilization </w:t>
      </w:r>
      <w:r w:rsidR="00856B94">
        <w:rPr>
          <w:rFonts w:cs="Times New Roman"/>
          <w:sz w:val="24"/>
          <w:szCs w:val="24"/>
        </w:rPr>
        <w:t xml:space="preserve">are </w:t>
      </w:r>
      <w:r w:rsidR="00345BD9">
        <w:rPr>
          <w:rFonts w:cs="Times New Roman"/>
          <w:sz w:val="24"/>
          <w:szCs w:val="24"/>
        </w:rPr>
        <w:t xml:space="preserve">recorded. </w:t>
      </w:r>
      <w:proofErr w:type="spellStart"/>
      <w:r w:rsidR="00C43D8B">
        <w:rPr>
          <w:rFonts w:cs="Times New Roman"/>
          <w:i/>
          <w:sz w:val="24"/>
          <w:szCs w:val="24"/>
        </w:rPr>
        <w:t>Q</w:t>
      </w:r>
      <w:r w:rsidR="00C43D8B">
        <w:rPr>
          <w:rFonts w:cs="Times New Roman"/>
          <w:i/>
          <w:sz w:val="24"/>
          <w:szCs w:val="24"/>
          <w:vertAlign w:val="subscript"/>
        </w:rPr>
        <w:t>min</w:t>
      </w:r>
      <w:proofErr w:type="spellEnd"/>
      <w:r w:rsidR="00C43D8B">
        <w:rPr>
          <w:rFonts w:cs="Times New Roman"/>
          <w:sz w:val="24"/>
          <w:szCs w:val="24"/>
        </w:rPr>
        <w:t xml:space="preserve"> is the average flow rate when the Taylor cone destabilizes. </w:t>
      </w:r>
      <w:proofErr w:type="spellStart"/>
      <w:r w:rsidR="00C43D8B">
        <w:rPr>
          <w:rFonts w:cs="Times New Roman"/>
          <w:i/>
          <w:sz w:val="24"/>
          <w:szCs w:val="24"/>
        </w:rPr>
        <w:t>σ</w:t>
      </w:r>
      <w:r w:rsidR="00C43D8B">
        <w:rPr>
          <w:rFonts w:cs="Times New Roman"/>
          <w:i/>
          <w:sz w:val="24"/>
          <w:szCs w:val="24"/>
          <w:vertAlign w:val="subscript"/>
        </w:rPr>
        <w:t>Q</w:t>
      </w:r>
      <w:proofErr w:type="spellEnd"/>
      <w:r w:rsidR="00C43D8B">
        <w:rPr>
          <w:rFonts w:cs="Times New Roman"/>
          <w:i/>
          <w:sz w:val="24"/>
          <w:szCs w:val="24"/>
        </w:rPr>
        <w:t xml:space="preserve"> </w:t>
      </w:r>
      <w:r w:rsidR="00C43D8B">
        <w:rPr>
          <w:rFonts w:cs="Times New Roman"/>
          <w:sz w:val="24"/>
          <w:szCs w:val="24"/>
        </w:rPr>
        <w:t xml:space="preserve">is the standard deviation of that set of flow rates. </w:t>
      </w:r>
      <w:proofErr w:type="spellStart"/>
      <w:r w:rsidR="00C43D8B">
        <w:rPr>
          <w:rFonts w:cs="Times New Roman"/>
          <w:i/>
          <w:sz w:val="24"/>
          <w:szCs w:val="24"/>
        </w:rPr>
        <w:t>I</w:t>
      </w:r>
      <w:r w:rsidR="00C43D8B">
        <w:rPr>
          <w:rFonts w:cs="Times New Roman"/>
          <w:i/>
          <w:sz w:val="24"/>
          <w:szCs w:val="24"/>
          <w:vertAlign w:val="subscript"/>
        </w:rPr>
        <w:t>min</w:t>
      </w:r>
      <w:proofErr w:type="spellEnd"/>
      <w:r w:rsidR="00C43D8B">
        <w:rPr>
          <w:rFonts w:cs="Times New Roman"/>
          <w:sz w:val="24"/>
          <w:szCs w:val="24"/>
        </w:rPr>
        <w:t xml:space="preserve"> is the average emitted current when the Taylor cone destabilizes; </w:t>
      </w:r>
      <w:proofErr w:type="spellStart"/>
      <w:r w:rsidR="00C43D8B">
        <w:rPr>
          <w:rFonts w:cs="Times New Roman"/>
          <w:i/>
          <w:sz w:val="24"/>
          <w:szCs w:val="24"/>
        </w:rPr>
        <w:t>σ</w:t>
      </w:r>
      <w:r w:rsidR="00C43D8B">
        <w:rPr>
          <w:rFonts w:cs="Times New Roman"/>
          <w:i/>
          <w:sz w:val="24"/>
          <w:szCs w:val="24"/>
          <w:vertAlign w:val="subscript"/>
        </w:rPr>
        <w:t>I</w:t>
      </w:r>
      <w:proofErr w:type="spellEnd"/>
      <w:r w:rsidR="00C43D8B">
        <w:rPr>
          <w:rFonts w:cs="Times New Roman"/>
          <w:sz w:val="24"/>
          <w:szCs w:val="24"/>
        </w:rPr>
        <w:t xml:space="preserve"> is the standard deviation of that set of currents. </w:t>
      </w:r>
      <w:proofErr w:type="spellStart"/>
      <w:r w:rsidR="00C43D8B">
        <w:rPr>
          <w:rFonts w:cs="Times New Roman"/>
          <w:i/>
          <w:sz w:val="24"/>
          <w:szCs w:val="24"/>
        </w:rPr>
        <w:t>D</w:t>
      </w:r>
      <w:r w:rsidR="00C43D8B">
        <w:rPr>
          <w:rFonts w:cs="Times New Roman"/>
          <w:i/>
          <w:sz w:val="24"/>
          <w:szCs w:val="24"/>
          <w:vertAlign w:val="subscript"/>
        </w:rPr>
        <w:t>min</w:t>
      </w:r>
      <w:proofErr w:type="spellEnd"/>
      <w:r w:rsidR="00C43D8B">
        <w:rPr>
          <w:rFonts w:cs="Times New Roman"/>
          <w:sz w:val="24"/>
          <w:szCs w:val="24"/>
        </w:rPr>
        <w:t xml:space="preserve"> is the calculated droplet size </w:t>
      </w:r>
      <w:r w:rsidR="00856B94">
        <w:rPr>
          <w:rFonts w:cs="Times New Roman"/>
          <w:sz w:val="24"/>
          <w:szCs w:val="24"/>
        </w:rPr>
        <w:t>based on the mean drop charge</w:t>
      </w:r>
      <w:r w:rsidR="00C43D8B">
        <w:rPr>
          <w:rFonts w:cs="Times New Roman"/>
          <w:sz w:val="24"/>
          <w:szCs w:val="24"/>
        </w:rPr>
        <w:t xml:space="preserve"> </w:t>
      </w:r>
      <w:r w:rsidR="00856B94">
        <w:rPr>
          <w:rFonts w:cs="Times New Roman"/>
          <w:sz w:val="24"/>
          <w:szCs w:val="24"/>
        </w:rPr>
        <w:t xml:space="preserve">density I/Q </w:t>
      </w:r>
      <w:proofErr w:type="spellStart"/>
      <w:r w:rsidR="00856B94">
        <w:rPr>
          <w:rFonts w:cs="Times New Roman"/>
          <w:sz w:val="24"/>
          <w:szCs w:val="24"/>
        </w:rPr>
        <w:t>snf</w:t>
      </w:r>
      <w:proofErr w:type="spellEnd"/>
      <w:r w:rsidR="00856B94">
        <w:rPr>
          <w:rFonts w:cs="Times New Roman"/>
          <w:sz w:val="24"/>
          <w:szCs w:val="24"/>
        </w:rPr>
        <w:t xml:space="preserve"> the assumption that it is charged at 44% of the Rayleigh</w:t>
      </w:r>
      <w:r w:rsidR="00C43D8B">
        <w:rPr>
          <w:rFonts w:cs="Times New Roman"/>
          <w:sz w:val="24"/>
          <w:szCs w:val="24"/>
        </w:rPr>
        <w:t xml:space="preserve"> limit; </w:t>
      </w:r>
      <w:proofErr w:type="spellStart"/>
      <w:r w:rsidR="00C43D8B">
        <w:rPr>
          <w:rFonts w:cs="Times New Roman"/>
          <w:i/>
          <w:sz w:val="24"/>
          <w:szCs w:val="24"/>
        </w:rPr>
        <w:t>σ</w:t>
      </w:r>
      <w:r w:rsidR="00C43D8B">
        <w:rPr>
          <w:rFonts w:cs="Times New Roman"/>
          <w:i/>
          <w:sz w:val="24"/>
          <w:szCs w:val="24"/>
          <w:vertAlign w:val="subscript"/>
        </w:rPr>
        <w:t>D</w:t>
      </w:r>
      <w:proofErr w:type="spellEnd"/>
      <w:r w:rsidR="00C43D8B">
        <w:rPr>
          <w:rFonts w:cs="Times New Roman"/>
          <w:i/>
          <w:sz w:val="24"/>
          <w:szCs w:val="24"/>
          <w:vertAlign w:val="subscript"/>
        </w:rPr>
        <w:t xml:space="preserve"> </w:t>
      </w:r>
      <w:r w:rsidR="00C43D8B">
        <w:rPr>
          <w:rFonts w:cs="Times New Roman"/>
          <w:sz w:val="24"/>
          <w:szCs w:val="24"/>
        </w:rPr>
        <w:t xml:space="preserve">is the standard deviation of the set of </w:t>
      </w:r>
      <w:proofErr w:type="spellStart"/>
      <w:r w:rsidR="00856B94">
        <w:rPr>
          <w:rFonts w:cs="Times New Roman"/>
          <w:i/>
          <w:sz w:val="24"/>
          <w:szCs w:val="24"/>
        </w:rPr>
        <w:t>D</w:t>
      </w:r>
      <w:r w:rsidR="00856B94">
        <w:rPr>
          <w:rFonts w:cs="Times New Roman"/>
          <w:i/>
          <w:sz w:val="24"/>
          <w:szCs w:val="24"/>
          <w:vertAlign w:val="subscript"/>
        </w:rPr>
        <w:t>min</w:t>
      </w:r>
      <w:proofErr w:type="spellEnd"/>
      <w:r w:rsidR="00856B94">
        <w:rPr>
          <w:rFonts w:cs="Times New Roman"/>
          <w:sz w:val="24"/>
          <w:szCs w:val="24"/>
        </w:rPr>
        <w:t xml:space="preserve"> </w:t>
      </w:r>
      <w:r w:rsidR="00C43D8B">
        <w:rPr>
          <w:rFonts w:cs="Times New Roman"/>
          <w:sz w:val="24"/>
          <w:szCs w:val="24"/>
        </w:rPr>
        <w:t>diameters.</w:t>
      </w:r>
    </w:p>
    <w:p w14:paraId="5F8E8DF8" w14:textId="77777777" w:rsidR="00C43D8B" w:rsidRDefault="00C43D8B"/>
    <w:p w14:paraId="7AE93FED" w14:textId="77777777" w:rsidR="00C43D8B" w:rsidRDefault="00C43D8B"/>
    <w:tbl>
      <w:tblPr>
        <w:tblW w:w="8019" w:type="dxa"/>
        <w:jc w:val="center"/>
        <w:tblLayout w:type="fixed"/>
        <w:tblLook w:val="04A0" w:firstRow="1" w:lastRow="0" w:firstColumn="1" w:lastColumn="0" w:noHBand="0" w:noVBand="1"/>
      </w:tblPr>
      <w:tblGrid>
        <w:gridCol w:w="995"/>
        <w:gridCol w:w="814"/>
        <w:gridCol w:w="900"/>
        <w:gridCol w:w="810"/>
        <w:gridCol w:w="810"/>
        <w:gridCol w:w="810"/>
        <w:gridCol w:w="720"/>
        <w:gridCol w:w="720"/>
        <w:gridCol w:w="720"/>
        <w:gridCol w:w="720"/>
      </w:tblGrid>
      <w:tr w:rsidR="005A05E5" w:rsidRPr="00DC327F" w14:paraId="4FB5064C" w14:textId="77777777" w:rsidTr="00867C7B">
        <w:trPr>
          <w:trHeight w:val="300"/>
          <w:jc w:val="center"/>
        </w:trPr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6952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Sample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634D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eastAsia="Times New Roman" w:cs="Times New Roman"/>
                <w:color w:val="000000"/>
                <w:sz w:val="24"/>
                <w:szCs w:val="24"/>
              </w:rPr>
              <w:t>H (A/m)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456C1E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V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vial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(Volt)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B15C" w14:textId="77777777" w:rsidR="005A05E5" w:rsidRPr="00DC327F" w:rsidRDefault="005A05E5" w:rsidP="005A05E5">
            <w:pPr>
              <w:spacing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V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drop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(Volt)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0DF6EE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Q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min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pL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/s)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E08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σ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Q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pL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/s)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9F78B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I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min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6F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σ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2B4A4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D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min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(nm)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CEB9A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σ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>D</w:t>
            </w:r>
            <w:proofErr w:type="spellEnd"/>
            <w:r w:rsidRPr="00DC327F">
              <w:rPr>
                <w:rFonts w:eastAsia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(nm)</w:t>
            </w:r>
          </w:p>
        </w:tc>
      </w:tr>
      <w:tr w:rsidR="005A05E5" w:rsidRPr="00DC327F" w14:paraId="598C557B" w14:textId="77777777" w:rsidTr="00867C7B">
        <w:trPr>
          <w:trHeight w:val="300"/>
          <w:jc w:val="center"/>
        </w:trPr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6827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8925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165A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403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E07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F91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11.7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035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748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003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30.7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2FC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0.7</w:t>
            </w:r>
          </w:p>
        </w:tc>
      </w:tr>
      <w:tr w:rsidR="005A05E5" w:rsidRPr="00DC327F" w14:paraId="668302F8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435F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D7EBB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C97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B11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A72A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C9D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520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53C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911E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31.2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98D22F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0.3</w:t>
            </w:r>
          </w:p>
        </w:tc>
      </w:tr>
      <w:tr w:rsidR="005A05E5" w:rsidRPr="00DC327F" w14:paraId="00692517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C87F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99943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731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D5D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26E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08F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044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117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287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29.5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AC3463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</w:tr>
      <w:tr w:rsidR="005A05E5" w:rsidRPr="00DC327F" w14:paraId="77A1254A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A1EB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0A7E9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815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DAF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133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D94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70C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6E8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501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27.4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60715A4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0.1</w:t>
            </w:r>
          </w:p>
        </w:tc>
      </w:tr>
      <w:tr w:rsidR="005A05E5" w:rsidRPr="00DC327F" w14:paraId="60E90BA6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7D5E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67829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 xml:space="preserve">23,490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7DDC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26E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5EC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09F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B3A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CC1C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4D5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29.4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D884C6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0.8</w:t>
            </w:r>
          </w:p>
        </w:tc>
      </w:tr>
      <w:tr w:rsidR="005A05E5" w:rsidRPr="00DC327F" w14:paraId="7C2DB05B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CA86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6741B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329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707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666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947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A0E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55F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F0B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28.2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5B3C23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</w:tr>
      <w:tr w:rsidR="005A05E5" w:rsidRPr="00DC327F" w14:paraId="1701FFE8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9C19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873D3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528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B5A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5CE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E67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D69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5E2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EF9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27.5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21BFE9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</w:tr>
      <w:tr w:rsidR="005A05E5" w:rsidRPr="00DC327F" w14:paraId="5A2595ED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2B17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8F9F4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F55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9D9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9BAC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EBF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BAA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1EF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A71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26.5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3143AE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5A05E5" w:rsidRPr="00DC327F" w14:paraId="56E57CC3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7A4A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156E0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C21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C9B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57C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84F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E41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C5DC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71E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24.6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8704A7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0.8</w:t>
            </w:r>
          </w:p>
        </w:tc>
      </w:tr>
      <w:tr w:rsidR="005A05E5" w:rsidRPr="00DC327F" w14:paraId="0894DAB7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3442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1A5A3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3A0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FF6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A70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692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93D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AD4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396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23.1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16D48F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</w:tr>
      <w:tr w:rsidR="005A05E5" w:rsidRPr="00DC327F" w14:paraId="666B8BA6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4DC2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EFCEB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D5C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B20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AE0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1E2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F06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17B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131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680CE0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5A05E5" w:rsidRPr="00DC327F" w14:paraId="478F962F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3B3E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28E7F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50D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070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673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1720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59A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76.9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B12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324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0F0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97E910E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A05E5" w:rsidRPr="00DC327F" w14:paraId="1845696B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6994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C512C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C8D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DC3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2C9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1469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1A9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49.5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9B4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CD0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93E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5A0E38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A05E5" w:rsidRPr="00DC327F" w14:paraId="432E9312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EA44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CF59D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69B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727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344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1812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0A4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93.0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AC5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828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675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00DD41B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A05E5" w:rsidRPr="00DC327F" w14:paraId="00B6CBF3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FCF8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19CD3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FF5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079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100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1115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FD7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32.1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848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A41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ABF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E1903E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A05E5" w:rsidRPr="00DC327F" w14:paraId="6585FD27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CA64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36979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11D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1DA6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2EE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1055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970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76.0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E77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DC9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DD4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69CB98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5E5" w:rsidRPr="00DC327F" w14:paraId="3DB331CC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B934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6D948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6D6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145A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B30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412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11.6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49C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9A7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1B19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1AF17F7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05E5" w:rsidRPr="00DC327F" w14:paraId="222C4E98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42D7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302E1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443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B1C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9ECA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A1B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46.6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FC5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49F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D4A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746001A7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5E5" w:rsidRPr="00DC327F" w14:paraId="2C94AF68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D87D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100E2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D74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F43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AC4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79F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41.6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69E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516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D24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5B06BD30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A05E5" w:rsidRPr="00DC327F" w14:paraId="7CC19447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01DF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6A0BB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DBCE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5EAD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01F8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48F4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25.5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ABE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BE83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9761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3B4C64BE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A05E5" w:rsidRPr="00DC327F" w14:paraId="37CA31EE" w14:textId="77777777" w:rsidTr="00867C7B">
        <w:trPr>
          <w:trHeight w:val="300"/>
          <w:jc w:val="center"/>
        </w:trPr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5E08" w14:textId="77777777" w:rsidR="005A05E5" w:rsidRPr="00DC327F" w:rsidRDefault="005A05E5" w:rsidP="005A05E5">
            <w:pPr>
              <w:spacing w:line="240" w:lineRule="auto"/>
              <w:ind w:left="-90" w:right="-9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E24A9" w14:textId="77777777" w:rsidR="005A05E5" w:rsidRPr="00B72535" w:rsidRDefault="005A05E5" w:rsidP="005A05E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B72535">
              <w:rPr>
                <w:rFonts w:cs="Times New Roman"/>
                <w:sz w:val="24"/>
                <w:szCs w:val="24"/>
              </w:rPr>
              <w:t>23,490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335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1900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A46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8B35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1127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6C4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117F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EFBA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B46B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14:paraId="21F464C2" w14:textId="77777777" w:rsidR="005A05E5" w:rsidRPr="00DC327F" w:rsidRDefault="005A05E5" w:rsidP="005A05E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C327F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2EA4DED" w14:textId="77777777" w:rsidR="0031654E" w:rsidRDefault="0031654E"/>
    <w:p w14:paraId="51BC6E77" w14:textId="77777777" w:rsidR="005361F7" w:rsidRDefault="005361F7"/>
    <w:p w14:paraId="44E69E40" w14:textId="77777777" w:rsidR="008F7970" w:rsidRDefault="005361F7">
      <w:r>
        <w:rPr>
          <w:noProof/>
        </w:rPr>
        <w:lastRenderedPageBreak/>
        <w:drawing>
          <wp:inline distT="0" distB="0" distL="0" distR="0" wp14:anchorId="0FFE3630" wp14:editId="06194755">
            <wp:extent cx="5002283" cy="77724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gnetizedaux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2283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1E0FA" w14:textId="5C0BA226" w:rsidR="008F7970" w:rsidRPr="008F7970" w:rsidRDefault="008F7970" w:rsidP="008F7970">
      <w:pPr>
        <w:jc w:val="both"/>
      </w:pPr>
      <w:r w:rsidRPr="00133202">
        <w:rPr>
          <w:rFonts w:cs="Times New Roman"/>
          <w:sz w:val="28"/>
          <w:szCs w:val="28"/>
        </w:rPr>
        <w:t>F</w:t>
      </w:r>
      <w:r w:rsidRPr="00EE43BC">
        <w:rPr>
          <w:rFonts w:cs="Times New Roman"/>
          <w:sz w:val="24"/>
          <w:szCs w:val="24"/>
        </w:rPr>
        <w:t xml:space="preserve">IGURE </w:t>
      </w:r>
      <w:r>
        <w:rPr>
          <w:rFonts w:cs="Times New Roman"/>
          <w:bCs/>
          <w:color w:val="595959" w:themeColor="text1" w:themeTint="A6"/>
          <w:sz w:val="24"/>
          <w:szCs w:val="24"/>
        </w:rPr>
        <w:t>SI-1</w:t>
      </w:r>
      <w:r w:rsidRPr="00DC327F">
        <w:rPr>
          <w:rFonts w:cs="Times New Roman"/>
          <w:sz w:val="24"/>
          <w:szCs w:val="24"/>
        </w:rPr>
        <w:t xml:space="preserve">: </w:t>
      </w:r>
      <w:r>
        <w:rPr>
          <w:rFonts w:cs="Times New Roman"/>
          <w:sz w:val="24"/>
          <w:szCs w:val="24"/>
        </w:rPr>
        <w:t xml:space="preserve"> </w:t>
      </w:r>
      <w:r w:rsidR="00856B94">
        <w:rPr>
          <w:rFonts w:cs="Times New Roman"/>
          <w:sz w:val="24"/>
          <w:szCs w:val="24"/>
        </w:rPr>
        <w:t>Full set of current versus flow rate d</w:t>
      </w:r>
      <w:r>
        <w:rPr>
          <w:rFonts w:cs="Times New Roman"/>
          <w:sz w:val="24"/>
          <w:szCs w:val="24"/>
        </w:rPr>
        <w:t>ata</w:t>
      </w:r>
      <w:r w:rsidR="00153C6A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linear regression curves (between </w:t>
      </w:r>
      <w:r>
        <w:rPr>
          <w:rFonts w:cs="Times New Roman"/>
          <w:i/>
          <w:sz w:val="24"/>
          <w:szCs w:val="24"/>
        </w:rPr>
        <w:t>I</w:t>
      </w:r>
      <w:r>
        <w:rPr>
          <w:rFonts w:cs="Times New Roman"/>
          <w:i/>
          <w:sz w:val="24"/>
          <w:szCs w:val="24"/>
          <w:vertAlign w:val="superscript"/>
        </w:rPr>
        <w:t>2</w:t>
      </w:r>
      <w:r>
        <w:rPr>
          <w:rFonts w:cs="Times New Roman"/>
          <w:i/>
          <w:sz w:val="24"/>
          <w:szCs w:val="24"/>
        </w:rPr>
        <w:t xml:space="preserve"> </w:t>
      </w:r>
      <w:r w:rsidRPr="00C25183">
        <w:rPr>
          <w:rFonts w:cs="Times New Roman"/>
          <w:sz w:val="24"/>
          <w:szCs w:val="24"/>
        </w:rPr>
        <w:t>and</w:t>
      </w:r>
      <w:r>
        <w:rPr>
          <w:rFonts w:cs="Times New Roman"/>
          <w:i/>
          <w:sz w:val="24"/>
          <w:szCs w:val="24"/>
        </w:rPr>
        <w:t xml:space="preserve"> Q</w:t>
      </w:r>
      <w:r w:rsidRPr="00C25183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>, fit parameters, and R</w:t>
      </w:r>
      <w:r>
        <w:rPr>
          <w:rFonts w:cs="Times New Roman"/>
          <w:sz w:val="24"/>
          <w:szCs w:val="24"/>
          <w:vertAlign w:val="superscript"/>
        </w:rPr>
        <w:t>2</w:t>
      </w:r>
      <w:r>
        <w:rPr>
          <w:rFonts w:cs="Times New Roman"/>
          <w:sz w:val="24"/>
          <w:szCs w:val="24"/>
        </w:rPr>
        <w:t xml:space="preserve"> values from figure 4, panel 1 (left). B=295 Gauss</w:t>
      </w:r>
    </w:p>
    <w:p w14:paraId="0630CDF6" w14:textId="77777777" w:rsidR="005361F7" w:rsidRDefault="005361F7">
      <w:r>
        <w:rPr>
          <w:noProof/>
        </w:rPr>
        <w:lastRenderedPageBreak/>
        <w:drawing>
          <wp:inline distT="0" distB="0" distL="0" distR="0" wp14:anchorId="6A39CDE1" wp14:editId="469C1524">
            <wp:extent cx="4810125" cy="358059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magnetizedaux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097" cy="358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A0281" w14:textId="43F29B5B" w:rsidR="008F7970" w:rsidRPr="008F7970" w:rsidRDefault="008F7970" w:rsidP="008F7970">
      <w:pPr>
        <w:jc w:val="both"/>
      </w:pPr>
      <w:bookmarkStart w:id="0" w:name="_GoBack"/>
      <w:r w:rsidRPr="00133202">
        <w:rPr>
          <w:rFonts w:cs="Times New Roman"/>
          <w:sz w:val="28"/>
          <w:szCs w:val="28"/>
        </w:rPr>
        <w:t>F</w:t>
      </w:r>
      <w:r w:rsidRPr="00EE43BC">
        <w:rPr>
          <w:rFonts w:cs="Times New Roman"/>
          <w:sz w:val="24"/>
          <w:szCs w:val="24"/>
        </w:rPr>
        <w:t xml:space="preserve">IGURE </w:t>
      </w:r>
      <w:r>
        <w:rPr>
          <w:rFonts w:cs="Times New Roman"/>
          <w:bCs/>
          <w:color w:val="595959" w:themeColor="text1" w:themeTint="A6"/>
          <w:sz w:val="24"/>
          <w:szCs w:val="24"/>
        </w:rPr>
        <w:t>SI-2</w:t>
      </w:r>
      <w:bookmarkEnd w:id="0"/>
      <w:r w:rsidRPr="00DC327F">
        <w:rPr>
          <w:rFonts w:cs="Times New Roman"/>
          <w:sz w:val="24"/>
          <w:szCs w:val="24"/>
        </w:rPr>
        <w:t xml:space="preserve">: </w:t>
      </w:r>
      <w:r>
        <w:rPr>
          <w:rFonts w:cs="Times New Roman"/>
          <w:sz w:val="24"/>
          <w:szCs w:val="24"/>
        </w:rPr>
        <w:t xml:space="preserve"> </w:t>
      </w:r>
      <w:r w:rsidR="00153C6A">
        <w:rPr>
          <w:rFonts w:cs="Times New Roman"/>
          <w:sz w:val="24"/>
          <w:szCs w:val="24"/>
        </w:rPr>
        <w:t xml:space="preserve">Full set of current versus flow rate data, linear regression curves (between </w:t>
      </w:r>
      <w:r w:rsidR="00153C6A">
        <w:rPr>
          <w:rFonts w:cs="Times New Roman"/>
          <w:i/>
          <w:sz w:val="24"/>
          <w:szCs w:val="24"/>
        </w:rPr>
        <w:t>I</w:t>
      </w:r>
      <w:r w:rsidR="00153C6A">
        <w:rPr>
          <w:rFonts w:cs="Times New Roman"/>
          <w:i/>
          <w:sz w:val="24"/>
          <w:szCs w:val="24"/>
          <w:vertAlign w:val="superscript"/>
        </w:rPr>
        <w:t>2</w:t>
      </w:r>
      <w:r w:rsidR="00153C6A">
        <w:rPr>
          <w:rFonts w:cs="Times New Roman"/>
          <w:i/>
          <w:sz w:val="24"/>
          <w:szCs w:val="24"/>
        </w:rPr>
        <w:t xml:space="preserve"> </w:t>
      </w:r>
      <w:r w:rsidR="00153C6A" w:rsidRPr="00C25183">
        <w:rPr>
          <w:rFonts w:cs="Times New Roman"/>
          <w:sz w:val="24"/>
          <w:szCs w:val="24"/>
        </w:rPr>
        <w:t>and</w:t>
      </w:r>
      <w:r w:rsidR="00153C6A">
        <w:rPr>
          <w:rFonts w:cs="Times New Roman"/>
          <w:i/>
          <w:sz w:val="24"/>
          <w:szCs w:val="24"/>
        </w:rPr>
        <w:t xml:space="preserve"> Q</w:t>
      </w:r>
      <w:r w:rsidR="00153C6A" w:rsidRPr="00C25183">
        <w:rPr>
          <w:rFonts w:cs="Times New Roman"/>
          <w:sz w:val="24"/>
          <w:szCs w:val="24"/>
        </w:rPr>
        <w:t>)</w:t>
      </w:r>
      <w:r w:rsidR="00153C6A">
        <w:rPr>
          <w:rFonts w:cs="Times New Roman"/>
          <w:sz w:val="24"/>
          <w:szCs w:val="24"/>
        </w:rPr>
        <w:t>, fit parameters, and R</w:t>
      </w:r>
      <w:r w:rsidR="00153C6A">
        <w:rPr>
          <w:rFonts w:cs="Times New Roman"/>
          <w:sz w:val="24"/>
          <w:szCs w:val="24"/>
          <w:vertAlign w:val="superscript"/>
        </w:rPr>
        <w:t>2</w:t>
      </w:r>
      <w:r w:rsidR="00153C6A">
        <w:rPr>
          <w:rFonts w:cs="Times New Roman"/>
          <w:sz w:val="24"/>
          <w:szCs w:val="24"/>
        </w:rPr>
        <w:t xml:space="preserve"> values from </w:t>
      </w:r>
      <w:r>
        <w:rPr>
          <w:rFonts w:cs="Times New Roman"/>
          <w:sz w:val="24"/>
          <w:szCs w:val="24"/>
        </w:rPr>
        <w:t>figure 4, panel 2 (right). B=</w:t>
      </w:r>
      <w:r w:rsidR="00D80A3E">
        <w:rPr>
          <w:rFonts w:cs="Times New Roman"/>
          <w:sz w:val="24"/>
          <w:szCs w:val="24"/>
        </w:rPr>
        <w:t>0.</w:t>
      </w:r>
    </w:p>
    <w:p w14:paraId="2D1EC1D1" w14:textId="77777777" w:rsidR="008F7970" w:rsidRDefault="008F7970"/>
    <w:sectPr w:rsidR="008F7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0FD7B" w14:textId="77777777" w:rsidR="00226B4A" w:rsidRDefault="00226B4A" w:rsidP="00BF4687">
      <w:pPr>
        <w:spacing w:line="240" w:lineRule="auto"/>
      </w:pPr>
      <w:r>
        <w:separator/>
      </w:r>
    </w:p>
  </w:endnote>
  <w:endnote w:type="continuationSeparator" w:id="0">
    <w:p w14:paraId="3230F4A5" w14:textId="77777777" w:rsidR="00226B4A" w:rsidRDefault="00226B4A" w:rsidP="00BF46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3EF33" w14:textId="77777777" w:rsidR="00226B4A" w:rsidRDefault="00226B4A" w:rsidP="00BF4687">
      <w:pPr>
        <w:spacing w:line="240" w:lineRule="auto"/>
      </w:pPr>
      <w:r>
        <w:separator/>
      </w:r>
    </w:p>
  </w:footnote>
  <w:footnote w:type="continuationSeparator" w:id="0">
    <w:p w14:paraId="18813D3C" w14:textId="77777777" w:rsidR="00226B4A" w:rsidRDefault="00226B4A" w:rsidP="00BF46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E5"/>
    <w:rsid w:val="00012300"/>
    <w:rsid w:val="00153C6A"/>
    <w:rsid w:val="00224C6D"/>
    <w:rsid w:val="00226B4A"/>
    <w:rsid w:val="0031654E"/>
    <w:rsid w:val="00345BD9"/>
    <w:rsid w:val="00384BA7"/>
    <w:rsid w:val="003E7EE9"/>
    <w:rsid w:val="005361F7"/>
    <w:rsid w:val="005A05E5"/>
    <w:rsid w:val="007D56A1"/>
    <w:rsid w:val="00856B94"/>
    <w:rsid w:val="00867C7B"/>
    <w:rsid w:val="008F7970"/>
    <w:rsid w:val="00B94233"/>
    <w:rsid w:val="00BF4687"/>
    <w:rsid w:val="00C43D8B"/>
    <w:rsid w:val="00D80A3E"/>
    <w:rsid w:val="00E077F0"/>
    <w:rsid w:val="00E8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143C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E5"/>
    <w:pPr>
      <w:spacing w:after="0" w:line="288" w:lineRule="auto"/>
    </w:pPr>
    <w:rPr>
      <w:rFonts w:ascii="Times New Roman" w:eastAsiaTheme="minorEastAsia" w:hAnsi="Times New Roman"/>
      <w:sz w:val="20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687"/>
    <w:pPr>
      <w:keepNext/>
      <w:keepLines/>
      <w:spacing w:line="240" w:lineRule="auto"/>
      <w:outlineLvl w:val="0"/>
    </w:pPr>
    <w:rPr>
      <w:rFonts w:eastAsiaTheme="majorEastAsia" w:cstheme="majorBidi"/>
      <w:b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687"/>
    <w:rPr>
      <w:rFonts w:ascii="Times New Roman" w:eastAsiaTheme="majorEastAsia" w:hAnsi="Times New Roman" w:cstheme="majorBidi"/>
      <w:b/>
      <w:sz w:val="20"/>
      <w:szCs w:val="40"/>
    </w:rPr>
  </w:style>
  <w:style w:type="paragraph" w:styleId="FootnoteText">
    <w:name w:val="footnote text"/>
    <w:basedOn w:val="Normal"/>
    <w:link w:val="FootnoteTextChar"/>
    <w:uiPriority w:val="99"/>
    <w:unhideWhenUsed/>
    <w:rsid w:val="00BF4687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4687"/>
    <w:rPr>
      <w:rFonts w:ascii="Times New Roman" w:eastAsiaTheme="minorEastAsia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BF46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6A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A1"/>
    <w:rPr>
      <w:rFonts w:ascii="Lucida Grande" w:eastAsiaTheme="minorEastAs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E5"/>
    <w:pPr>
      <w:spacing w:after="0" w:line="288" w:lineRule="auto"/>
    </w:pPr>
    <w:rPr>
      <w:rFonts w:ascii="Times New Roman" w:eastAsiaTheme="minorEastAsia" w:hAnsi="Times New Roman"/>
      <w:sz w:val="20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687"/>
    <w:pPr>
      <w:keepNext/>
      <w:keepLines/>
      <w:spacing w:line="240" w:lineRule="auto"/>
      <w:outlineLvl w:val="0"/>
    </w:pPr>
    <w:rPr>
      <w:rFonts w:eastAsiaTheme="majorEastAsia" w:cstheme="majorBidi"/>
      <w:b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687"/>
    <w:rPr>
      <w:rFonts w:ascii="Times New Roman" w:eastAsiaTheme="majorEastAsia" w:hAnsi="Times New Roman" w:cstheme="majorBidi"/>
      <w:b/>
      <w:sz w:val="20"/>
      <w:szCs w:val="40"/>
    </w:rPr>
  </w:style>
  <w:style w:type="paragraph" w:styleId="FootnoteText">
    <w:name w:val="footnote text"/>
    <w:basedOn w:val="Normal"/>
    <w:link w:val="FootnoteTextChar"/>
    <w:uiPriority w:val="99"/>
    <w:unhideWhenUsed/>
    <w:rsid w:val="00BF4687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4687"/>
    <w:rPr>
      <w:rFonts w:ascii="Times New Roman" w:eastAsiaTheme="minorEastAsia" w:hAnsi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BF46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6A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A1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Madden</dc:creator>
  <cp:keywords/>
  <dc:description/>
  <cp:lastModifiedBy>Juan de la Mora</cp:lastModifiedBy>
  <cp:revision>12</cp:revision>
  <dcterms:created xsi:type="dcterms:W3CDTF">2017-01-30T15:02:00Z</dcterms:created>
  <dcterms:modified xsi:type="dcterms:W3CDTF">2017-07-31T22:51:00Z</dcterms:modified>
</cp:coreProperties>
</file>