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5807" w14:textId="77777777" w:rsidR="00A54108" w:rsidRDefault="00A54108" w:rsidP="00A54108">
      <w:pPr>
        <w:spacing w:line="276" w:lineRule="auto"/>
        <w:jc w:val="center"/>
        <w:outlineLvl w:val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Supplementary material for:</w:t>
      </w:r>
    </w:p>
    <w:p w14:paraId="6AA7C26E" w14:textId="77777777" w:rsidR="00A54108" w:rsidRPr="0040574F" w:rsidRDefault="00A54108" w:rsidP="00A54108">
      <w:pPr>
        <w:spacing w:line="276" w:lineRule="auto"/>
        <w:jc w:val="center"/>
        <w:outlineLvl w:val="0"/>
        <w:rPr>
          <w:rFonts w:asciiTheme="minorBidi" w:hAnsiTheme="minorBidi"/>
          <w:b/>
          <w:bCs/>
        </w:rPr>
      </w:pPr>
      <w:r w:rsidRPr="0040574F">
        <w:rPr>
          <w:rFonts w:asciiTheme="minorBidi" w:hAnsiTheme="minorBidi"/>
          <w:b/>
          <w:bCs/>
        </w:rPr>
        <w:t>The effects of basal topography and ice-sheet surface slope in a subglacial glaciofluvial deposition model</w:t>
      </w:r>
    </w:p>
    <w:p w14:paraId="40DAF783" w14:textId="77777777" w:rsidR="00A54108" w:rsidRPr="0040574F" w:rsidRDefault="00A54108" w:rsidP="00A54108">
      <w:pPr>
        <w:spacing w:line="276" w:lineRule="auto"/>
        <w:jc w:val="center"/>
      </w:pPr>
      <w:r w:rsidRPr="0040574F">
        <w:t>David Stevens</w:t>
      </w:r>
      <w:r w:rsidRPr="0040574F">
        <w:rPr>
          <w:vertAlign w:val="superscript"/>
        </w:rPr>
        <w:t>1</w:t>
      </w:r>
      <w:r w:rsidRPr="0040574F">
        <w:t>, Jeremy C. Ely</w:t>
      </w:r>
      <w:r w:rsidRPr="0040574F">
        <w:rPr>
          <w:vertAlign w:val="superscript"/>
        </w:rPr>
        <w:t>1*</w:t>
      </w:r>
      <w:r w:rsidRPr="0040574F">
        <w:t>, Stephen J. Livingstone</w:t>
      </w:r>
      <w:r w:rsidRPr="0040574F">
        <w:rPr>
          <w:vertAlign w:val="superscript"/>
        </w:rPr>
        <w:t>1</w:t>
      </w:r>
      <w:r w:rsidRPr="0040574F">
        <w:t>, Chris D. Clark</w:t>
      </w:r>
      <w:r w:rsidRPr="0040574F">
        <w:rPr>
          <w:vertAlign w:val="superscript"/>
        </w:rPr>
        <w:t>1</w:t>
      </w:r>
      <w:r w:rsidRPr="0040574F">
        <w:t>, Frances E.G. Butcher</w:t>
      </w:r>
      <w:r w:rsidRPr="0040574F">
        <w:rPr>
          <w:vertAlign w:val="superscript"/>
        </w:rPr>
        <w:t>1</w:t>
      </w:r>
      <w:r w:rsidRPr="0040574F">
        <w:t xml:space="preserve"> and Ian Hewitt</w:t>
      </w:r>
      <w:r w:rsidRPr="0040574F">
        <w:rPr>
          <w:vertAlign w:val="superscript"/>
        </w:rPr>
        <w:t>2</w:t>
      </w:r>
    </w:p>
    <w:p w14:paraId="2B56389A" w14:textId="77777777" w:rsidR="00A54108" w:rsidRPr="0040574F" w:rsidRDefault="00A54108" w:rsidP="00A54108">
      <w:pPr>
        <w:spacing w:line="276" w:lineRule="auto"/>
        <w:jc w:val="center"/>
      </w:pPr>
      <w:r w:rsidRPr="0040574F">
        <w:rPr>
          <w:vertAlign w:val="superscript"/>
        </w:rPr>
        <w:t>1</w:t>
      </w:r>
      <w:r w:rsidRPr="0040574F">
        <w:t>Department of Geography, The University of Sheffield, Sheffield, S10 2TN, UK</w:t>
      </w:r>
    </w:p>
    <w:p w14:paraId="25C647E2" w14:textId="77777777" w:rsidR="00A54108" w:rsidRPr="0040574F" w:rsidRDefault="00A54108" w:rsidP="00A54108">
      <w:pPr>
        <w:spacing w:line="276" w:lineRule="auto"/>
        <w:jc w:val="center"/>
      </w:pPr>
      <w:r w:rsidRPr="0040574F">
        <w:rPr>
          <w:vertAlign w:val="superscript"/>
        </w:rPr>
        <w:t>2</w:t>
      </w:r>
      <w:r w:rsidRPr="0040574F">
        <w:t>Mathematical Institute, University of Oxford, OX2 6GG, UK</w:t>
      </w:r>
    </w:p>
    <w:p w14:paraId="42C07E12" w14:textId="77777777" w:rsidR="00A54108" w:rsidRPr="0040574F" w:rsidRDefault="00A54108" w:rsidP="00A54108">
      <w:pPr>
        <w:spacing w:line="276" w:lineRule="auto"/>
        <w:jc w:val="center"/>
      </w:pPr>
      <w:r w:rsidRPr="0040574F">
        <w:t>*Corresponding author: j.ely@sheffield.ac.uk</w:t>
      </w:r>
    </w:p>
    <w:p w14:paraId="298C1162" w14:textId="77777777" w:rsidR="00AF680F" w:rsidRDefault="00AF680F" w:rsidP="00AF680F">
      <w:pPr>
        <w:spacing w:line="276" w:lineRule="auto"/>
      </w:pPr>
      <w:r>
        <w:t>Material in this section is provided as a complement to the main text. Here we present a summary of the mathematical model, as well as some additional numerical simulations that reinforce the findings presented above.</w:t>
      </w:r>
    </w:p>
    <w:p w14:paraId="7D8395B2" w14:textId="77777777" w:rsidR="00D23FF6" w:rsidRDefault="00D23FF6" w:rsidP="00AF680F">
      <w:pPr>
        <w:spacing w:line="276" w:lineRule="auto"/>
      </w:pPr>
    </w:p>
    <w:p w14:paraId="3C12B73D" w14:textId="77777777" w:rsidR="00AF680F" w:rsidRPr="00D23FF6" w:rsidRDefault="00AF680F" w:rsidP="00AF680F">
      <w:pPr>
        <w:pStyle w:val="Heading1"/>
        <w:spacing w:line="276" w:lineRule="auto"/>
      </w:pPr>
      <w:r w:rsidRPr="00D23FF6">
        <w:t>Mathematical Formulation</w:t>
      </w:r>
    </w:p>
    <w:p w14:paraId="350C7674" w14:textId="77777777" w:rsidR="00AF680F" w:rsidRDefault="00AF680F" w:rsidP="00AF680F">
      <w:pPr>
        <w:spacing w:line="276" w:lineRule="auto"/>
      </w:pPr>
      <w:r>
        <w:t xml:space="preserve">The following presents a condensed summary of the mathematical formulation used for the </w:t>
      </w:r>
      <w:r w:rsidR="00163144">
        <w:t xml:space="preserve">computational </w:t>
      </w:r>
      <w:r>
        <w:t>simulations</w:t>
      </w:r>
      <w:r w:rsidR="00163144">
        <w:t xml:space="preserve"> presented</w:t>
      </w:r>
      <w:r>
        <w:t xml:space="preserve"> in this work. For a complete</w:t>
      </w:r>
      <w:r w:rsidR="0067569E">
        <w:t xml:space="preserve"> description of the </w:t>
      </w:r>
      <w:r>
        <w:t xml:space="preserve">mathematical </w:t>
      </w:r>
      <w:r w:rsidR="0067569E">
        <w:t>model</w:t>
      </w:r>
      <w:r>
        <w:t xml:space="preserve"> see Hewitt and </w:t>
      </w:r>
      <w:proofErr w:type="spellStart"/>
      <w:r>
        <w:t>Creyts</w:t>
      </w:r>
      <w:proofErr w:type="spellEnd"/>
      <w:r>
        <w:t>, (2019).</w:t>
      </w:r>
    </w:p>
    <w:p w14:paraId="3A290B12" w14:textId="77777777" w:rsidR="00AF680F" w:rsidRDefault="00AF680F" w:rsidP="00AF680F">
      <w:pPr>
        <w:spacing w:line="276" w:lineRule="auto"/>
      </w:pPr>
      <w:r>
        <w:t xml:space="preserve">For a tunnel draining a catchment width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6D4673">
        <w:t xml:space="preserve"> </w:t>
      </w:r>
      <w:r>
        <w:t xml:space="preserve">and </w:t>
      </w:r>
      <w:r w:rsidR="006D4673">
        <w:t xml:space="preserve">length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, fed by basal meltwater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6D4673">
        <w:t xml:space="preserve"> </w:t>
      </w:r>
      <w:r>
        <w:t>and surface meltwater</w:t>
      </w:r>
      <w:r w:rsidR="006D4673"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, with a prescribed sediment supply </w:t>
      </w:r>
      <m:oMath>
        <m:r>
          <w:rPr>
            <w:rFonts w:ascii="Cambria Math" w:hAnsi="Cambria Math"/>
          </w:rPr>
          <m:t>e</m:t>
        </m:r>
      </m:oMath>
      <w:r w:rsidR="00104BB6">
        <w:t>, the flux of water (</w:t>
      </w:r>
      <m:oMath>
        <m:r>
          <w:rPr>
            <w:rFonts w:ascii="Cambria Math" w:hAnsi="Cambria Math"/>
          </w:rPr>
          <m:t>Q</m:t>
        </m:r>
      </m:oMath>
      <w:r w:rsidR="00104BB6">
        <w:t>) and sediment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104BB6">
        <w:t>) evolves as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3021"/>
        <w:gridCol w:w="3010"/>
      </w:tblGrid>
      <w:tr w:rsidR="00143B89" w14:paraId="432F1730" w14:textId="77777777" w:rsidTr="00BF7775">
        <w:tc>
          <w:tcPr>
            <w:tcW w:w="3080" w:type="dxa"/>
          </w:tcPr>
          <w:p w14:paraId="539A7D97" w14:textId="77777777" w:rsidR="00143B89" w:rsidRDefault="00143B89" w:rsidP="00AF680F">
            <w:pPr>
              <w:spacing w:line="276" w:lineRule="auto"/>
            </w:pPr>
          </w:p>
        </w:tc>
        <w:tc>
          <w:tcPr>
            <w:tcW w:w="3081" w:type="dxa"/>
          </w:tcPr>
          <w:p w14:paraId="68D0F1B4" w14:textId="77777777" w:rsidR="00143B89" w:rsidRDefault="00000000" w:rsidP="00AF680F">
            <w:pPr>
              <w:spacing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+m</m:t>
                    </m:r>
                  </m:e>
                </m:d>
              </m:oMath>
            </m:oMathPara>
          </w:p>
        </w:tc>
        <w:tc>
          <w:tcPr>
            <w:tcW w:w="3081" w:type="dxa"/>
          </w:tcPr>
          <w:p w14:paraId="32D57D27" w14:textId="1F45D3F2" w:rsidR="00143B89" w:rsidRDefault="00143B89" w:rsidP="00143B89">
            <w:pPr>
              <w:spacing w:line="276" w:lineRule="auto"/>
              <w:jc w:val="right"/>
            </w:pPr>
            <w:r>
              <w:t>(</w:t>
            </w:r>
            <w:r w:rsidR="00291483">
              <w:t>S</w:t>
            </w:r>
            <w:r>
              <w:t>1)</w:t>
            </w:r>
            <w:r w:rsidR="00AA7FC1">
              <w:t>,</w:t>
            </w:r>
          </w:p>
        </w:tc>
      </w:tr>
      <w:tr w:rsidR="00143B89" w14:paraId="2CDC4D04" w14:textId="77777777" w:rsidTr="00BF7775">
        <w:tc>
          <w:tcPr>
            <w:tcW w:w="3080" w:type="dxa"/>
          </w:tcPr>
          <w:p w14:paraId="00995400" w14:textId="77777777" w:rsidR="00143B89" w:rsidRDefault="00143B89" w:rsidP="00820738">
            <w:pPr>
              <w:spacing w:line="276" w:lineRule="auto"/>
            </w:pPr>
          </w:p>
        </w:tc>
        <w:tc>
          <w:tcPr>
            <w:tcW w:w="3081" w:type="dxa"/>
          </w:tcPr>
          <w:p w14:paraId="15382306" w14:textId="77777777" w:rsidR="00143B89" w:rsidRDefault="00000000" w:rsidP="00143B89">
            <w:pPr>
              <w:spacing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e-D</m:t>
                </m:r>
              </m:oMath>
            </m:oMathPara>
          </w:p>
        </w:tc>
        <w:tc>
          <w:tcPr>
            <w:tcW w:w="3081" w:type="dxa"/>
          </w:tcPr>
          <w:p w14:paraId="25A4584D" w14:textId="12753AF8" w:rsidR="00143B89" w:rsidRDefault="00143B89" w:rsidP="00820738">
            <w:pPr>
              <w:spacing w:line="276" w:lineRule="auto"/>
              <w:jc w:val="right"/>
            </w:pPr>
            <w:r>
              <w:t>(</w:t>
            </w:r>
            <w:r w:rsidR="00291483">
              <w:t>S</w:t>
            </w:r>
            <w:r>
              <w:t>2)</w:t>
            </w:r>
            <w:r w:rsidR="00AA7FC1">
              <w:t>,</w:t>
            </w:r>
          </w:p>
        </w:tc>
      </w:tr>
    </w:tbl>
    <w:p w14:paraId="1A8355C7" w14:textId="77777777" w:rsidR="003D0DA5" w:rsidRDefault="003D0DA5" w:rsidP="00AF680F">
      <w:pPr>
        <w:spacing w:line="276" w:lineRule="auto"/>
      </w:pPr>
    </w:p>
    <w:p w14:paraId="3B7E81C8" w14:textId="77777777" w:rsidR="00AF680F" w:rsidRDefault="002F09BC" w:rsidP="00163144">
      <w:pPr>
        <w:spacing w:line="276" w:lineRule="auto"/>
      </w:pPr>
      <w:r>
        <w:t>w</w:t>
      </w:r>
      <w:r w:rsidR="00AF680F">
        <w:t xml:space="preserve">here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 w:rsidR="00AF680F">
        <w:t xml:space="preserve">is distance along the channel and </w:t>
      </w:r>
      <m:oMath>
        <m:r>
          <w:rPr>
            <w:rFonts w:ascii="Cambria Math" w:hAnsi="Cambria Math"/>
          </w:rPr>
          <m:t>D</m:t>
        </m:r>
      </m:oMath>
      <w:r w:rsidR="00AF680F">
        <w:t xml:space="preserve"> is the </w:t>
      </w:r>
      <w:r w:rsidR="00163144">
        <w:t xml:space="preserve">rate of </w:t>
      </w:r>
      <w:r w:rsidR="00AF680F">
        <w:t xml:space="preserve">sediment deposition </w:t>
      </w:r>
      <w:r w:rsidR="00163144">
        <w:t>within the channel</w:t>
      </w:r>
      <w:r w:rsidR="00AF680F">
        <w:t xml:space="preserve">. Cross sectional area of the deposited sediment, </w:t>
      </w:r>
      <m:oMath>
        <m:r>
          <w:rPr>
            <w:rFonts w:ascii="Cambria Math" w:hAnsi="Cambria Math"/>
          </w:rPr>
          <m:t>A</m:t>
        </m:r>
      </m:oMath>
      <w:r w:rsidR="00AF680F">
        <w:t>, therefore evolves 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3022"/>
        <w:gridCol w:w="3009"/>
      </w:tblGrid>
      <w:tr w:rsidR="00E06EFA" w14:paraId="4DA7B5BD" w14:textId="77777777" w:rsidTr="00BF7775">
        <w:tc>
          <w:tcPr>
            <w:tcW w:w="3080" w:type="dxa"/>
          </w:tcPr>
          <w:p w14:paraId="7F45A69D" w14:textId="77777777" w:rsidR="00E06EFA" w:rsidRDefault="00E06EFA" w:rsidP="00AF680F">
            <w:pPr>
              <w:spacing w:line="276" w:lineRule="auto"/>
            </w:pPr>
          </w:p>
        </w:tc>
        <w:tc>
          <w:tcPr>
            <w:tcW w:w="3081" w:type="dxa"/>
          </w:tcPr>
          <w:p w14:paraId="2E15CC2C" w14:textId="77777777" w:rsidR="00E06EFA" w:rsidRDefault="00000000" w:rsidP="00AF680F">
            <w:pPr>
              <w:spacing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081" w:type="dxa"/>
          </w:tcPr>
          <w:p w14:paraId="154686A2" w14:textId="3664023A" w:rsidR="00E06EFA" w:rsidRDefault="00E06EFA" w:rsidP="00E06EFA">
            <w:pPr>
              <w:spacing w:line="276" w:lineRule="auto"/>
              <w:jc w:val="right"/>
            </w:pPr>
            <w:r>
              <w:t>(</w:t>
            </w:r>
            <w:r w:rsidR="00291483">
              <w:t>S</w:t>
            </w:r>
            <w:r>
              <w:t>3)</w:t>
            </w:r>
            <w:r w:rsidR="00AA7FC1">
              <w:t>,</w:t>
            </w:r>
          </w:p>
        </w:tc>
      </w:tr>
    </w:tbl>
    <w:p w14:paraId="35F3F90A" w14:textId="77777777" w:rsidR="002F09BC" w:rsidRDefault="002F09BC" w:rsidP="00AF680F">
      <w:pPr>
        <w:spacing w:line="276" w:lineRule="auto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is the porosity of the deposited </w:t>
      </w:r>
      <w:proofErr w:type="gramStart"/>
      <w:r>
        <w:t>sediment.</w:t>
      </w:r>
      <w:proofErr w:type="gramEnd"/>
    </w:p>
    <w:p w14:paraId="6BA5C541" w14:textId="77777777" w:rsidR="00AF680F" w:rsidRDefault="00AF680F" w:rsidP="00AF680F">
      <w:pPr>
        <w:spacing w:line="276" w:lineRule="auto"/>
      </w:pPr>
      <w:r>
        <w:t xml:space="preserve">Cross-sectional area </w:t>
      </w:r>
      <w:r w:rsidR="006C2E7F">
        <w:t xml:space="preserve">of the channel </w:t>
      </w:r>
      <w:r>
        <w:t>evolves due to ice</w:t>
      </w:r>
      <w:r w:rsidR="00523595">
        <w:t xml:space="preserve"> wall melting and creep closure, with sediment</w:t>
      </w:r>
      <w:r>
        <w:t xml:space="preserve"> </w:t>
      </w:r>
      <w:r w:rsidR="00523595">
        <w:t>deposition acting</w:t>
      </w:r>
      <w:r>
        <w:t xml:space="preserve"> as an additional mechanism to constrict </w:t>
      </w:r>
      <w:r w:rsidR="00714397">
        <w:t xml:space="preserve">the </w:t>
      </w:r>
      <w:r>
        <w:t xml:space="preserve">channel. Evolution of the channel cross-sectional area, </w:t>
      </w:r>
      <m:oMath>
        <m:r>
          <w:rPr>
            <w:rFonts w:ascii="Cambria Math" w:hAnsi="Cambria Math"/>
          </w:rPr>
          <m:t>S</m:t>
        </m:r>
      </m:oMath>
      <w:r>
        <w:t xml:space="preserve">, </w:t>
      </w:r>
      <w:r w:rsidR="001F61ED">
        <w:t>is modelled</w:t>
      </w:r>
      <w:r>
        <w:t xml:space="preserve"> via:</w:t>
      </w:r>
    </w:p>
    <w:p w14:paraId="518D3989" w14:textId="77777777" w:rsidR="00BF7775" w:rsidRDefault="00BF7775" w:rsidP="00AF680F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6231"/>
        <w:gridCol w:w="1452"/>
      </w:tblGrid>
      <w:tr w:rsidR="008C4C51" w14:paraId="12E521BD" w14:textId="77777777" w:rsidTr="00BF7775">
        <w:tc>
          <w:tcPr>
            <w:tcW w:w="1384" w:type="dxa"/>
          </w:tcPr>
          <w:p w14:paraId="31E51E67" w14:textId="77777777" w:rsidR="008C4C51" w:rsidRDefault="008C4C51" w:rsidP="00AF680F">
            <w:pPr>
              <w:spacing w:line="276" w:lineRule="auto"/>
            </w:pPr>
          </w:p>
        </w:tc>
        <w:tc>
          <w:tcPr>
            <w:tcW w:w="6379" w:type="dxa"/>
          </w:tcPr>
          <w:p w14:paraId="3DCC22E5" w14:textId="77777777" w:rsidR="008C4C51" w:rsidRDefault="00000000" w:rsidP="00BC43F7">
            <w:pPr>
              <w:spacing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Ψ-β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1+β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Glen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79" w:type="dxa"/>
          </w:tcPr>
          <w:p w14:paraId="5B637DFC" w14:textId="2A6E3464" w:rsidR="008C4C51" w:rsidRDefault="008C4C51" w:rsidP="008C4C51">
            <w:pPr>
              <w:spacing w:line="276" w:lineRule="auto"/>
              <w:jc w:val="right"/>
            </w:pPr>
            <w:r>
              <w:t>(</w:t>
            </w:r>
            <w:r w:rsidR="00291483">
              <w:t>S</w:t>
            </w:r>
            <w:r>
              <w:t>4)</w:t>
            </w:r>
            <w:r w:rsidR="00AA7FC1">
              <w:t>.</w:t>
            </w:r>
          </w:p>
        </w:tc>
      </w:tr>
    </w:tbl>
    <w:p w14:paraId="7B4C066E" w14:textId="77777777" w:rsidR="00BF7775" w:rsidRDefault="00BF7775" w:rsidP="00D605ED">
      <w:pPr>
        <w:spacing w:line="276" w:lineRule="auto"/>
      </w:pPr>
    </w:p>
    <w:p w14:paraId="2E9FA1B3" w14:textId="77777777" w:rsidR="00D605ED" w:rsidRDefault="00AF680F" w:rsidP="00D605ED">
      <w:pPr>
        <w:spacing w:line="276" w:lineRule="auto"/>
      </w:pPr>
      <w:r>
        <w:t xml:space="preserve">In the above equation, the first term on the </w:t>
      </w:r>
      <w:proofErr w:type="gramStart"/>
      <w:r>
        <w:t>right hand</w:t>
      </w:r>
      <w:proofErr w:type="gramEnd"/>
      <w:r>
        <w:t xml:space="preserve"> side represents wall melting</w:t>
      </w:r>
      <w:r w:rsidR="00525455">
        <w:t>: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Ψ</m:t>
        </m:r>
      </m:oMath>
      <w:r w:rsidR="00B96F68">
        <w:t xml:space="preserve"> is the hydraulic potential gradient,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B96F68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="00B96F68">
        <w:t xml:space="preserve"> are the density of ice and water, </w:t>
      </w:r>
      <m:oMath>
        <m:r>
          <w:rPr>
            <w:rFonts w:ascii="Cambria Math" w:hAnsi="Cambria Math"/>
          </w:rPr>
          <m:t>L</m:t>
        </m:r>
      </m:oMath>
      <w:r w:rsidR="00B96F68">
        <w:t xml:space="preserve"> is the latent heat, </w:t>
      </w:r>
      <m:oMath>
        <m:r>
          <w:rPr>
            <w:rFonts w:ascii="Cambria Math" w:hAnsi="Cambria Math"/>
          </w:rPr>
          <m:t>β</m:t>
        </m:r>
      </m:oMath>
      <w:r w:rsidR="00B96F68">
        <w:t xml:space="preserve"> is a constant that accounts for the pressure dependence of the melting point,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B96F68">
        <w:t xml:space="preserve"> is the bed</w:t>
      </w:r>
      <w:r w:rsidR="002C6E33">
        <w:t xml:space="preserve"> </w:t>
      </w:r>
      <w:r w:rsidR="00B96F68">
        <w:t>slope</w:t>
      </w:r>
      <w:r>
        <w:t>. The second term represents creep closure</w:t>
      </w:r>
      <w:r w:rsidR="00525455">
        <w:t xml:space="preserve">: </w:t>
      </w:r>
      <m:oMath>
        <m:r>
          <w:rPr>
            <w:rFonts w:ascii="Cambria Math" w:hAnsi="Cambria Math"/>
          </w:rPr>
          <m:t>N</m:t>
        </m:r>
      </m:oMath>
      <w:r w:rsidR="00A06E48">
        <w:t xml:space="preserve"> is the effective pressure,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Glen</m:t>
            </m:r>
          </m:sub>
        </m:sSub>
      </m:oMath>
      <w:r w:rsidR="00A06E48">
        <w:t xml:space="preserve"> and </w:t>
      </w:r>
      <m:oMath>
        <m:r>
          <w:rPr>
            <w:rFonts w:ascii="Cambria Math" w:hAnsi="Cambria Math"/>
          </w:rPr>
          <m:t>n</m:t>
        </m:r>
      </m:oMath>
      <w:r w:rsidR="00A06E48">
        <w:t xml:space="preserve"> are constants in Glen’s flow law.</w:t>
      </w:r>
      <w:r>
        <w:t xml:space="preserve"> </w:t>
      </w:r>
      <w:r w:rsidR="00A06E48">
        <w:t>T</w:t>
      </w:r>
      <w:r>
        <w:t xml:space="preserve">he third term represents </w:t>
      </w:r>
      <w:r w:rsidR="00D41A8D">
        <w:t xml:space="preserve">channel constriction due to the </w:t>
      </w:r>
      <w:r>
        <w:t>above-defined sediment deposition.</w:t>
      </w:r>
    </w:p>
    <w:p w14:paraId="3D0B0DB2" w14:textId="3DB81AA0" w:rsidR="007F21DF" w:rsidRDefault="007F21DF" w:rsidP="00D605ED">
      <w:pPr>
        <w:spacing w:line="276" w:lineRule="auto"/>
      </w:pPr>
      <w:r>
        <w:t>Sediment flux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) is determined from the solution of the above four equations, along with an additional constraint; namely that sediment flux cannot exceed a carrying capacity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eq</m:t>
            </m:r>
          </m:sub>
        </m:sSub>
      </m:oMath>
      <w:r>
        <w:t xml:space="preserve">. This leads to two potential scenarios: either the sediment supply is below the carrying capacity, in which case </w:t>
      </w:r>
      <m:oMath>
        <m:r>
          <w:rPr>
            <w:rFonts w:ascii="Cambria Math" w:hAnsi="Cambria Math"/>
          </w:rPr>
          <m:t>D=0</m:t>
        </m:r>
      </m:oMath>
      <w:r>
        <w:t xml:space="preserve">; or the sediment supply is </w:t>
      </w:r>
      <w:r>
        <w:rPr>
          <w:i/>
          <w:iCs/>
        </w:rPr>
        <w:t>at</w:t>
      </w:r>
      <w:r>
        <w:t xml:space="preserve"> the carrying capacity (</w:t>
      </w:r>
      <w:proofErr w:type="gramStart"/>
      <w:r>
        <w:t>i.e.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eq</m:t>
            </m:r>
          </m:sub>
        </m:sSub>
      </m:oMath>
      <w:r>
        <w:t xml:space="preserve">). In the latter case </w:t>
      </w:r>
      <m:oMath>
        <m:r>
          <w:rPr>
            <w:rFonts w:ascii="Cambria Math" w:hAnsi="Cambria Math"/>
          </w:rPr>
          <m:t>D&gt;0</m:t>
        </m:r>
      </m:oMath>
      <w:r>
        <w:t>, and can be determined via equation S2. Negative values of D correspond to erosion or remobilisation of previously deposited sediment. Such scenarios are allowed by the model</w:t>
      </w:r>
      <w:r w:rsidR="007926C7">
        <w:t xml:space="preserve"> where pre-existing sediment has been deposited (</w:t>
      </w:r>
      <w:proofErr w:type="gramStart"/>
      <w:r w:rsidR="007926C7">
        <w:t>i.e.</w:t>
      </w:r>
      <w:proofErr w:type="gramEnd"/>
      <w:r w:rsidR="007926C7">
        <w:t xml:space="preserve"> </w:t>
      </w:r>
      <m:oMath>
        <m:r>
          <w:rPr>
            <w:rFonts w:ascii="Cambria Math" w:hAnsi="Cambria Math"/>
          </w:rPr>
          <m:t>A&gt;0</m:t>
        </m:r>
      </m:oMath>
      <w:r w:rsidR="007926C7">
        <w:t>)</w:t>
      </w:r>
      <w:r>
        <w:t xml:space="preserve">, however the underlying bedrock is </w:t>
      </w:r>
      <w:r w:rsidR="007926C7">
        <w:t xml:space="preserve">not </w:t>
      </w:r>
      <w:r>
        <w:t>considered</w:t>
      </w:r>
      <w:r w:rsidR="007926C7">
        <w:t xml:space="preserve"> erosional.</w:t>
      </w:r>
    </w:p>
    <w:p w14:paraId="6C192BF2" w14:textId="607B36AC" w:rsidR="007926C7" w:rsidRPr="007F21DF" w:rsidRDefault="007926C7" w:rsidP="00D605ED">
      <w:pPr>
        <w:spacing w:line="276" w:lineRule="auto"/>
      </w:pPr>
      <w:r>
        <w:t>The sediment carrying capacity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eq</m:t>
            </m:r>
          </m:sub>
        </m:sSub>
      </m:oMath>
      <w:r>
        <w:t xml:space="preserve">) is a function of water speed and channel </w:t>
      </w:r>
      <w:proofErr w:type="gramStart"/>
      <w:r>
        <w:t>width, and</w:t>
      </w:r>
      <w:proofErr w:type="gramEnd"/>
      <w:r>
        <w:t xml:space="preserve"> is modelled here in the form of the Meyer-Peter </w:t>
      </w:r>
      <w:r w:rsidR="000605A1">
        <w:t xml:space="preserve">and </w:t>
      </w:r>
      <w:r w:rsidRPr="007926C7">
        <w:t>Müller</w:t>
      </w:r>
      <w:r>
        <w:t xml:space="preserve"> </w:t>
      </w:r>
      <w:r w:rsidR="00D26C8B">
        <w:t xml:space="preserve">(1948) </w:t>
      </w:r>
      <w:r>
        <w:t>tr</w:t>
      </w:r>
      <w:r w:rsidR="00D605ED">
        <w:t>ansport</w:t>
      </w:r>
      <w:r w:rsidR="00D26C8B">
        <w:t xml:space="preserve"> equation</w:t>
      </w:r>
      <w:r w:rsidR="00D605ED">
        <w:t>.</w:t>
      </w:r>
      <w:r>
        <w:t xml:space="preserve"> This relation suggests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eq</m:t>
            </m:r>
          </m:sub>
        </m:sSub>
        <m:r>
          <w:rPr>
            <w:rFonts w:ascii="Cambria Math" w:hAnsi="Cambria Math"/>
          </w:rPr>
          <m:t>~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</m:e>
            </m:d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D605ED">
        <w:t xml:space="preserve">, 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τ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</w:t>
      </w:r>
      <w:r w:rsidR="00D605ED">
        <w:t xml:space="preserve">is the Shields stress,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D605ED">
        <w:t xml:space="preserve"> is a critical Shields stress required for sediment mobilisation. Accounting for the width of the channel being proportional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D605ED">
        <w:t>, the sediment carrying capacity is computed 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6901"/>
        <w:gridCol w:w="1033"/>
      </w:tblGrid>
      <w:tr w:rsidR="00B80663" w14:paraId="7E68E498" w14:textId="77777777" w:rsidTr="00BF7775">
        <w:tc>
          <w:tcPr>
            <w:tcW w:w="1101" w:type="dxa"/>
          </w:tcPr>
          <w:p w14:paraId="1CB7CB4B" w14:textId="77777777" w:rsidR="00B80663" w:rsidRDefault="00AF680F" w:rsidP="00AF680F">
            <w:pPr>
              <w:spacing w:line="276" w:lineRule="auto"/>
            </w:pPr>
            <w:r>
              <w:tab/>
            </w:r>
          </w:p>
        </w:tc>
        <w:tc>
          <w:tcPr>
            <w:tcW w:w="7087" w:type="dxa"/>
          </w:tcPr>
          <w:p w14:paraId="51FEB0C5" w14:textId="77777777" w:rsidR="00B80663" w:rsidRDefault="00000000" w:rsidP="00D847AF">
            <w:pPr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eq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Q,S</m:t>
                    </m:r>
                  </m:e>
                </m:d>
                <m:r>
                  <w:rPr>
                    <w:rFonts w:ascii="Cambria Math" w:hAnsi="Cambria Math"/>
                  </w:rPr>
                  <m:t>=8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max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gd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τ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,0</m:t>
                        </m:r>
                      </m:e>
                    </m:d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054" w:type="dxa"/>
          </w:tcPr>
          <w:p w14:paraId="32D05C12" w14:textId="11678217" w:rsidR="00B80663" w:rsidRDefault="00D847AF" w:rsidP="00D847AF">
            <w:pPr>
              <w:spacing w:line="276" w:lineRule="auto"/>
              <w:jc w:val="right"/>
            </w:pPr>
            <w:r>
              <w:t>(</w:t>
            </w:r>
            <w:r w:rsidR="00291483">
              <w:t>S</w:t>
            </w:r>
            <w:r>
              <w:t>5)</w:t>
            </w:r>
            <w:r w:rsidR="00AA7FC1">
              <w:t>.</w:t>
            </w:r>
          </w:p>
        </w:tc>
      </w:tr>
    </w:tbl>
    <w:p w14:paraId="1916950E" w14:textId="77777777" w:rsidR="004B5B3C" w:rsidRDefault="004B5B3C" w:rsidP="00D605ED">
      <w:pPr>
        <w:spacing w:line="276" w:lineRule="auto"/>
      </w:pPr>
    </w:p>
    <w:p w14:paraId="1260FB0D" w14:textId="77777777" w:rsidR="00D605ED" w:rsidRDefault="00D605ED" w:rsidP="00D605ED">
      <w:pPr>
        <w:spacing w:line="276" w:lineRule="auto"/>
      </w:pPr>
      <w:r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is the sediment density,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ρ=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</m:e>
        </m:d>
      </m:oMath>
      <w:r>
        <w:t xml:space="preserve"> is the buoyant density of sediment in water, </w:t>
      </w:r>
      <m:oMath>
        <m:r>
          <w:rPr>
            <w:rFonts w:ascii="Cambria Math" w:hAnsi="Cambria Math"/>
          </w:rPr>
          <m:t>d</m:t>
        </m:r>
      </m:oMath>
      <w:r>
        <w:t xml:space="preserve"> is a representative grain size, and </w:t>
      </w:r>
      <m:oMath>
        <m:r>
          <w:rPr>
            <w:rFonts w:ascii="Cambria Math" w:hAnsi="Cambria Math"/>
          </w:rPr>
          <m:t>f</m:t>
        </m:r>
      </m:oMath>
      <w:r>
        <w:t xml:space="preserve"> is a friction factor.</w:t>
      </w:r>
      <w:r w:rsidR="00E97107">
        <w:t xml:space="preserve"> The sediment transport equation represents a balance between the shear stresses produced by the water, and the amount and size of the available sediment.</w:t>
      </w:r>
      <w:r w:rsidR="00953A22">
        <w:t xml:space="preserve"> For a given </w:t>
      </w:r>
      <w:r w:rsidR="006977E2">
        <w:t xml:space="preserve">type and quantity of </w:t>
      </w:r>
      <w:r w:rsidR="00953A22">
        <w:t xml:space="preserve">sediment, </w:t>
      </w:r>
      <w:r w:rsidR="00DF1A0A">
        <w:t xml:space="preserve">the </w:t>
      </w:r>
      <w:r w:rsidR="00953A22">
        <w:t>water velocity (</w:t>
      </w:r>
      <w:proofErr w:type="gramStart"/>
      <w:r w:rsidR="00953A22">
        <w:t>i.e.</w:t>
      </w:r>
      <w:proofErr w:type="gramEnd"/>
      <w:r w:rsidR="00953A22"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0953A22">
        <w:t xml:space="preserve">) is the key </w:t>
      </w:r>
      <w:r w:rsidR="000E07E3">
        <w:t>factor</w:t>
      </w:r>
      <w:r w:rsidR="00052FC6">
        <w:t xml:space="preserve"> in</w:t>
      </w:r>
      <w:r w:rsidR="00953A22">
        <w:t xml:space="preserve"> </w:t>
      </w:r>
      <w:r w:rsidR="006045CF">
        <w:t>determining</w:t>
      </w:r>
      <w:r w:rsidR="00CA6A32">
        <w:t xml:space="preserve"> </w:t>
      </w:r>
      <w:r w:rsidR="00953A22">
        <w:t>the carrying capacity.</w:t>
      </w:r>
    </w:p>
    <w:p w14:paraId="2D8BE7B5" w14:textId="77777777" w:rsidR="00AF680F" w:rsidRDefault="00BB6FDE" w:rsidP="00BB6FDE">
      <w:pPr>
        <w:spacing w:line="276" w:lineRule="auto"/>
      </w:pPr>
      <w:r>
        <w:t>The final equation required relates the w</w:t>
      </w:r>
      <w:r w:rsidR="00AF680F">
        <w:t>ater flux to the tunnel’s cross-sectional area</w:t>
      </w:r>
      <w:r>
        <w:t>,</w:t>
      </w:r>
      <w:r w:rsidR="00AF680F">
        <w:t xml:space="preserve"> by </w:t>
      </w:r>
      <w:r>
        <w:t xml:space="preserve">considering </w:t>
      </w:r>
      <w:r w:rsidR="00AF680F">
        <w:t>a parameterisation of turbulent drag: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3035"/>
        <w:gridCol w:w="3004"/>
      </w:tblGrid>
      <w:tr w:rsidR="00177EF7" w14:paraId="7F54AE79" w14:textId="77777777" w:rsidTr="00BF7775">
        <w:tc>
          <w:tcPr>
            <w:tcW w:w="3080" w:type="dxa"/>
          </w:tcPr>
          <w:p w14:paraId="6B44D741" w14:textId="77777777" w:rsidR="00177EF7" w:rsidRDefault="00177EF7" w:rsidP="00AF680F">
            <w:pPr>
              <w:spacing w:line="276" w:lineRule="auto"/>
            </w:pPr>
          </w:p>
        </w:tc>
        <w:tc>
          <w:tcPr>
            <w:tcW w:w="3081" w:type="dxa"/>
          </w:tcPr>
          <w:p w14:paraId="4B02C3E9" w14:textId="77777777" w:rsidR="00177EF7" w:rsidRDefault="00177EF7" w:rsidP="00177EF7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Q=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Ψ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081" w:type="dxa"/>
          </w:tcPr>
          <w:p w14:paraId="44229FAE" w14:textId="19FB7E33" w:rsidR="00177EF7" w:rsidRDefault="00177EF7" w:rsidP="00177EF7">
            <w:pPr>
              <w:spacing w:line="276" w:lineRule="auto"/>
              <w:jc w:val="right"/>
            </w:pPr>
            <w:r>
              <w:t>(S6)</w:t>
            </w:r>
            <w:r w:rsidR="00AA7FC1">
              <w:t>.</w:t>
            </w:r>
          </w:p>
        </w:tc>
      </w:tr>
    </w:tbl>
    <w:p w14:paraId="6EB6571C" w14:textId="77777777" w:rsidR="000361B0" w:rsidRDefault="000361B0" w:rsidP="00BB6FDE">
      <w:pPr>
        <w:spacing w:line="276" w:lineRule="auto"/>
      </w:pPr>
    </w:p>
    <w:p w14:paraId="6438B073" w14:textId="77777777" w:rsidR="00BB6FDE" w:rsidRDefault="00BB6FDE" w:rsidP="00BB6FDE">
      <w:pPr>
        <w:spacing w:line="276" w:lineRule="auto"/>
      </w:pPr>
      <w:r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 is a constant, and </w:t>
      </w:r>
      <m:oMath>
        <m:r>
          <m:rPr>
            <m:sty m:val="p"/>
          </m:rPr>
          <w:rPr>
            <w:rFonts w:ascii="Cambria Math" w:hAnsi="Cambria Math"/>
          </w:rPr>
          <m:t>Ψ</m:t>
        </m:r>
      </m:oMath>
      <w:r>
        <w:t xml:space="preserve"> is the hydraulic potential gradient.</w:t>
      </w:r>
    </w:p>
    <w:p w14:paraId="6DD61F8A" w14:textId="0519E0B0" w:rsidR="00822AA3" w:rsidRDefault="009842BB" w:rsidP="00B07FF5">
      <w:pPr>
        <w:spacing w:line="276" w:lineRule="auto"/>
      </w:pPr>
      <w:r>
        <w:lastRenderedPageBreak/>
        <w:t xml:space="preserve">In solving the above system of equations, </w:t>
      </w:r>
      <m:oMath>
        <m:r>
          <w:rPr>
            <w:rFonts w:ascii="Cambria Math" w:hAnsi="Cambria Math"/>
          </w:rPr>
          <m:t>S</m:t>
        </m:r>
      </m:oMath>
      <w:r>
        <w:t xml:space="preserve"> and </w:t>
      </w:r>
      <m:oMath>
        <m:r>
          <w:rPr>
            <w:rFonts w:ascii="Cambria Math" w:hAnsi="Cambria Math"/>
          </w:rPr>
          <m:t>A</m:t>
        </m:r>
      </m:oMath>
      <w:r>
        <w:t xml:space="preserve"> evolve according to equations (S3) and (S4), with Q and N determined from equations (S1) and (S.6),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and </w:t>
      </w:r>
      <m:oMath>
        <m:r>
          <w:rPr>
            <w:rFonts w:ascii="Cambria Math" w:hAnsi="Cambria Math"/>
          </w:rPr>
          <m:t>D</m:t>
        </m:r>
      </m:oMath>
      <w:r>
        <w:t xml:space="preserve"> determined form equations (S2) and (S5)</w:t>
      </w:r>
      <w:r w:rsidR="00B07FF5">
        <w:t>. Other than the parameters described above, the model requires as input: meltwater and sediment source terms, and the topography of the bed and ice surface.</w:t>
      </w:r>
    </w:p>
    <w:p w14:paraId="4A84E353" w14:textId="2AA7EF35" w:rsidR="00B07FF5" w:rsidRDefault="00B07FF5" w:rsidP="00B07FF5">
      <w:pPr>
        <w:spacing w:line="276" w:lineRule="auto"/>
        <w:rPr>
          <w:iCs/>
        </w:rPr>
      </w:pPr>
      <w:r>
        <w:t>For the simulations presented here, we consider a constant basal meltwater supply of</w:t>
      </w:r>
      <w:r w:rsidR="001C1D60">
        <w:t xml:space="preserve"> 5 mm a</w:t>
      </w:r>
      <w:r w:rsidR="001C1D60">
        <w:rPr>
          <w:vertAlign w:val="superscript"/>
        </w:rPr>
        <w:t>-1</w:t>
      </w:r>
      <w:r>
        <w:t xml:space="preserve">. The surface meltwater is considered to be zero above an ablation altitude of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</w:rPr>
              <m:t>a</m:t>
            </m:r>
          </m:sub>
        </m:sSub>
        <m:r>
          <w:rPr>
            <w:rFonts w:ascii="Cambria Math" w:eastAsia="Times New Roman" w:hAnsi="Cambria Math" w:cs="Times New Roman"/>
          </w:rPr>
          <m:t xml:space="preserve">=1000 </m:t>
        </m:r>
        <m:r>
          <m:rPr>
            <m:sty m:val="p"/>
          </m:rPr>
          <w:rPr>
            <w:rFonts w:ascii="Cambria Math" w:eastAsia="Times New Roman" w:hAnsi="Cambria Math" w:cs="Times New Roman"/>
          </w:rPr>
          <m:t>m</m:t>
        </m:r>
      </m:oMath>
      <w:r>
        <w:rPr>
          <w:iCs/>
        </w:rPr>
        <w:t xml:space="preserve">, with surface meltwater supply increasing linearly below this </w:t>
      </w:r>
      <w:proofErr w:type="gramStart"/>
      <w:r>
        <w:rPr>
          <w:iCs/>
        </w:rPr>
        <w:t>altitude;</w:t>
      </w:r>
      <w:proofErr w:type="gramEnd"/>
      <w:r>
        <w:rPr>
          <w:iCs/>
        </w:rPr>
        <w:t xml:space="preserve"> i.e.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07FF5" w14:paraId="02399DE9" w14:textId="77777777" w:rsidTr="00BF7775">
        <w:tc>
          <w:tcPr>
            <w:tcW w:w="3005" w:type="dxa"/>
          </w:tcPr>
          <w:p w14:paraId="6711BA19" w14:textId="77777777" w:rsidR="00B07FF5" w:rsidRDefault="00B07FF5" w:rsidP="00B07FF5">
            <w:pPr>
              <w:spacing w:line="276" w:lineRule="auto"/>
              <w:rPr>
                <w:iCs/>
              </w:rPr>
            </w:pPr>
          </w:p>
        </w:tc>
        <w:tc>
          <w:tcPr>
            <w:tcW w:w="3005" w:type="dxa"/>
          </w:tcPr>
          <w:p w14:paraId="2E1D2DD8" w14:textId="77777777" w:rsidR="00B07FF5" w:rsidRDefault="00B07FF5" w:rsidP="00B07FF5">
            <w:pPr>
              <w:spacing w:line="276" w:lineRule="auto"/>
              <w:jc w:val="center"/>
              <w:rPr>
                <w:iCs/>
              </w:rPr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 λ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-s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006" w:type="dxa"/>
          </w:tcPr>
          <w:p w14:paraId="30748C5D" w14:textId="588D4891" w:rsidR="00B07FF5" w:rsidRDefault="00B07FF5" w:rsidP="00B07FF5">
            <w:pPr>
              <w:spacing w:line="276" w:lineRule="auto"/>
              <w:jc w:val="right"/>
              <w:rPr>
                <w:iCs/>
              </w:rPr>
            </w:pPr>
            <w:r>
              <w:rPr>
                <w:iCs/>
              </w:rPr>
              <w:t>(S7)</w:t>
            </w:r>
            <w:r w:rsidR="00AA7FC1">
              <w:rPr>
                <w:iCs/>
              </w:rPr>
              <w:t>,</w:t>
            </w:r>
          </w:p>
        </w:tc>
      </w:tr>
    </w:tbl>
    <w:p w14:paraId="19DE49EC" w14:textId="5527571C" w:rsidR="00E30743" w:rsidRDefault="00B07FF5" w:rsidP="00D33C35">
      <w:pPr>
        <w:spacing w:line="276" w:lineRule="auto"/>
      </w:pPr>
      <w:r>
        <w:rPr>
          <w:iCs/>
        </w:rPr>
        <w:t xml:space="preserve">where </w:t>
      </w:r>
      <m:oMath>
        <m:r>
          <w:rPr>
            <w:rFonts w:ascii="Cambria Math" w:hAnsi="Cambria Math"/>
          </w:rPr>
          <m:t>s</m:t>
        </m:r>
      </m:oMath>
      <w:r>
        <w:rPr>
          <w:iCs/>
        </w:rPr>
        <w:t xml:space="preserve"> is the altitude, </w:t>
      </w:r>
      <w:proofErr w:type="gramStart"/>
      <w:r>
        <w:rPr>
          <w:iCs/>
        </w:rPr>
        <w:t xml:space="preserve">and </w:t>
      </w:r>
      <w:r w:rsidR="001C1D60">
        <w:t xml:space="preserve"> </w:t>
      </w:r>
      <w:r w:rsidR="001C1D60" w:rsidRPr="001C1D60">
        <w:t>λ</w:t>
      </w:r>
      <w:proofErr w:type="gramEnd"/>
      <w:r w:rsidR="001C1D60">
        <w:t xml:space="preserve"> </w:t>
      </w:r>
      <w:r w:rsidR="001C1D60" w:rsidRPr="001C1D60">
        <w:t>=</w:t>
      </w:r>
      <w:r w:rsidR="001C1D60">
        <w:t xml:space="preserve"> </w:t>
      </w:r>
      <w:r w:rsidR="001C1D60" w:rsidRPr="001C1D60">
        <w:t>3 ×10</w:t>
      </w:r>
      <w:r w:rsidR="001C1D60">
        <w:rPr>
          <w:vertAlign w:val="superscript"/>
        </w:rPr>
        <w:t>-3</w:t>
      </w:r>
      <w:r w:rsidR="001C1D60">
        <w:t xml:space="preserve"> a</w:t>
      </w:r>
      <w:r w:rsidR="001C1D60">
        <w:rPr>
          <w:vertAlign w:val="superscript"/>
        </w:rPr>
        <w:t>-1</w:t>
      </w:r>
      <w:r w:rsidR="001C1D60" w:rsidRPr="001C1D60">
        <w:t xml:space="preserve"> </w:t>
      </w:r>
      <w:r w:rsidR="00494FAE">
        <w:t>represents the rate of increase for surface meltwater with distance below the ablation altitude.</w:t>
      </w:r>
    </w:p>
    <w:p w14:paraId="65A4899E" w14:textId="77777777" w:rsidR="00D33C35" w:rsidRPr="00822AA3" w:rsidRDefault="00D33C35" w:rsidP="00D33C35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038"/>
        <w:gridCol w:w="2976"/>
      </w:tblGrid>
      <w:tr w:rsidR="00A17461" w14:paraId="0C47FE4F" w14:textId="77777777" w:rsidTr="00BA11C4">
        <w:trPr>
          <w:trHeight w:hRule="exact" w:val="378"/>
        </w:trPr>
        <w:tc>
          <w:tcPr>
            <w:tcW w:w="1668" w:type="dxa"/>
          </w:tcPr>
          <w:p w14:paraId="7FC6978E" w14:textId="77777777" w:rsidR="00A17461" w:rsidRPr="00BB2171" w:rsidRDefault="00A17461" w:rsidP="00EE58CC">
            <w:pPr>
              <w:jc w:val="center"/>
              <w:rPr>
                <w:b/>
              </w:rPr>
            </w:pPr>
            <w:r w:rsidRPr="00BB2171">
              <w:rPr>
                <w:b/>
              </w:rPr>
              <w:t>Parameter</w:t>
            </w:r>
          </w:p>
        </w:tc>
        <w:tc>
          <w:tcPr>
            <w:tcW w:w="3038" w:type="dxa"/>
          </w:tcPr>
          <w:p w14:paraId="00B124F7" w14:textId="77777777" w:rsidR="00A17461" w:rsidRPr="00BB2171" w:rsidRDefault="00A17461" w:rsidP="00EE58CC">
            <w:pPr>
              <w:jc w:val="center"/>
              <w:rPr>
                <w:b/>
              </w:rPr>
            </w:pPr>
            <w:r w:rsidRPr="00BB2171">
              <w:rPr>
                <w:b/>
              </w:rPr>
              <w:t>Value</w:t>
            </w:r>
          </w:p>
        </w:tc>
        <w:tc>
          <w:tcPr>
            <w:tcW w:w="2976" w:type="dxa"/>
          </w:tcPr>
          <w:p w14:paraId="26E3CD4E" w14:textId="77777777" w:rsidR="00A17461" w:rsidRPr="00BB2171" w:rsidRDefault="00A17461" w:rsidP="00EE58CC">
            <w:pPr>
              <w:jc w:val="center"/>
              <w:rPr>
                <w:b/>
              </w:rPr>
            </w:pPr>
            <w:r w:rsidRPr="00BB2171">
              <w:rPr>
                <w:b/>
              </w:rPr>
              <w:t>Description</w:t>
            </w:r>
          </w:p>
        </w:tc>
      </w:tr>
      <w:tr w:rsidR="00A17461" w14:paraId="5FEFF9A4" w14:textId="77777777" w:rsidTr="00BA11C4">
        <w:trPr>
          <w:trHeight w:hRule="exact" w:val="378"/>
        </w:trPr>
        <w:tc>
          <w:tcPr>
            <w:tcW w:w="1668" w:type="dxa"/>
          </w:tcPr>
          <w:p w14:paraId="40F3DAED" w14:textId="77777777" w:rsidR="00A17461" w:rsidRDefault="00000000" w:rsidP="00EE58C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3038" w:type="dxa"/>
          </w:tcPr>
          <w:p w14:paraId="66229D76" w14:textId="6145BDA3" w:rsidR="00A17461" w:rsidRDefault="002109A3" w:rsidP="00EE58CC">
            <w:pPr>
              <w:jc w:val="center"/>
            </w:pPr>
            <w:r>
              <w:t>1000</w:t>
            </w:r>
            <w:r w:rsidR="001C1D60">
              <w:t xml:space="preserve"> kg m</w:t>
            </w:r>
            <w:r w:rsidR="001C1D60">
              <w:rPr>
                <w:vertAlign w:val="superscript"/>
              </w:rPr>
              <w:t>-3</w:t>
            </w:r>
            <w:r>
              <w:t xml:space="preserve"> </w:t>
            </w:r>
          </w:p>
        </w:tc>
        <w:tc>
          <w:tcPr>
            <w:tcW w:w="2976" w:type="dxa"/>
          </w:tcPr>
          <w:p w14:paraId="58FF947A" w14:textId="77777777" w:rsidR="00A17461" w:rsidRDefault="00A17461" w:rsidP="005A46C1">
            <w:r>
              <w:t>Water density</w:t>
            </w:r>
          </w:p>
        </w:tc>
      </w:tr>
      <w:tr w:rsidR="00A17461" w14:paraId="65C4711B" w14:textId="77777777" w:rsidTr="00BA11C4">
        <w:trPr>
          <w:trHeight w:hRule="exact" w:val="378"/>
        </w:trPr>
        <w:tc>
          <w:tcPr>
            <w:tcW w:w="1668" w:type="dxa"/>
          </w:tcPr>
          <w:p w14:paraId="1448E2F2" w14:textId="77777777" w:rsidR="00A17461" w:rsidRDefault="00000000" w:rsidP="00EE58C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038" w:type="dxa"/>
          </w:tcPr>
          <w:p w14:paraId="4B3713A3" w14:textId="4B8908B4" w:rsidR="00A17461" w:rsidRDefault="003B605F" w:rsidP="003B605F">
            <w:pPr>
              <w:jc w:val="center"/>
            </w:pPr>
            <w:r>
              <w:t>916</w:t>
            </w:r>
            <w:r w:rsidR="001C1D60">
              <w:t xml:space="preserve"> kg m</w:t>
            </w:r>
            <w:r w:rsidR="001C1D60">
              <w:rPr>
                <w:vertAlign w:val="superscript"/>
              </w:rPr>
              <w:t>-3</w:t>
            </w:r>
            <w:r>
              <w:t xml:space="preserve"> </w:t>
            </w:r>
          </w:p>
        </w:tc>
        <w:tc>
          <w:tcPr>
            <w:tcW w:w="2976" w:type="dxa"/>
          </w:tcPr>
          <w:p w14:paraId="1AF9371F" w14:textId="77777777" w:rsidR="00A17461" w:rsidRDefault="00A17461" w:rsidP="005A46C1">
            <w:r>
              <w:t>Ice density</w:t>
            </w:r>
          </w:p>
        </w:tc>
      </w:tr>
      <w:tr w:rsidR="00A17461" w14:paraId="67B77FA5" w14:textId="77777777" w:rsidTr="00BA11C4">
        <w:trPr>
          <w:trHeight w:hRule="exact" w:val="378"/>
        </w:trPr>
        <w:tc>
          <w:tcPr>
            <w:tcW w:w="1668" w:type="dxa"/>
          </w:tcPr>
          <w:p w14:paraId="3C3418A3" w14:textId="77777777" w:rsidR="00A17461" w:rsidRDefault="00000000" w:rsidP="00EE58C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3038" w:type="dxa"/>
          </w:tcPr>
          <w:p w14:paraId="35A1FA69" w14:textId="631FD035" w:rsidR="00A17461" w:rsidRDefault="003B605F" w:rsidP="00EE58CC">
            <w:pPr>
              <w:jc w:val="center"/>
            </w:pPr>
            <w:r>
              <w:t>2600</w:t>
            </w:r>
            <w:r w:rsidR="001C1D60">
              <w:t xml:space="preserve"> kg m</w:t>
            </w:r>
            <w:r w:rsidR="001C1D60">
              <w:rPr>
                <w:vertAlign w:val="superscript"/>
              </w:rPr>
              <w:t>-3</w:t>
            </w:r>
            <w:r>
              <w:t xml:space="preserve"> </w:t>
            </w:r>
          </w:p>
        </w:tc>
        <w:tc>
          <w:tcPr>
            <w:tcW w:w="2976" w:type="dxa"/>
          </w:tcPr>
          <w:p w14:paraId="221055C7" w14:textId="77777777" w:rsidR="00A17461" w:rsidRDefault="00A17461" w:rsidP="005A46C1">
            <w:r>
              <w:t>Sediment density</w:t>
            </w:r>
          </w:p>
        </w:tc>
      </w:tr>
      <w:tr w:rsidR="00A17461" w14:paraId="631FC709" w14:textId="77777777" w:rsidTr="00BA11C4">
        <w:trPr>
          <w:trHeight w:hRule="exact" w:val="378"/>
        </w:trPr>
        <w:tc>
          <w:tcPr>
            <w:tcW w:w="1668" w:type="dxa"/>
          </w:tcPr>
          <w:p w14:paraId="05A8BA4E" w14:textId="77777777" w:rsidR="00A17461" w:rsidRDefault="00A17461" w:rsidP="00EE58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3038" w:type="dxa"/>
          </w:tcPr>
          <w:p w14:paraId="37D32F59" w14:textId="4611A016" w:rsidR="00D63350" w:rsidRPr="00D63350" w:rsidRDefault="00F63FDF" w:rsidP="00F63FDF">
            <w:pPr>
              <w:jc w:val="center"/>
            </w:pPr>
            <w:r>
              <w:t xml:space="preserve">3.3 </w:t>
            </w:r>
            <m:oMath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oMath>
            <w:r>
              <w:t xml:space="preserve"> </w:t>
            </w:r>
            <w:r w:rsidR="00D63350">
              <w:t xml:space="preserve">J </w:t>
            </w:r>
            <w:proofErr w:type="gramStart"/>
            <w:r w:rsidR="00D63350">
              <w:t>kg</w:t>
            </w:r>
            <w:r w:rsidR="00D63350">
              <w:rPr>
                <w:vertAlign w:val="superscript"/>
              </w:rPr>
              <w:t>-1</w:t>
            </w:r>
            <w:proofErr w:type="gramEnd"/>
          </w:p>
          <w:p w14:paraId="35000240" w14:textId="568373E5" w:rsidR="00A17461" w:rsidRDefault="00A17461" w:rsidP="00F63FDF">
            <w:pPr>
              <w:jc w:val="center"/>
            </w:pPr>
          </w:p>
        </w:tc>
        <w:tc>
          <w:tcPr>
            <w:tcW w:w="2976" w:type="dxa"/>
          </w:tcPr>
          <w:p w14:paraId="5C6328C4" w14:textId="77777777" w:rsidR="00A17461" w:rsidRDefault="00A17461" w:rsidP="00AC58E5">
            <w:r>
              <w:t>Latent heat</w:t>
            </w:r>
          </w:p>
        </w:tc>
      </w:tr>
      <w:tr w:rsidR="00A17461" w14:paraId="150FA333" w14:textId="77777777" w:rsidTr="00BA11C4">
        <w:trPr>
          <w:trHeight w:hRule="exact" w:val="378"/>
        </w:trPr>
        <w:tc>
          <w:tcPr>
            <w:tcW w:w="1668" w:type="dxa"/>
          </w:tcPr>
          <w:p w14:paraId="55238A52" w14:textId="77777777" w:rsidR="00A17461" w:rsidRDefault="00A17461" w:rsidP="00EE58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3038" w:type="dxa"/>
          </w:tcPr>
          <w:p w14:paraId="4F7E54C3" w14:textId="77777777" w:rsidR="00A17461" w:rsidRDefault="002C2181" w:rsidP="00EE58CC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14:paraId="3C86A909" w14:textId="77777777" w:rsidR="00A17461" w:rsidRDefault="00A17461" w:rsidP="005A46C1">
            <w:r>
              <w:t>Glen’s law exponent</w:t>
            </w:r>
          </w:p>
        </w:tc>
      </w:tr>
      <w:tr w:rsidR="00A17461" w14:paraId="1EBF442C" w14:textId="77777777" w:rsidTr="00BA11C4">
        <w:trPr>
          <w:trHeight w:hRule="exact" w:val="378"/>
        </w:trPr>
        <w:tc>
          <w:tcPr>
            <w:tcW w:w="1668" w:type="dxa"/>
          </w:tcPr>
          <w:p w14:paraId="13F4A8B5" w14:textId="77777777" w:rsidR="00A17461" w:rsidRDefault="00000000" w:rsidP="00EE58C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Glen</m:t>
                    </m:r>
                  </m:sub>
                </m:sSub>
              </m:oMath>
            </m:oMathPara>
          </w:p>
        </w:tc>
        <w:tc>
          <w:tcPr>
            <w:tcW w:w="3038" w:type="dxa"/>
          </w:tcPr>
          <w:p w14:paraId="2BF8DEAE" w14:textId="733B8F07" w:rsidR="00A17461" w:rsidRDefault="002C2181" w:rsidP="002C2181">
            <w:pPr>
              <w:jc w:val="center"/>
            </w:pPr>
            <w:r>
              <w:t xml:space="preserve">2.4 </w:t>
            </w:r>
            <m:oMath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-24</m:t>
                  </m:r>
                </m:sup>
              </m:sSup>
            </m:oMath>
            <w:r w:rsidR="00D63350">
              <w:t xml:space="preserve"> </w:t>
            </w:r>
            <w:r w:rsidR="00AA7FC1" w:rsidRPr="00AA7FC1">
              <w:t>s</w:t>
            </w:r>
            <w:r w:rsidR="00AA7FC1">
              <w:rPr>
                <w:vertAlign w:val="superscript"/>
              </w:rPr>
              <w:t>-1</w:t>
            </w:r>
            <w:r w:rsidR="00AA7FC1">
              <w:t xml:space="preserve"> </w:t>
            </w:r>
            <w:r w:rsidR="00D63350" w:rsidRPr="00AA7FC1">
              <w:t>Pa</w:t>
            </w:r>
            <w:r w:rsidR="00D63350">
              <w:rPr>
                <w:vertAlign w:val="superscript"/>
              </w:rPr>
              <w:t>-3</w:t>
            </w:r>
            <w:r>
              <w:t xml:space="preserve"> </w:t>
            </w:r>
          </w:p>
        </w:tc>
        <w:tc>
          <w:tcPr>
            <w:tcW w:w="2976" w:type="dxa"/>
          </w:tcPr>
          <w:p w14:paraId="05837229" w14:textId="77777777" w:rsidR="00A17461" w:rsidRDefault="00A17461" w:rsidP="005A46C1">
            <w:r>
              <w:t>Glen’s law coefficient</w:t>
            </w:r>
          </w:p>
        </w:tc>
      </w:tr>
      <w:tr w:rsidR="00A17461" w14:paraId="30A1E81D" w14:textId="77777777" w:rsidTr="00BA11C4">
        <w:trPr>
          <w:trHeight w:hRule="exact" w:val="378"/>
        </w:trPr>
        <w:tc>
          <w:tcPr>
            <w:tcW w:w="1668" w:type="dxa"/>
          </w:tcPr>
          <w:p w14:paraId="2AA70515" w14:textId="77777777" w:rsidR="00A17461" w:rsidRDefault="00000000" w:rsidP="00EE58C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3038" w:type="dxa"/>
          </w:tcPr>
          <w:p w14:paraId="647AB9D6" w14:textId="412AB487" w:rsidR="00A17461" w:rsidRDefault="002456D9" w:rsidP="00EE4362">
            <w:pPr>
              <w:jc w:val="center"/>
            </w:pPr>
            <m:oMath>
              <m:r>
                <w:rPr>
                  <w:rFonts w:ascii="Cambria Math" w:hAnsi="Cambria Math"/>
                </w:rPr>
                <m:t xml:space="preserve">0.11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kg</m:t>
                  </m:r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oMath>
            <w:r>
              <w:t xml:space="preserve"> </w:t>
            </w:r>
            <w:r w:rsidRPr="002456D9">
              <w:t>mm</w:t>
            </w:r>
            <w:sdt>
              <w:sdtPr>
                <w:rPr>
                  <w:rFonts w:ascii="Cambria Math" w:hAnsi="Cambria Math"/>
                  <w:i/>
                </w:rPr>
                <w:id w:val="338826871"/>
                <w:placeholder>
                  <w:docPart w:val="DefaultPlaceholder_1075446218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sty m:val="p"/>
                    </m:rPr>
                    <w:rPr>
                      <w:rStyle w:val="PlaceholderText"/>
                      <w:rFonts w:ascii="Cambria Math" w:hAnsi="Cambria Math"/>
                    </w:rPr>
                    <m:t>Type equation here.</m:t>
                  </m:r>
                </m:oMath>
              </w:sdtContent>
            </w:sdt>
            <w:r w:rsidRPr="002456D9">
              <w:t xml:space="preserve">⁄S^3 </w:t>
            </w:r>
          </w:p>
        </w:tc>
        <w:tc>
          <w:tcPr>
            <w:tcW w:w="2976" w:type="dxa"/>
          </w:tcPr>
          <w:p w14:paraId="53384452" w14:textId="77777777" w:rsidR="00A17461" w:rsidRDefault="00D5273C" w:rsidP="005A46C1">
            <w:r>
              <w:t>Turbulent drag coefficient</w:t>
            </w:r>
          </w:p>
        </w:tc>
      </w:tr>
      <w:tr w:rsidR="00A17461" w14:paraId="01103553" w14:textId="77777777" w:rsidTr="00BA11C4">
        <w:trPr>
          <w:trHeight w:hRule="exact" w:val="378"/>
        </w:trPr>
        <w:tc>
          <w:tcPr>
            <w:tcW w:w="1668" w:type="dxa"/>
          </w:tcPr>
          <w:p w14:paraId="4E5270B5" w14:textId="77777777" w:rsidR="00A17461" w:rsidRDefault="00A17461" w:rsidP="00EE58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</w:tc>
        <w:tc>
          <w:tcPr>
            <w:tcW w:w="3038" w:type="dxa"/>
          </w:tcPr>
          <w:p w14:paraId="4BBAB73B" w14:textId="77777777" w:rsidR="00A17461" w:rsidRDefault="00871A7F" w:rsidP="00EE58CC">
            <w:pPr>
              <w:jc w:val="center"/>
            </w:pPr>
            <w:r>
              <w:t>1 mm</w:t>
            </w:r>
          </w:p>
        </w:tc>
        <w:tc>
          <w:tcPr>
            <w:tcW w:w="2976" w:type="dxa"/>
          </w:tcPr>
          <w:p w14:paraId="5514265A" w14:textId="77777777" w:rsidR="00A17461" w:rsidRDefault="00D5273C" w:rsidP="005A46C1">
            <w:r>
              <w:t>Representative grain size</w:t>
            </w:r>
          </w:p>
        </w:tc>
      </w:tr>
      <w:tr w:rsidR="00A17461" w14:paraId="7949806A" w14:textId="77777777" w:rsidTr="00BA11C4">
        <w:trPr>
          <w:trHeight w:hRule="exact" w:val="378"/>
        </w:trPr>
        <w:tc>
          <w:tcPr>
            <w:tcW w:w="1668" w:type="dxa"/>
          </w:tcPr>
          <w:p w14:paraId="65DA5078" w14:textId="77777777" w:rsidR="00A17461" w:rsidRDefault="00A17461" w:rsidP="00EE58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</w:tc>
        <w:tc>
          <w:tcPr>
            <w:tcW w:w="3038" w:type="dxa"/>
          </w:tcPr>
          <w:p w14:paraId="034E08F4" w14:textId="77777777" w:rsidR="00A17461" w:rsidRDefault="00736E35" w:rsidP="00EE58CC">
            <w:pPr>
              <w:jc w:val="center"/>
            </w:pPr>
            <w:r>
              <w:t>0.02</w:t>
            </w:r>
          </w:p>
        </w:tc>
        <w:tc>
          <w:tcPr>
            <w:tcW w:w="2976" w:type="dxa"/>
          </w:tcPr>
          <w:p w14:paraId="63BA3328" w14:textId="77777777" w:rsidR="00A17461" w:rsidRDefault="00FC615B" w:rsidP="005A46C1">
            <w:r>
              <w:t>Friction factor</w:t>
            </w:r>
          </w:p>
        </w:tc>
      </w:tr>
      <w:tr w:rsidR="00A17461" w14:paraId="6A1E6803" w14:textId="77777777" w:rsidTr="00BA11C4">
        <w:trPr>
          <w:trHeight w:hRule="exact" w:val="378"/>
        </w:trPr>
        <w:tc>
          <w:tcPr>
            <w:tcW w:w="1668" w:type="dxa"/>
          </w:tcPr>
          <w:p w14:paraId="13D04F28" w14:textId="77777777" w:rsidR="00A17461" w:rsidRDefault="00000000" w:rsidP="00EE58CC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3038" w:type="dxa"/>
          </w:tcPr>
          <w:p w14:paraId="397973B2" w14:textId="77777777" w:rsidR="00A17461" w:rsidRDefault="00736E35" w:rsidP="00EE58CC">
            <w:pPr>
              <w:jc w:val="center"/>
            </w:pPr>
            <w:r>
              <w:t>0.047</w:t>
            </w:r>
          </w:p>
        </w:tc>
        <w:tc>
          <w:tcPr>
            <w:tcW w:w="2976" w:type="dxa"/>
          </w:tcPr>
          <w:p w14:paraId="0358360E" w14:textId="77777777" w:rsidR="00A17461" w:rsidRDefault="00C03E08" w:rsidP="00BB2171">
            <w:r>
              <w:t>Critical Shields stress</w:t>
            </w:r>
          </w:p>
        </w:tc>
      </w:tr>
      <w:tr w:rsidR="00A17461" w14:paraId="38ACA3B7" w14:textId="77777777" w:rsidTr="00BA11C4">
        <w:trPr>
          <w:trHeight w:hRule="exact" w:val="378"/>
        </w:trPr>
        <w:tc>
          <w:tcPr>
            <w:tcW w:w="1668" w:type="dxa"/>
          </w:tcPr>
          <w:p w14:paraId="2B892C62" w14:textId="77777777" w:rsidR="00A17461" w:rsidRDefault="00000000" w:rsidP="00EE58C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3038" w:type="dxa"/>
          </w:tcPr>
          <w:p w14:paraId="487877A7" w14:textId="77777777" w:rsidR="00A17461" w:rsidRDefault="00736E35" w:rsidP="00EE58CC">
            <w:pPr>
              <w:jc w:val="center"/>
            </w:pPr>
            <w:r>
              <w:t>0.3</w:t>
            </w:r>
          </w:p>
        </w:tc>
        <w:tc>
          <w:tcPr>
            <w:tcW w:w="2976" w:type="dxa"/>
          </w:tcPr>
          <w:p w14:paraId="50932985" w14:textId="77777777" w:rsidR="00A17461" w:rsidRDefault="005A46C1" w:rsidP="005A46C1">
            <w:r>
              <w:t>Sediment porosity</w:t>
            </w:r>
          </w:p>
        </w:tc>
      </w:tr>
      <w:tr w:rsidR="00A17461" w14:paraId="14CEC3DD" w14:textId="77777777" w:rsidTr="00BA11C4">
        <w:trPr>
          <w:trHeight w:hRule="exact" w:val="378"/>
        </w:trPr>
        <w:tc>
          <w:tcPr>
            <w:tcW w:w="1668" w:type="dxa"/>
          </w:tcPr>
          <w:p w14:paraId="5211797F" w14:textId="77777777" w:rsidR="00A17461" w:rsidRDefault="00A17461" w:rsidP="00863C0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3038" w:type="dxa"/>
          </w:tcPr>
          <w:p w14:paraId="036EEB0F" w14:textId="77777777" w:rsidR="00A17461" w:rsidRDefault="00736E35" w:rsidP="00EE58CC">
            <w:pPr>
              <w:jc w:val="center"/>
            </w:pPr>
            <w:r>
              <w:t>0.46</w:t>
            </w:r>
          </w:p>
        </w:tc>
        <w:tc>
          <w:tcPr>
            <w:tcW w:w="2976" w:type="dxa"/>
          </w:tcPr>
          <w:p w14:paraId="513C63D5" w14:textId="77777777" w:rsidR="00A17461" w:rsidRDefault="005A46C1" w:rsidP="005A46C1">
            <w:r>
              <w:t>Pressure melting coefficient</w:t>
            </w:r>
          </w:p>
        </w:tc>
      </w:tr>
      <w:tr w:rsidR="00A17461" w14:paraId="51EC500E" w14:textId="77777777" w:rsidTr="00BA11C4">
        <w:trPr>
          <w:trHeight w:hRule="exact" w:val="378"/>
        </w:trPr>
        <w:tc>
          <w:tcPr>
            <w:tcW w:w="1668" w:type="dxa"/>
          </w:tcPr>
          <w:p w14:paraId="5B3CB4D3" w14:textId="77777777" w:rsidR="00A17461" w:rsidRDefault="00000000" w:rsidP="00EE58CC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3038" w:type="dxa"/>
          </w:tcPr>
          <w:p w14:paraId="42F1DDB1" w14:textId="5B9450B3" w:rsidR="00A17461" w:rsidRPr="00D63350" w:rsidRDefault="00D63350" w:rsidP="00736E35">
            <w:pPr>
              <w:jc w:val="center"/>
            </w:pPr>
            <w:r>
              <w:t xml:space="preserve"> 5 mm a</w:t>
            </w:r>
            <w:r>
              <w:rPr>
                <w:vertAlign w:val="superscript"/>
              </w:rPr>
              <w:t>-1</w:t>
            </w:r>
          </w:p>
        </w:tc>
        <w:tc>
          <w:tcPr>
            <w:tcW w:w="2976" w:type="dxa"/>
          </w:tcPr>
          <w:p w14:paraId="53D29D60" w14:textId="77777777" w:rsidR="00A17461" w:rsidRDefault="005A46C1" w:rsidP="005A46C1">
            <w:r>
              <w:t>Basal melt rate</w:t>
            </w:r>
          </w:p>
        </w:tc>
      </w:tr>
      <w:tr w:rsidR="00A17461" w14:paraId="5F5CD2E4" w14:textId="77777777" w:rsidTr="00BA11C4">
        <w:trPr>
          <w:trHeight w:hRule="exact" w:val="378"/>
        </w:trPr>
        <w:tc>
          <w:tcPr>
            <w:tcW w:w="1668" w:type="dxa"/>
          </w:tcPr>
          <w:p w14:paraId="71C7FD4D" w14:textId="77777777" w:rsidR="00A17461" w:rsidRDefault="00000000" w:rsidP="00863C0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3038" w:type="dxa"/>
          </w:tcPr>
          <w:p w14:paraId="204D7979" w14:textId="77777777" w:rsidR="00A17461" w:rsidRDefault="00736E35" w:rsidP="00EE58CC">
            <w:pPr>
              <w:jc w:val="center"/>
            </w:pPr>
            <w:r>
              <w:t>1000 m</w:t>
            </w:r>
          </w:p>
        </w:tc>
        <w:tc>
          <w:tcPr>
            <w:tcW w:w="2976" w:type="dxa"/>
          </w:tcPr>
          <w:p w14:paraId="5739CC3B" w14:textId="77777777" w:rsidR="00A17461" w:rsidRDefault="005A46C1" w:rsidP="005A46C1">
            <w:r>
              <w:t>Ablation altitude</w:t>
            </w:r>
          </w:p>
        </w:tc>
      </w:tr>
      <w:tr w:rsidR="00A17461" w14:paraId="1E8E2786" w14:textId="77777777" w:rsidTr="00BA11C4">
        <w:trPr>
          <w:trHeight w:hRule="exact" w:val="378"/>
        </w:trPr>
        <w:tc>
          <w:tcPr>
            <w:tcW w:w="1668" w:type="dxa"/>
          </w:tcPr>
          <w:p w14:paraId="07135E68" w14:textId="77777777" w:rsidR="00A17461" w:rsidRDefault="00A17461" w:rsidP="00863C0A">
            <w:pPr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</w:tc>
        <w:tc>
          <w:tcPr>
            <w:tcW w:w="3038" w:type="dxa"/>
          </w:tcPr>
          <w:p w14:paraId="0D196CA3" w14:textId="1545F17D" w:rsidR="00A17461" w:rsidRPr="0063505E" w:rsidRDefault="00D63350" w:rsidP="00736E35">
            <w:pPr>
              <w:jc w:val="center"/>
              <w:rPr>
                <w:vertAlign w:val="superscript"/>
              </w:rPr>
            </w:pPr>
            <w:r w:rsidRPr="00D63350">
              <w:t>3 ×10</w:t>
            </w:r>
            <w:r>
              <w:rPr>
                <w:vertAlign w:val="superscript"/>
              </w:rPr>
              <w:t>-3</w:t>
            </w:r>
            <w:r w:rsidRPr="00D63350">
              <w:t xml:space="preserve"> </w:t>
            </w:r>
            <w:r>
              <w:t>a</w:t>
            </w:r>
            <w:r>
              <w:rPr>
                <w:vertAlign w:val="superscript"/>
              </w:rPr>
              <w:t>-1</w:t>
            </w:r>
          </w:p>
        </w:tc>
        <w:tc>
          <w:tcPr>
            <w:tcW w:w="2976" w:type="dxa"/>
          </w:tcPr>
          <w:p w14:paraId="23696D2D" w14:textId="77777777" w:rsidR="00A17461" w:rsidRDefault="005A46C1" w:rsidP="005A46C1">
            <w:r>
              <w:t>Surface melt scale factor</w:t>
            </w:r>
          </w:p>
        </w:tc>
      </w:tr>
    </w:tbl>
    <w:p w14:paraId="4E8F00CB" w14:textId="77777777" w:rsidR="00AF680F" w:rsidRPr="00BA11C4" w:rsidRDefault="009C27AF" w:rsidP="009C27A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="00BA11C4" w:rsidRPr="00BA11C4">
        <w:rPr>
          <w:sz w:val="20"/>
          <w:szCs w:val="20"/>
        </w:rPr>
        <w:t xml:space="preserve">Table S1: List of parameter values. Unless otherwise </w:t>
      </w:r>
      <w:r w:rsidR="009E6180">
        <w:rPr>
          <w:sz w:val="20"/>
          <w:szCs w:val="20"/>
        </w:rPr>
        <w:t>stated</w:t>
      </w:r>
      <w:r w:rsidR="00BA11C4" w:rsidRPr="00BA11C4">
        <w:rPr>
          <w:sz w:val="20"/>
          <w:szCs w:val="20"/>
        </w:rPr>
        <w:t>, the above parameter values are used for all numerical simulations presented in this work.</w:t>
      </w:r>
    </w:p>
    <w:p w14:paraId="5F1E3FAA" w14:textId="77777777" w:rsidR="00AF680F" w:rsidRPr="00153640" w:rsidRDefault="00AF680F" w:rsidP="00AF680F"/>
    <w:p w14:paraId="267D4762" w14:textId="77777777" w:rsidR="00AF680F" w:rsidRPr="00BB5EA0" w:rsidRDefault="00AF680F" w:rsidP="00AF680F">
      <w:pPr>
        <w:pStyle w:val="Heading1"/>
        <w:spacing w:line="276" w:lineRule="auto"/>
      </w:pPr>
      <w:r w:rsidRPr="00BB5EA0">
        <w:t>Supplementary figures</w:t>
      </w:r>
    </w:p>
    <w:p w14:paraId="2F284049" w14:textId="77777777" w:rsidR="00BB5EA0" w:rsidRDefault="00BB5EA0" w:rsidP="00AF680F">
      <w:pPr>
        <w:spacing w:line="276" w:lineRule="auto"/>
      </w:pPr>
    </w:p>
    <w:p w14:paraId="36370783" w14:textId="77777777" w:rsidR="00AF680F" w:rsidRDefault="00AE1E55" w:rsidP="00AF680F">
      <w:pPr>
        <w:spacing w:line="276" w:lineRule="auto"/>
      </w:pPr>
      <w:r>
        <w:rPr>
          <w:noProof/>
          <w:lang w:eastAsia="en-GB"/>
        </w:rPr>
        <w:lastRenderedPageBreak/>
        <w:drawing>
          <wp:inline distT="0" distB="0" distL="0" distR="0" wp14:anchorId="3834E84D" wp14:editId="60C0A61E">
            <wp:extent cx="5727700" cy="2165350"/>
            <wp:effectExtent l="0" t="0" r="635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80201" w14:textId="77777777" w:rsidR="00AF680F" w:rsidRDefault="009B2FF7" w:rsidP="00AF680F">
      <w:pPr>
        <w:pStyle w:val="Quote"/>
        <w:spacing w:line="276" w:lineRule="auto"/>
      </w:pPr>
      <w:r>
        <w:t xml:space="preserve">Figure </w:t>
      </w:r>
      <w:r w:rsidR="00AF680F">
        <w:t xml:space="preserve">S1: Sediment deposition within the flushing zone. Large basal undulations are required to allow sediment deposition within the flushing zone between ~5km and ~20km from the margin. Here we show a Gaussian </w:t>
      </w:r>
      <w:r w:rsidR="00282575">
        <w:t>ridge</w:t>
      </w:r>
      <w:r w:rsidR="00AF680F">
        <w:t xml:space="preserve"> of height 200m and variance 3km (left column; (a, b)), and variance 2km (right column; (c, d)). A very small region of deposition is encountered for the narrower </w:t>
      </w:r>
      <w:r w:rsidR="00282575">
        <w:t>ridge</w:t>
      </w:r>
      <w:r w:rsidR="00AF680F">
        <w:t>. Experiments suggest that basal gradient must be high to allow even small deposition within the flushing zone.</w:t>
      </w:r>
    </w:p>
    <w:p w14:paraId="31E1E344" w14:textId="77777777" w:rsidR="00AF680F" w:rsidRDefault="00AF680F" w:rsidP="00AF680F">
      <w:pPr>
        <w:spacing w:line="276" w:lineRule="auto"/>
      </w:pPr>
    </w:p>
    <w:p w14:paraId="41D867C4" w14:textId="77777777" w:rsidR="00AF680F" w:rsidRDefault="00AE1E55" w:rsidP="00AF680F">
      <w:pPr>
        <w:spacing w:line="276" w:lineRule="auto"/>
      </w:pPr>
      <w:r>
        <w:rPr>
          <w:noProof/>
          <w:lang w:eastAsia="en-GB"/>
        </w:rPr>
        <w:drawing>
          <wp:inline distT="0" distB="0" distL="0" distR="0" wp14:anchorId="59B1A610" wp14:editId="0F3C9380">
            <wp:extent cx="5727700" cy="104775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1AFA8" w14:textId="183FF3B7" w:rsidR="00AF680F" w:rsidRDefault="009B2FF7" w:rsidP="00AF680F">
      <w:pPr>
        <w:pStyle w:val="Quote"/>
        <w:spacing w:line="276" w:lineRule="auto"/>
      </w:pPr>
      <w:r>
        <w:t xml:space="preserve">Figure </w:t>
      </w:r>
      <w:r w:rsidR="00AF680F">
        <w:t>S2: Basal undulations of magnitude 2</w:t>
      </w:r>
      <w:r w:rsidR="00AA7FC1">
        <w:t xml:space="preserve"> </w:t>
      </w:r>
      <w:r w:rsidR="00AF680F">
        <w:t xml:space="preserve">m. Even very small undulations can enhance sediment </w:t>
      </w:r>
      <w:proofErr w:type="gramStart"/>
      <w:r w:rsidR="00AF680F">
        <w:t>deposition, when</w:t>
      </w:r>
      <w:proofErr w:type="gramEnd"/>
      <w:r w:rsidR="00AF680F">
        <w:t xml:space="preserve"> ice thickness is low.</w:t>
      </w:r>
    </w:p>
    <w:p w14:paraId="0F8C97A0" w14:textId="77777777" w:rsidR="00AF680F" w:rsidRPr="00D2748E" w:rsidRDefault="00AF680F" w:rsidP="00AF680F"/>
    <w:p w14:paraId="1FA19591" w14:textId="2A1C9C07" w:rsidR="00AF680F" w:rsidRDefault="00AE1E55" w:rsidP="00AF680F">
      <w:pPr>
        <w:pStyle w:val="Quote"/>
        <w:spacing w:line="276" w:lineRule="auto"/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21F34741" wp14:editId="0D015378">
            <wp:extent cx="5725160" cy="2162810"/>
            <wp:effectExtent l="0" t="0" r="889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FF7">
        <w:t xml:space="preserve">Figure </w:t>
      </w:r>
      <w:r w:rsidR="00AF680F">
        <w:t xml:space="preserve">S3: Multiple </w:t>
      </w:r>
      <w:r w:rsidR="00282575">
        <w:t>ridge</w:t>
      </w:r>
      <w:r w:rsidR="00AF680F">
        <w:t>s within the submarginal deposition zone. Note that we consider only the final 10</w:t>
      </w:r>
      <w:r w:rsidR="00AA7FC1">
        <w:t xml:space="preserve"> </w:t>
      </w:r>
      <w:r w:rsidR="00AF680F">
        <w:t xml:space="preserve">km before the ice margin. Three </w:t>
      </w:r>
      <w:r w:rsidR="00282575">
        <w:t>ridge</w:t>
      </w:r>
      <w:r w:rsidR="00AF680F">
        <w:t>s of height 75</w:t>
      </w:r>
      <w:r w:rsidR="00AA7FC1">
        <w:t xml:space="preserve"> </w:t>
      </w:r>
      <w:r w:rsidR="00AF680F">
        <w:t xml:space="preserve">m and variance 1km are placed at 4 km, 2 </w:t>
      </w:r>
      <w:proofErr w:type="gramStart"/>
      <w:r w:rsidR="00AF680F">
        <w:t>km</w:t>
      </w:r>
      <w:proofErr w:type="gramEnd"/>
      <w:r w:rsidR="00AF680F">
        <w:t xml:space="preserve"> and 0 km from the ice margin (left column; (a, b)), and at 5 km, 2 km, and 1 km from the ice margin (right column; (c, d)). Deposition is enhanced on the lee side of each </w:t>
      </w:r>
      <w:r w:rsidR="00282575">
        <w:t>ridge</w:t>
      </w:r>
      <w:r w:rsidR="00AF680F">
        <w:t xml:space="preserve">, separated by flushing zones on the upstream side of each </w:t>
      </w:r>
      <w:r w:rsidR="00282575">
        <w:t>ridge</w:t>
      </w:r>
      <w:r w:rsidR="00AF680F">
        <w:t xml:space="preserve">. Sediment deposition at the margin is enhanced by </w:t>
      </w:r>
      <w:r w:rsidR="00282575">
        <w:t>ridge</w:t>
      </w:r>
      <w:r w:rsidR="00AF680F">
        <w:t>s that peak slightly inland of the ice margin.</w:t>
      </w:r>
    </w:p>
    <w:p w14:paraId="14F3973F" w14:textId="77777777" w:rsidR="00AF680F" w:rsidRPr="00D2748E" w:rsidRDefault="00AF680F" w:rsidP="00AF680F"/>
    <w:p w14:paraId="5FFE0EDF" w14:textId="77777777" w:rsidR="00AF680F" w:rsidRDefault="00AE1E55" w:rsidP="00AF680F">
      <w:pPr>
        <w:spacing w:line="276" w:lineRule="auto"/>
      </w:pPr>
      <w:r>
        <w:rPr>
          <w:noProof/>
          <w:lang w:eastAsia="en-GB"/>
        </w:rPr>
        <w:lastRenderedPageBreak/>
        <w:drawing>
          <wp:inline distT="0" distB="0" distL="0" distR="0" wp14:anchorId="06EBE7AE" wp14:editId="2323C3D2">
            <wp:extent cx="5727700" cy="103505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D69B0" w14:textId="4038408F" w:rsidR="00AF680F" w:rsidRDefault="009B2FF7" w:rsidP="00AF680F">
      <w:pPr>
        <w:pStyle w:val="Quote"/>
        <w:spacing w:line="276" w:lineRule="auto"/>
      </w:pPr>
      <w:r>
        <w:t xml:space="preserve">Figure </w:t>
      </w:r>
      <w:r w:rsidR="00AF680F">
        <w:t>S4: Extended domain length with bumps of 10m amplitude. Beyond ~120</w:t>
      </w:r>
      <w:r w:rsidR="00AA7FC1">
        <w:t xml:space="preserve"> </w:t>
      </w:r>
      <w:r w:rsidR="00AF680F">
        <w:t>km from the ice margin deposition is negligible. The high pressure from the thick ice stifles channel growth in this region.</w:t>
      </w:r>
    </w:p>
    <w:p w14:paraId="3C1C5543" w14:textId="77777777" w:rsidR="00C37A28" w:rsidRDefault="00000000"/>
    <w:p w14:paraId="25FFBA64" w14:textId="77777777" w:rsidR="00BB2171" w:rsidRPr="00D2748E" w:rsidRDefault="00BB2171" w:rsidP="00BB2171"/>
    <w:p w14:paraId="5E9E5A01" w14:textId="77777777" w:rsidR="00BB2171" w:rsidRDefault="002A2B15" w:rsidP="00BB2171">
      <w:pPr>
        <w:spacing w:line="276" w:lineRule="auto"/>
      </w:pPr>
      <w:r>
        <w:rPr>
          <w:noProof/>
          <w:lang w:eastAsia="en-GB"/>
        </w:rPr>
        <w:drawing>
          <wp:inline distT="0" distB="0" distL="0" distR="0" wp14:anchorId="2E1C1F50" wp14:editId="07EA199B">
            <wp:extent cx="5725160" cy="474916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7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C3BB" w14:textId="6E046A0A" w:rsidR="00BB2171" w:rsidRDefault="00BB2171" w:rsidP="00BB2171">
      <w:pPr>
        <w:pStyle w:val="Quote"/>
        <w:spacing w:line="276" w:lineRule="auto"/>
      </w:pPr>
      <w:r>
        <w:t>Figure S</w:t>
      </w:r>
      <w:r w:rsidR="009270B4">
        <w:t>5</w:t>
      </w:r>
      <w:r>
        <w:t xml:space="preserve">: </w:t>
      </w:r>
      <w:r w:rsidR="009270B4">
        <w:t xml:space="preserve">Variation of </w:t>
      </w:r>
      <w:r w:rsidR="00E63495">
        <w:t xml:space="preserve">the </w:t>
      </w:r>
      <w:r w:rsidR="009270B4">
        <w:t>critical Shields stress</w:t>
      </w:r>
      <w:r w:rsidR="00E63495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E63495">
        <w:t>, required</w:t>
      </w:r>
      <w:r w:rsidR="009270B4">
        <w:t xml:space="preserve"> for sediment mobilisation.</w:t>
      </w:r>
      <w:r w:rsidR="002A2B15">
        <w:t xml:space="preserve"> A single-ridge configuration is used, of height 250</w:t>
      </w:r>
      <w:r w:rsidR="00AA7FC1">
        <w:t xml:space="preserve"> </w:t>
      </w:r>
      <w:r w:rsidR="002A2B15">
        <w:t>m located 50</w:t>
      </w:r>
      <w:r w:rsidR="00AA7FC1">
        <w:t xml:space="preserve"> </w:t>
      </w:r>
      <w:r w:rsidR="002A2B15">
        <w:t xml:space="preserve">km from the margin (a). The remaining plots </w:t>
      </w:r>
      <w:proofErr w:type="gramStart"/>
      <w:r w:rsidR="002A2B15">
        <w:t>show:</w:t>
      </w:r>
      <w:proofErr w:type="gramEnd"/>
      <w:r w:rsidR="002A2B15">
        <w:t xml:space="preserve"> on the left the sediment flux (solid line) and carrying capacity (dashed line), and on the right the rate of deposition. Figure b) takes the value of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=0.047</m:t>
        </m:r>
      </m:oMath>
      <w:r w:rsidR="002A2B15">
        <w:t xml:space="preserve"> used throughout this work. Figure c) reduces this by a factor of 10 to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=0.0047</m:t>
        </m:r>
      </m:oMath>
      <w:r w:rsidR="002A2B15">
        <w:t xml:space="preserve">. Figure c) increases by a factor of 10 to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=0.47</m:t>
        </m:r>
      </m:oMath>
      <w:r w:rsidR="002A2B15">
        <w:t xml:space="preserve">, and figure e) increases by a factor of 100 to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=4.7</m:t>
        </m:r>
      </m:oMath>
      <w:r w:rsidR="002A2B15">
        <w:t xml:space="preserve">. </w:t>
      </w:r>
      <w:r w:rsidR="004D1B72">
        <w:t xml:space="preserve">Note that we must increase the critical Shields stress for sediment mobilisation by more than one order of magnitude </w:t>
      </w:r>
      <w:proofErr w:type="gramStart"/>
      <w:r w:rsidR="004D1B72">
        <w:t>in order to</w:t>
      </w:r>
      <w:proofErr w:type="gramEnd"/>
      <w:r w:rsidR="004D1B72">
        <w:t xml:space="preserve"> observe notably increased deposition.</w:t>
      </w:r>
    </w:p>
    <w:p w14:paraId="62849A4D" w14:textId="4D6FC20A" w:rsidR="000605A1" w:rsidRDefault="000605A1" w:rsidP="0063505E">
      <w:pPr>
        <w:pStyle w:val="Heading1"/>
      </w:pPr>
      <w:r>
        <w:t>Additional references</w:t>
      </w:r>
    </w:p>
    <w:p w14:paraId="42A3B9CA" w14:textId="3FAC0D7C" w:rsidR="000605A1" w:rsidRPr="0063505E" w:rsidRDefault="000605A1" w:rsidP="0063505E">
      <w:pPr>
        <w:ind w:left="567" w:hanging="567"/>
      </w:pPr>
      <w:r w:rsidRPr="0063505E">
        <w:lastRenderedPageBreak/>
        <w:t xml:space="preserve">Meyer-Peter E and Müller R </w:t>
      </w:r>
      <w:r w:rsidR="002A2E9E" w:rsidRPr="0063505E">
        <w:t>(</w:t>
      </w:r>
      <w:r w:rsidRPr="0063505E">
        <w:t>1948</w:t>
      </w:r>
      <w:r w:rsidR="002A2E9E" w:rsidRPr="0063505E">
        <w:t>)</w:t>
      </w:r>
      <w:r w:rsidRPr="0063505E">
        <w:t xml:space="preserve"> Formulas for bed-load transport. </w:t>
      </w:r>
      <w:r w:rsidRPr="0063505E">
        <w:rPr>
          <w:i/>
          <w:iCs/>
        </w:rPr>
        <w:t>IAHSR 2nd meeting, Stockholm, appendix 2</w:t>
      </w:r>
      <w:r w:rsidRPr="0063505E">
        <w:t>. IAHR.</w:t>
      </w:r>
      <w:r w:rsidR="001B6899">
        <w:t xml:space="preserve"> </w:t>
      </w:r>
      <w:r w:rsidR="001B6899" w:rsidRPr="001B6899">
        <w:t>http://resolver.tudelft.nl/uuid:4fda9b61-be28-4703-ab06-43cdc2a21bd7</w:t>
      </w:r>
    </w:p>
    <w:sectPr w:rsidR="000605A1" w:rsidRPr="0063505E" w:rsidSect="005C6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7A"/>
    <w:rsid w:val="000361B0"/>
    <w:rsid w:val="00052FC6"/>
    <w:rsid w:val="000605A1"/>
    <w:rsid w:val="000C3722"/>
    <w:rsid w:val="000E07E3"/>
    <w:rsid w:val="00104BB6"/>
    <w:rsid w:val="00143B89"/>
    <w:rsid w:val="00163144"/>
    <w:rsid w:val="00177EF7"/>
    <w:rsid w:val="001B6899"/>
    <w:rsid w:val="001C1D60"/>
    <w:rsid w:val="001F61ED"/>
    <w:rsid w:val="002109A3"/>
    <w:rsid w:val="002456D9"/>
    <w:rsid w:val="00282575"/>
    <w:rsid w:val="00291483"/>
    <w:rsid w:val="002A2B15"/>
    <w:rsid w:val="002A2E9E"/>
    <w:rsid w:val="002C2181"/>
    <w:rsid w:val="002C45AE"/>
    <w:rsid w:val="002C6E33"/>
    <w:rsid w:val="002F09BC"/>
    <w:rsid w:val="00364A83"/>
    <w:rsid w:val="003905D5"/>
    <w:rsid w:val="003A090D"/>
    <w:rsid w:val="003B605F"/>
    <w:rsid w:val="003D0DA5"/>
    <w:rsid w:val="003D6F7C"/>
    <w:rsid w:val="00440B25"/>
    <w:rsid w:val="00452519"/>
    <w:rsid w:val="00461E05"/>
    <w:rsid w:val="00494FAE"/>
    <w:rsid w:val="004B5B3C"/>
    <w:rsid w:val="004D1B72"/>
    <w:rsid w:val="004D1FA2"/>
    <w:rsid w:val="005065E9"/>
    <w:rsid w:val="00523595"/>
    <w:rsid w:val="00524018"/>
    <w:rsid w:val="00525455"/>
    <w:rsid w:val="0056103A"/>
    <w:rsid w:val="005A46C1"/>
    <w:rsid w:val="005B365F"/>
    <w:rsid w:val="005C634E"/>
    <w:rsid w:val="006045CF"/>
    <w:rsid w:val="00605FAF"/>
    <w:rsid w:val="006164BE"/>
    <w:rsid w:val="0063505E"/>
    <w:rsid w:val="0067569E"/>
    <w:rsid w:val="006977E2"/>
    <w:rsid w:val="006C24E2"/>
    <w:rsid w:val="006C2E7F"/>
    <w:rsid w:val="006D4673"/>
    <w:rsid w:val="00714397"/>
    <w:rsid w:val="00736E35"/>
    <w:rsid w:val="00772F4F"/>
    <w:rsid w:val="007926C7"/>
    <w:rsid w:val="007B1038"/>
    <w:rsid w:val="007E1989"/>
    <w:rsid w:val="007F21DF"/>
    <w:rsid w:val="00822AA3"/>
    <w:rsid w:val="00842DDF"/>
    <w:rsid w:val="00846FFC"/>
    <w:rsid w:val="00863C0A"/>
    <w:rsid w:val="00871A7F"/>
    <w:rsid w:val="00871C29"/>
    <w:rsid w:val="008C4C51"/>
    <w:rsid w:val="009270B4"/>
    <w:rsid w:val="00953A22"/>
    <w:rsid w:val="009842BB"/>
    <w:rsid w:val="009B2FF7"/>
    <w:rsid w:val="009C27AF"/>
    <w:rsid w:val="009D5B5C"/>
    <w:rsid w:val="009E6180"/>
    <w:rsid w:val="009F4424"/>
    <w:rsid w:val="009F53B6"/>
    <w:rsid w:val="00A06E48"/>
    <w:rsid w:val="00A17461"/>
    <w:rsid w:val="00A51745"/>
    <w:rsid w:val="00A54108"/>
    <w:rsid w:val="00AA7FC1"/>
    <w:rsid w:val="00AC58E5"/>
    <w:rsid w:val="00AE1E55"/>
    <w:rsid w:val="00AE677C"/>
    <w:rsid w:val="00AF680F"/>
    <w:rsid w:val="00B07FF5"/>
    <w:rsid w:val="00B24E7A"/>
    <w:rsid w:val="00B80663"/>
    <w:rsid w:val="00B96F68"/>
    <w:rsid w:val="00BA11C4"/>
    <w:rsid w:val="00BB2171"/>
    <w:rsid w:val="00BB5EA0"/>
    <w:rsid w:val="00BB6FDE"/>
    <w:rsid w:val="00BC43F7"/>
    <w:rsid w:val="00BF7775"/>
    <w:rsid w:val="00C03E08"/>
    <w:rsid w:val="00C11A94"/>
    <w:rsid w:val="00C92B78"/>
    <w:rsid w:val="00CA6A32"/>
    <w:rsid w:val="00D206C8"/>
    <w:rsid w:val="00D23FF6"/>
    <w:rsid w:val="00D26C8B"/>
    <w:rsid w:val="00D33C35"/>
    <w:rsid w:val="00D41A8D"/>
    <w:rsid w:val="00D5273C"/>
    <w:rsid w:val="00D605ED"/>
    <w:rsid w:val="00D63350"/>
    <w:rsid w:val="00D847AF"/>
    <w:rsid w:val="00DF1A0A"/>
    <w:rsid w:val="00E06EFA"/>
    <w:rsid w:val="00E30743"/>
    <w:rsid w:val="00E63495"/>
    <w:rsid w:val="00E647D5"/>
    <w:rsid w:val="00E97107"/>
    <w:rsid w:val="00EE4362"/>
    <w:rsid w:val="00EE58CC"/>
    <w:rsid w:val="00F63FDF"/>
    <w:rsid w:val="00F879F1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C6AE"/>
  <w15:docId w15:val="{950F9524-E19F-4821-B4B7-55DA44BF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0F"/>
    <w:pPr>
      <w:spacing w:after="160" w:line="360" w:lineRule="auto"/>
    </w:pPr>
    <w:rPr>
      <w:rFonts w:asciiTheme="majorBidi" w:eastAsiaTheme="minorEastAsia" w:hAnsiTheme="majorBidi" w:cstheme="majorBidi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80F"/>
    <w:pPr>
      <w:outlineLvl w:val="0"/>
    </w:pPr>
    <w:rPr>
      <w:rFonts w:asciiTheme="minorBidi" w:hAnsi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80F"/>
    <w:rPr>
      <w:rFonts w:asciiTheme="minorBidi" w:eastAsiaTheme="minorEastAsia" w:hAnsiTheme="minorBidi" w:cstheme="majorBidi"/>
      <w:b/>
      <w:bCs/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AF680F"/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F680F"/>
    <w:rPr>
      <w:rFonts w:asciiTheme="majorBidi" w:eastAsiaTheme="minorEastAsia" w:hAnsiTheme="majorBidi" w:cstheme="majorBidi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0F"/>
    <w:rPr>
      <w:rFonts w:ascii="Tahoma" w:eastAsiaTheme="minorEastAsia" w:hAnsi="Tahoma" w:cs="Tahom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43B89"/>
    <w:rPr>
      <w:color w:val="808080"/>
    </w:rPr>
  </w:style>
  <w:style w:type="table" w:styleId="TableGrid">
    <w:name w:val="Table Grid"/>
    <w:basedOn w:val="TableNormal"/>
    <w:uiPriority w:val="59"/>
    <w:rsid w:val="0014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40B25"/>
  </w:style>
  <w:style w:type="paragraph" w:styleId="Revision">
    <w:name w:val="Revision"/>
    <w:hidden/>
    <w:uiPriority w:val="99"/>
    <w:semiHidden/>
    <w:rsid w:val="00A54108"/>
    <w:pPr>
      <w:spacing w:after="0" w:line="240" w:lineRule="auto"/>
    </w:pPr>
    <w:rPr>
      <w:rFonts w:asciiTheme="majorBidi" w:eastAsiaTheme="minorEastAsia" w:hAnsiTheme="majorBidi" w:cstheme="maj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7544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970F-E65B-4965-9A1E-7D8A17D6A013}"/>
      </w:docPartPr>
      <w:docPartBody>
        <w:p w:rsidR="00F67FB4" w:rsidRDefault="002201F4">
          <w:r w:rsidRPr="00DD1B43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1F4"/>
    <w:rsid w:val="000074C5"/>
    <w:rsid w:val="00136C23"/>
    <w:rsid w:val="002201F4"/>
    <w:rsid w:val="00282D48"/>
    <w:rsid w:val="002E160E"/>
    <w:rsid w:val="0044356C"/>
    <w:rsid w:val="00663C44"/>
    <w:rsid w:val="0075511D"/>
    <w:rsid w:val="00A23BC9"/>
    <w:rsid w:val="00B47F2A"/>
    <w:rsid w:val="00CD769F"/>
    <w:rsid w:val="00D1684E"/>
    <w:rsid w:val="00F6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6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4934-8E9D-4285-9230-3F1D084C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Jeremy</cp:lastModifiedBy>
  <cp:revision>10</cp:revision>
  <dcterms:created xsi:type="dcterms:W3CDTF">2022-07-11T13:27:00Z</dcterms:created>
  <dcterms:modified xsi:type="dcterms:W3CDTF">2022-07-14T10:30:00Z</dcterms:modified>
</cp:coreProperties>
</file>