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728B" w14:textId="757368C3" w:rsidR="00875F18" w:rsidRPr="00023B56" w:rsidRDefault="00023B56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023B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Supplement of</w:t>
      </w:r>
      <w:r w:rsidRPr="00023B56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‘</w:t>
      </w:r>
      <w:r w:rsidRPr="00023B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Crystallographic preferred orientation (CPO) patterns in axially compressed deuterated ice: quantitative analysis of historical data</w:t>
      </w:r>
      <w:r w:rsidRPr="00023B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’</w:t>
      </w:r>
    </w:p>
    <w:p w14:paraId="41F7CC77" w14:textId="77777777" w:rsidR="00023B56" w:rsidRPr="00695A08" w:rsidRDefault="00023B56" w:rsidP="00023B56">
      <w:pPr>
        <w:tabs>
          <w:tab w:val="left" w:pos="720"/>
        </w:tabs>
        <w:spacing w:after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F6EBF">
        <w:rPr>
          <w:rFonts w:ascii="Times New Roman" w:eastAsia="Times New Roman" w:hAnsi="Times New Roman" w:cs="Times New Roman"/>
          <w:b/>
          <w:sz w:val="24"/>
          <w:szCs w:val="24"/>
        </w:rPr>
        <w:t>Nicholas J.R. Hunter</w:t>
      </w:r>
      <w:r w:rsidRPr="00BF6EB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BF6EBF">
        <w:rPr>
          <w:rFonts w:ascii="Times New Roman" w:eastAsia="Times New Roman" w:hAnsi="Times New Roman" w:cs="Times New Roman"/>
          <w:b/>
          <w:sz w:val="24"/>
          <w:szCs w:val="24"/>
        </w:rPr>
        <w:t xml:space="preserve">, Christopher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F6E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L.</w:t>
      </w:r>
      <w:r w:rsidRPr="00BF6E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Wilson</w:t>
      </w:r>
      <w:r w:rsidRPr="00BF6EB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Vladimir Luzin</w:t>
      </w:r>
      <w:r w:rsidRPr="00695A0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2,3</w:t>
      </w:r>
    </w:p>
    <w:p w14:paraId="5A6BD662" w14:textId="77777777" w:rsidR="00023B56" w:rsidRDefault="00023B56" w:rsidP="00023B56">
      <w:pPr>
        <w:keepNext/>
        <w:tabs>
          <w:tab w:val="left" w:pos="720"/>
        </w:tabs>
        <w:spacing w:after="0" w:line="48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6EB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BF6EBF">
        <w:rPr>
          <w:rFonts w:ascii="Times New Roman" w:eastAsia="Times New Roman" w:hAnsi="Times New Roman" w:cs="Times New Roman"/>
          <w:i/>
          <w:iCs/>
          <w:sz w:val="24"/>
          <w:szCs w:val="24"/>
        </w:rPr>
        <w:t>School of Earth, Atmosphere and Environment, Monash University, Victoria, 3800, Australia</w:t>
      </w:r>
    </w:p>
    <w:p w14:paraId="760C4FAE" w14:textId="77777777" w:rsidR="00023B56" w:rsidRPr="00CE2982" w:rsidRDefault="00023B56" w:rsidP="00023B56">
      <w:pPr>
        <w:keepNext/>
        <w:tabs>
          <w:tab w:val="left" w:pos="720"/>
        </w:tabs>
        <w:spacing w:after="0" w:line="48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298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CE2982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Centre for Neutron Scattering, Australian Nuclear Science and Technology Organisation (ANSTO), Lucas Heights, NSW, 2234, Australia</w:t>
      </w:r>
    </w:p>
    <w:p w14:paraId="5159BD7F" w14:textId="77777777" w:rsidR="00023B56" w:rsidRPr="00BF6EBF" w:rsidRDefault="00023B56" w:rsidP="00023B56">
      <w:pPr>
        <w:keepNext/>
        <w:tabs>
          <w:tab w:val="left" w:pos="720"/>
        </w:tabs>
        <w:spacing w:after="240" w:line="48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298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E2982">
        <w:rPr>
          <w:rFonts w:ascii="Times New Roman" w:eastAsia="Times New Roman" w:hAnsi="Times New Roman" w:cs="Times New Roman"/>
          <w:i/>
          <w:iCs/>
          <w:sz w:val="24"/>
          <w:szCs w:val="24"/>
        </w:rPr>
        <w:t>School of Engineering, The University of Newcastle, Callaghan, NSW, 2308, Australia</w:t>
      </w:r>
    </w:p>
    <w:p w14:paraId="7AC79191" w14:textId="77777777" w:rsidR="00023B56" w:rsidRDefault="00023B56" w:rsidP="00023B56">
      <w:pPr>
        <w:tabs>
          <w:tab w:val="left" w:pos="720"/>
        </w:tabs>
        <w:spacing w:after="360"/>
        <w:rPr>
          <w:rStyle w:val="Hyperlink"/>
          <w:rFonts w:ascii="Times New Roman" w:hAnsi="Times New Roman" w:cs="Times New Roman"/>
          <w:sz w:val="24"/>
          <w:szCs w:val="24"/>
        </w:rPr>
      </w:pPr>
      <w:r w:rsidRPr="00BF6EBF">
        <w:rPr>
          <w:rFonts w:ascii="Times New Roman" w:hAnsi="Times New Roman" w:cs="Times New Roman"/>
          <w:sz w:val="24"/>
          <w:szCs w:val="24"/>
        </w:rPr>
        <w:t xml:space="preserve">Corresponding author: </w:t>
      </w:r>
      <w:hyperlink r:id="rId4" w:history="1">
        <w:r w:rsidRPr="00BF6EBF">
          <w:rPr>
            <w:rStyle w:val="Hyperlink"/>
            <w:rFonts w:ascii="Times New Roman" w:hAnsi="Times New Roman" w:cs="Times New Roman"/>
            <w:sz w:val="24"/>
            <w:szCs w:val="24"/>
          </w:rPr>
          <w:t>nicholas.hunter@monash.edu</w:t>
        </w:r>
      </w:hyperlink>
    </w:p>
    <w:p w14:paraId="7EFC6461" w14:textId="77777777" w:rsidR="00023B56" w:rsidRDefault="00023B56" w:rsidP="00023B56">
      <w:pPr>
        <w:pStyle w:val="Default"/>
      </w:pPr>
    </w:p>
    <w:p w14:paraId="678705D6" w14:textId="7A9C18B5" w:rsidR="00023B56" w:rsidRPr="00023B56" w:rsidRDefault="00023B56" w:rsidP="00D838ED">
      <w:pPr>
        <w:spacing w:after="360"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 w:rsidRPr="00023B56">
        <w:rPr>
          <w:rFonts w:ascii="Times New Roman" w:hAnsi="Times New Roman" w:cs="Times New Roman"/>
          <w:color w:val="211D1E"/>
          <w:sz w:val="23"/>
          <w:szCs w:val="23"/>
        </w:rPr>
        <w:t>This supplementary material explains the parametric routines applied to pole figure data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in our study</w:t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>. All routines were developed using MTEX (</w:t>
      </w:r>
      <w:hyperlink r:id="rId5" w:history="1">
        <w:r w:rsidRPr="006705F3">
          <w:rPr>
            <w:rStyle w:val="Hyperlink"/>
            <w:rFonts w:ascii="Times New Roman" w:hAnsi="Times New Roman" w:cs="Times New Roman"/>
            <w:sz w:val="23"/>
            <w:szCs w:val="23"/>
          </w:rPr>
          <w:t>https://mtex-toolbox.github.io</w:t>
        </w:r>
      </w:hyperlink>
      <w:r w:rsidRPr="00023B56">
        <w:rPr>
          <w:rFonts w:ascii="Times New Roman" w:hAnsi="Times New Roman" w:cs="Times New Roman"/>
          <w:color w:val="211D1E"/>
          <w:sz w:val="23"/>
          <w:szCs w:val="23"/>
        </w:rPr>
        <w:t>).</w:t>
      </w:r>
    </w:p>
    <w:p w14:paraId="54FFD18C" w14:textId="516CC66C" w:rsidR="00023B56" w:rsidRPr="00023B56" w:rsidRDefault="00023B56" w:rsidP="00023B56">
      <w:pPr>
        <w:pStyle w:val="Pa0"/>
        <w:spacing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 w:rsidRPr="00023B56">
        <w:rPr>
          <w:rFonts w:ascii="Times New Roman" w:hAnsi="Times New Roman" w:cs="Times New Roman"/>
          <w:b/>
          <w:bCs/>
          <w:color w:val="211D1E"/>
          <w:sz w:val="23"/>
          <w:szCs w:val="23"/>
        </w:rPr>
        <w:t>Intensity spectra</w:t>
      </w:r>
    </w:p>
    <w:p w14:paraId="7516BABA" w14:textId="7E342CBF" w:rsidR="00023B56" w:rsidRPr="00023B56" w:rsidRDefault="00023B56" w:rsidP="00023B56">
      <w:pPr>
        <w:pStyle w:val="Pa0"/>
        <w:spacing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 w:rsidRPr="00023B56">
        <w:rPr>
          <w:rFonts w:ascii="Times New Roman" w:hAnsi="Times New Roman" w:cs="Times New Roman"/>
          <w:color w:val="211D1E"/>
          <w:sz w:val="23"/>
          <w:szCs w:val="23"/>
        </w:rPr>
        <w:t>The routines described here are variations of the ‘intensity spectrum’ analysis described in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D1E"/>
          <w:sz w:val="23"/>
          <w:szCs w:val="23"/>
        </w:rPr>
        <w:fldChar w:fldCharType="begin"/>
      </w:r>
      <w:r>
        <w:rPr>
          <w:rFonts w:ascii="Times New Roman" w:hAnsi="Times New Roman" w:cs="Times New Roman"/>
          <w:color w:val="211D1E"/>
          <w:sz w:val="23"/>
          <w:szCs w:val="23"/>
        </w:rPr>
        <w:instrText xml:space="preserve"> ADDIN EN.CITE &lt;EndNote&gt;&lt;Cite AuthorYear="1"&gt;&lt;Author&gt;Hunter&lt;/Author&gt;&lt;Year&gt;2018&lt;/Year&gt;&lt;RecNum&gt;457&lt;/RecNum&gt;&lt;DisplayText&gt;Hunter and others (2018)&lt;/DisplayText&gt;&lt;record&gt;&lt;rec-number&gt;457&lt;/rec-number&gt;&lt;foreign-keys&gt;&lt;key app="EN" db-id="pfap5arxct5xs8e2at7vffxdtt5pz2dzedve" timestamp="0" guid="675c56e0-6349-498e-ae9b-fae70d564b44"&gt;457&lt;/key&gt;&lt;/foreign-keys&gt;&lt;ref-type name="Journal Article"&gt;17&lt;/ref-type&gt;&lt;contributors&gt;&lt;authors&gt;&lt;author&gt;Hunter, N. J. R.&lt;/author&gt;&lt;author&gt;Weinberg, R. F.&lt;/author&gt;&lt;author&gt;Wilson, C. J. L.&lt;/author&gt;&lt;author&gt;Law, R. D.&lt;/author&gt;&lt;/authors&gt;&lt;/contributors&gt;&lt;titles&gt;&lt;title&gt;A new technique for quantifying symmetry and opening angles in quartz c-axis pole figures: Implications for interpreting the kinematic and thermal properties of rocks&lt;/title&gt;&lt;secondary-title&gt;Journal of Structural Geology&lt;/secondary-title&gt;&lt;/titles&gt;&lt;periodical&gt;&lt;full-title&gt;Journal of Structural Geology&lt;/full-title&gt;&lt;/periodical&gt;&lt;pages&gt;1-6&lt;/pages&gt;&lt;volume&gt;112&lt;/volume&gt;&lt;section&gt;1&lt;/section&gt;&lt;dates&gt;&lt;year&gt;2018&lt;/year&gt;&lt;/dates&gt;&lt;isbn&gt;01918141&lt;/isbn&gt;&lt;urls&gt;&lt;/urls&gt;&lt;electronic-resource-num&gt;10.1016/j.jsg.2018.04.006&lt;/electronic-resource-num&gt;&lt;/record&gt;&lt;/Cite&gt;&lt;/EndNote&gt;</w:instrText>
      </w:r>
      <w:r>
        <w:rPr>
          <w:rFonts w:ascii="Times New Roman" w:hAnsi="Times New Roman" w:cs="Times New Roman"/>
          <w:color w:val="211D1E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color w:val="211D1E"/>
          <w:sz w:val="23"/>
          <w:szCs w:val="23"/>
        </w:rPr>
        <w:t>Hunter and others (2018)</w:t>
      </w:r>
      <w:r>
        <w:rPr>
          <w:rFonts w:ascii="Times New Roman" w:hAnsi="Times New Roman" w:cs="Times New Roman"/>
          <w:color w:val="211D1E"/>
          <w:sz w:val="23"/>
          <w:szCs w:val="23"/>
        </w:rPr>
        <w:fldChar w:fldCharType="end"/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211D1E"/>
          <w:sz w:val="23"/>
          <w:szCs w:val="23"/>
        </w:rPr>
        <w:t>In general, t</w:t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his method is used to identify and analyse changes in CPO pattern characteristics across specific transects of the pole figure. The result is a two-dimensional cross-section of the multiples of uniform distribution in an XY plot form. </w:t>
      </w:r>
    </w:p>
    <w:p w14:paraId="02001F41" w14:textId="62658466" w:rsidR="00023B56" w:rsidRPr="0056130F" w:rsidRDefault="00023B56" w:rsidP="00076793">
      <w:pPr>
        <w:pStyle w:val="Pa0"/>
        <w:spacing w:line="480" w:lineRule="auto"/>
        <w:jc w:val="center"/>
        <w:rPr>
          <w:rFonts w:ascii="Times New Roman" w:hAnsi="Times New Roman" w:cs="Times New Roman"/>
          <w:color w:val="211D1E"/>
          <w:sz w:val="20"/>
          <w:szCs w:val="20"/>
        </w:rPr>
      </w:pPr>
      <w:r w:rsidRPr="00023B56">
        <w:rPr>
          <w:rFonts w:ascii="Times New Roman" w:hAnsi="Times New Roman" w:cs="Times New Roman"/>
          <w:noProof/>
          <w:color w:val="211D1E"/>
          <w:sz w:val="23"/>
          <w:szCs w:val="23"/>
        </w:rPr>
        <w:lastRenderedPageBreak/>
        <w:drawing>
          <wp:inline distT="0" distB="0" distL="0" distR="0" wp14:anchorId="692F48A4" wp14:editId="2800A33B">
            <wp:extent cx="4767803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73" cy="56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15FE" w14:textId="02EF05A9" w:rsidR="00023B56" w:rsidRPr="00023B56" w:rsidRDefault="00023B56" w:rsidP="00023B56">
      <w:pPr>
        <w:pStyle w:val="Default"/>
        <w:rPr>
          <w:rFonts w:ascii="Times New Roman" w:hAnsi="Times New Roman" w:cs="Times New Roman"/>
        </w:rPr>
      </w:pPr>
      <w:r w:rsidRPr="0056130F">
        <w:rPr>
          <w:rFonts w:ascii="Times New Roman" w:hAnsi="Times New Roman" w:cs="Times New Roman"/>
          <w:b/>
          <w:bCs/>
          <w:sz w:val="20"/>
          <w:szCs w:val="20"/>
        </w:rPr>
        <w:t xml:space="preserve">Figure S1 </w:t>
      </w:r>
      <w:r w:rsidRPr="0056130F">
        <w:rPr>
          <w:rFonts w:ascii="Times New Roman" w:hAnsi="Times New Roman" w:cs="Times New Roman"/>
          <w:sz w:val="20"/>
          <w:szCs w:val="20"/>
        </w:rPr>
        <w:t xml:space="preserve">– </w:t>
      </w:r>
      <w:r w:rsidR="00C10308" w:rsidRPr="0056130F">
        <w:rPr>
          <w:rFonts w:ascii="Times New Roman" w:hAnsi="Times New Roman" w:cs="Times New Roman"/>
          <w:sz w:val="20"/>
          <w:szCs w:val="20"/>
        </w:rPr>
        <w:t>Examples of i</w:t>
      </w:r>
      <w:r w:rsidRPr="0056130F">
        <w:rPr>
          <w:rFonts w:ascii="Times New Roman" w:hAnsi="Times New Roman" w:cs="Times New Roman"/>
          <w:sz w:val="20"/>
          <w:szCs w:val="20"/>
        </w:rPr>
        <w:t>ntensity spectra</w:t>
      </w:r>
      <w:r w:rsidR="00C10308" w:rsidRPr="0056130F">
        <w:rPr>
          <w:rFonts w:ascii="Times New Roman" w:hAnsi="Times New Roman" w:cs="Times New Roman"/>
          <w:sz w:val="20"/>
          <w:szCs w:val="20"/>
        </w:rPr>
        <w:t xml:space="preserve"> used in this contribution</w:t>
      </w:r>
      <w:r w:rsidRPr="0056130F">
        <w:rPr>
          <w:rFonts w:ascii="Times New Roman" w:hAnsi="Times New Roman" w:cs="Times New Roman"/>
          <w:sz w:val="20"/>
          <w:szCs w:val="20"/>
        </w:rPr>
        <w:t xml:space="preserve">. </w:t>
      </w:r>
      <w:r w:rsidR="00C10308" w:rsidRPr="0056130F">
        <w:rPr>
          <w:rFonts w:ascii="Times New Roman" w:hAnsi="Times New Roman" w:cs="Times New Roman"/>
          <w:sz w:val="20"/>
          <w:szCs w:val="20"/>
        </w:rPr>
        <w:t xml:space="preserve">The top-most pole figure (A-A’) represents </w:t>
      </w:r>
      <w:r w:rsidR="00C10308" w:rsidRPr="0056130F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C10308" w:rsidRPr="0056130F">
        <w:rPr>
          <w:rFonts w:ascii="Times New Roman" w:hAnsi="Times New Roman" w:cs="Times New Roman"/>
          <w:sz w:val="20"/>
          <w:szCs w:val="20"/>
        </w:rPr>
        <w:t xml:space="preserve">-axis CPO data. The two bottom pole figures (B-B’; C-C’) represent </w:t>
      </w:r>
      <w:r w:rsidR="00C10308" w:rsidRPr="0056130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C10308" w:rsidRPr="0056130F">
        <w:rPr>
          <w:rFonts w:ascii="Times New Roman" w:hAnsi="Times New Roman" w:cs="Times New Roman"/>
          <w:sz w:val="20"/>
          <w:szCs w:val="20"/>
        </w:rPr>
        <w:t>-axis CPO data. In all cases the multiples of uniform distribution in the pole figures (or ‘intensity’) are collected along the transects</w:t>
      </w:r>
      <w:r w:rsidR="0056130F" w:rsidRPr="0056130F">
        <w:rPr>
          <w:rFonts w:ascii="Times New Roman" w:hAnsi="Times New Roman" w:cs="Times New Roman"/>
          <w:sz w:val="20"/>
          <w:szCs w:val="20"/>
        </w:rPr>
        <w:t xml:space="preserve"> (black dashed lines)</w:t>
      </w:r>
      <w:r w:rsidR="00C10308" w:rsidRPr="0056130F">
        <w:rPr>
          <w:rFonts w:ascii="Times New Roman" w:hAnsi="Times New Roman" w:cs="Times New Roman"/>
          <w:sz w:val="20"/>
          <w:szCs w:val="20"/>
        </w:rPr>
        <w:t xml:space="preserve"> </w:t>
      </w:r>
      <w:r w:rsidR="0056130F" w:rsidRPr="0056130F">
        <w:rPr>
          <w:rFonts w:ascii="Times New Roman" w:hAnsi="Times New Roman" w:cs="Times New Roman"/>
          <w:sz w:val="20"/>
          <w:szCs w:val="20"/>
        </w:rPr>
        <w:t>and transferred to a two-dimensional XY plot</w:t>
      </w:r>
      <w:r w:rsidR="001E44BA">
        <w:rPr>
          <w:rFonts w:ascii="Times New Roman" w:hAnsi="Times New Roman" w:cs="Times New Roman"/>
          <w:sz w:val="20"/>
          <w:szCs w:val="20"/>
        </w:rPr>
        <w:t>s</w:t>
      </w:r>
      <w:r w:rsidR="0056130F" w:rsidRPr="0056130F">
        <w:rPr>
          <w:rFonts w:ascii="Times New Roman" w:hAnsi="Times New Roman" w:cs="Times New Roman"/>
          <w:sz w:val="20"/>
          <w:szCs w:val="20"/>
        </w:rPr>
        <w:t xml:space="preserve"> (right) for closer inspection of the </w:t>
      </w:r>
      <w:r w:rsidR="001E44BA">
        <w:rPr>
          <w:rFonts w:ascii="Times New Roman" w:hAnsi="Times New Roman" w:cs="Times New Roman"/>
          <w:sz w:val="20"/>
          <w:szCs w:val="20"/>
        </w:rPr>
        <w:t>variations in intensity (blue dashed lines)</w:t>
      </w:r>
      <w:r w:rsidR="0056130F" w:rsidRPr="0056130F">
        <w:rPr>
          <w:rFonts w:ascii="Times New Roman" w:hAnsi="Times New Roman" w:cs="Times New Roman"/>
          <w:sz w:val="20"/>
          <w:szCs w:val="20"/>
        </w:rPr>
        <w:t>.</w:t>
      </w:r>
    </w:p>
    <w:p w14:paraId="4258A123" w14:textId="77777777" w:rsidR="00023B56" w:rsidRPr="00023B56" w:rsidRDefault="00023B56" w:rsidP="00023B56">
      <w:pPr>
        <w:pStyle w:val="Default"/>
      </w:pPr>
    </w:p>
    <w:p w14:paraId="38C09E73" w14:textId="77777777" w:rsidR="0056130F" w:rsidRDefault="0056130F" w:rsidP="00023B56">
      <w:pPr>
        <w:pStyle w:val="Pa0"/>
        <w:spacing w:line="480" w:lineRule="auto"/>
        <w:rPr>
          <w:rFonts w:ascii="Times New Roman" w:hAnsi="Times New Roman" w:cs="Times New Roman"/>
          <w:color w:val="211D1E"/>
          <w:sz w:val="23"/>
          <w:szCs w:val="23"/>
        </w:rPr>
      </w:pPr>
    </w:p>
    <w:p w14:paraId="05AC51AA" w14:textId="30FC2C3D" w:rsidR="00023B56" w:rsidRPr="00023B56" w:rsidRDefault="00C10308" w:rsidP="00023B56">
      <w:pPr>
        <w:pStyle w:val="Pa0"/>
        <w:spacing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>
        <w:rPr>
          <w:rFonts w:ascii="Times New Roman" w:hAnsi="Times New Roman" w:cs="Times New Roman"/>
          <w:color w:val="211D1E"/>
          <w:sz w:val="23"/>
          <w:szCs w:val="23"/>
        </w:rPr>
        <w:t xml:space="preserve">Figure S1 presents the three types of intensity spectra plots that were used in this contribution.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For analysis of</w:t>
      </w:r>
      <w:r w:rsidR="00023B56">
        <w:rPr>
          <w:rFonts w:ascii="Times New Roman" w:hAnsi="Times New Roman" w:cs="Times New Roman"/>
          <w:color w:val="211D1E"/>
          <w:sz w:val="23"/>
          <w:szCs w:val="23"/>
        </w:rPr>
        <w:t xml:space="preserve"> ice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c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-axis patterns in the current study, we collected transects across both</w:t>
      </w:r>
      <w:r w:rsidR="00023B56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hemispheres of the pole figure (</w:t>
      </w:r>
      <w:r w:rsidR="00CB4041">
        <w:rPr>
          <w:rFonts w:ascii="Times New Roman" w:hAnsi="Times New Roman" w:cs="Times New Roman"/>
          <w:color w:val="211D1E"/>
          <w:sz w:val="23"/>
          <w:szCs w:val="23"/>
        </w:rPr>
        <w:t>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.</w:t>
      </w:r>
      <w:r w:rsidR="00CB4041">
        <w:rPr>
          <w:rFonts w:ascii="Times New Roman" w:hAnsi="Times New Roman" w:cs="Times New Roman"/>
          <w:color w:val="211D1E"/>
          <w:sz w:val="23"/>
          <w:szCs w:val="23"/>
        </w:rPr>
        <w:t>g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. A-A’</w:t>
      </w:r>
      <w:r w:rsidR="0056130F">
        <w:rPr>
          <w:rFonts w:ascii="Times New Roman" w:hAnsi="Times New Roman" w:cs="Times New Roman"/>
          <w:color w:val="211D1E"/>
          <w:sz w:val="23"/>
          <w:szCs w:val="23"/>
        </w:rPr>
        <w:t xml:space="preserve"> in Fig. S1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) at azimuth angles between 1-180 degrees</w:t>
      </w:r>
      <w:r w:rsidR="0056130F">
        <w:rPr>
          <w:rFonts w:ascii="Times New Roman" w:hAnsi="Times New Roman" w:cs="Times New Roman"/>
          <w:color w:val="211D1E"/>
          <w:sz w:val="23"/>
          <w:szCs w:val="23"/>
        </w:rPr>
        <w:t xml:space="preserve"> (</w:t>
      </w:r>
      <w:r w:rsidR="0056130F" w:rsidRPr="0056130F">
        <w:rPr>
          <w:rFonts w:ascii="Times New Roman" w:hAnsi="Times New Roman" w:cs="Times New Roman"/>
          <w:i/>
          <w:iCs/>
          <w:color w:val="211D1E"/>
          <w:sz w:val="23"/>
          <w:szCs w:val="23"/>
        </w:rPr>
        <w:t>n</w:t>
      </w:r>
      <w:r w:rsidR="0056130F">
        <w:rPr>
          <w:rFonts w:ascii="Times New Roman" w:hAnsi="Times New Roman" w:cs="Times New Roman"/>
          <w:color w:val="211D1E"/>
          <w:sz w:val="23"/>
          <w:szCs w:val="23"/>
        </w:rPr>
        <w:t>=180 transects)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. We then took the average of all</w:t>
      </w:r>
      <w:r w:rsidR="0056130F">
        <w:rPr>
          <w:rFonts w:ascii="Times New Roman" w:hAnsi="Times New Roman" w:cs="Times New Roman"/>
          <w:color w:val="211D1E"/>
          <w:sz w:val="23"/>
          <w:szCs w:val="23"/>
        </w:rPr>
        <w:t xml:space="preserve"> the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transects to calculate the mean intensity spectrum.</w:t>
      </w:r>
      <w:r w:rsidR="00023B56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For </w:t>
      </w:r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a-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and </w:t>
      </w:r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m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-axis patterns, we collected transects as described for </w:t>
      </w:r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c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-axis patterns described above (B-B’), and also parallel to the pole figure margin (C-C’).</w:t>
      </w:r>
      <w:r w:rsidR="00CB4041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</w:p>
    <w:p w14:paraId="4AF82B90" w14:textId="676EC3F1" w:rsidR="00023B56" w:rsidRPr="00023B56" w:rsidRDefault="00076793" w:rsidP="00076793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56130F">
        <w:rPr>
          <w:noProof/>
        </w:rPr>
        <w:lastRenderedPageBreak/>
        <w:drawing>
          <wp:inline distT="0" distB="0" distL="0" distR="0" wp14:anchorId="1F5FE22C" wp14:editId="3C7481DC">
            <wp:extent cx="4396361" cy="498475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48" cy="49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3D32" w14:textId="77777777" w:rsidR="00076793" w:rsidRDefault="00076793" w:rsidP="000767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0FC66A1" w14:textId="77777777" w:rsidR="00076793" w:rsidRPr="00023B56" w:rsidRDefault="00076793" w:rsidP="00076793">
      <w:pPr>
        <w:pStyle w:val="Default"/>
        <w:rPr>
          <w:rFonts w:ascii="Times New Roman" w:hAnsi="Times New Roman" w:cs="Times New Roman"/>
        </w:rPr>
      </w:pPr>
      <w:r w:rsidRPr="0056130F">
        <w:rPr>
          <w:rFonts w:ascii="Times New Roman" w:hAnsi="Times New Roman" w:cs="Times New Roman"/>
          <w:b/>
          <w:bCs/>
          <w:sz w:val="20"/>
          <w:szCs w:val="20"/>
        </w:rPr>
        <w:t>Figure S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613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130F">
        <w:rPr>
          <w:rFonts w:ascii="Times New Roman" w:hAnsi="Times New Roman" w:cs="Times New Roman"/>
          <w:sz w:val="20"/>
          <w:szCs w:val="20"/>
        </w:rPr>
        <w:t>– Examples of intensity spectra</w:t>
      </w:r>
      <w:r>
        <w:rPr>
          <w:rFonts w:ascii="Times New Roman" w:hAnsi="Times New Roman" w:cs="Times New Roman"/>
          <w:sz w:val="20"/>
          <w:szCs w:val="20"/>
        </w:rPr>
        <w:t xml:space="preserve"> for ‘cluster-dominant’ (top) and ‘cone-dominant’ (bottom) </w:t>
      </w:r>
      <w:r w:rsidRPr="007B637F"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-axis patterns. The ‘cone-to-cluster’ ratio is derived by taking the maxima intensity for a cluster peak (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7B637F">
        <w:rPr>
          <w:rFonts w:ascii="Times New Roman" w:hAnsi="Times New Roman" w:cs="Times New Roman"/>
          <w:sz w:val="20"/>
          <w:szCs w:val="20"/>
          <w:vertAlign w:val="subscript"/>
        </w:rPr>
        <w:t>cluster</w:t>
      </w:r>
      <w:proofErr w:type="spellEnd"/>
      <w:r>
        <w:rPr>
          <w:rFonts w:ascii="Times New Roman" w:hAnsi="Times New Roman" w:cs="Times New Roman"/>
          <w:sz w:val="20"/>
          <w:szCs w:val="20"/>
        </w:rPr>
        <w:t>) and the mean of the two cone peaks (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7B637F">
        <w:rPr>
          <w:rFonts w:ascii="Times New Roman" w:hAnsi="Times New Roman" w:cs="Times New Roman"/>
          <w:sz w:val="20"/>
          <w:szCs w:val="20"/>
          <w:vertAlign w:val="subscript"/>
        </w:rPr>
        <w:t>cone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The ‘cone colatitude’ (green lines) delineates the plunge angle at which these cone peaks occur. </w:t>
      </w:r>
    </w:p>
    <w:p w14:paraId="5582F23F" w14:textId="77777777" w:rsidR="00076793" w:rsidRDefault="00076793" w:rsidP="00023B56">
      <w:pPr>
        <w:pStyle w:val="Pa0"/>
        <w:spacing w:line="480" w:lineRule="auto"/>
        <w:rPr>
          <w:rFonts w:ascii="Times New Roman" w:hAnsi="Times New Roman" w:cs="Times New Roman"/>
          <w:b/>
          <w:bCs/>
          <w:color w:val="211D1E"/>
          <w:sz w:val="23"/>
          <w:szCs w:val="23"/>
        </w:rPr>
      </w:pPr>
    </w:p>
    <w:p w14:paraId="2DAC0775" w14:textId="0FDE12C6" w:rsidR="00023B56" w:rsidRPr="00023B56" w:rsidRDefault="00023B56" w:rsidP="00023B56">
      <w:pPr>
        <w:pStyle w:val="Pa0"/>
        <w:spacing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 w:rsidRPr="00023B56">
        <w:rPr>
          <w:rFonts w:ascii="Times New Roman" w:hAnsi="Times New Roman" w:cs="Times New Roman"/>
          <w:b/>
          <w:bCs/>
          <w:color w:val="211D1E"/>
          <w:sz w:val="23"/>
          <w:szCs w:val="23"/>
        </w:rPr>
        <w:t>Cluster and cone analyses</w:t>
      </w:r>
    </w:p>
    <w:p w14:paraId="208EA116" w14:textId="77777777" w:rsidR="00107DF2" w:rsidRDefault="007B637F" w:rsidP="0056130F">
      <w:pPr>
        <w:pStyle w:val="Pa0"/>
        <w:spacing w:after="360"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>
        <w:rPr>
          <w:rFonts w:ascii="Times New Roman" w:hAnsi="Times New Roman" w:cs="Times New Roman"/>
          <w:color w:val="211D1E"/>
          <w:sz w:val="23"/>
          <w:szCs w:val="23"/>
        </w:rPr>
        <w:t xml:space="preserve">When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viewed in pole figure form, i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ce CPOs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typically present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as either ‘cone’ or ‘cluster’ patterns.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We aimed to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better quantify </w:t>
      </w:r>
      <w:r>
        <w:rPr>
          <w:rFonts w:ascii="Times New Roman" w:hAnsi="Times New Roman" w:cs="Times New Roman"/>
          <w:color w:val="211D1E"/>
          <w:sz w:val="23"/>
          <w:szCs w:val="23"/>
        </w:rPr>
        <w:t>these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patterns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in our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data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,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 xml:space="preserve">so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we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use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the mean intensity spectrum of samples (as described above) and </w:t>
      </w:r>
      <w:r w:rsidR="00107DF2">
        <w:rPr>
          <w:rFonts w:ascii="Times New Roman" w:hAnsi="Times New Roman" w:cs="Times New Roman"/>
          <w:color w:val="211D1E"/>
          <w:sz w:val="23"/>
          <w:szCs w:val="23"/>
        </w:rPr>
        <w:t>applied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peak detection algorithms in MTEX to identify peaks associated with clusters (</w:t>
      </w:r>
      <w:proofErr w:type="spellStart"/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P</w:t>
      </w:r>
      <w:r w:rsidR="00023B56" w:rsidRPr="00023B56">
        <w:rPr>
          <w:rStyle w:val="A1"/>
          <w:rFonts w:ascii="Times New Roman" w:hAnsi="Times New Roman" w:cs="Times New Roman"/>
        </w:rPr>
        <w:t>cluster</w:t>
      </w:r>
      <w:proofErr w:type="spellEnd"/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) and with cones (</w:t>
      </w:r>
      <w:proofErr w:type="spellStart"/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P</w:t>
      </w:r>
      <w:r w:rsidR="00023B56" w:rsidRPr="00023B56">
        <w:rPr>
          <w:rStyle w:val="A1"/>
          <w:rFonts w:ascii="Times New Roman" w:hAnsi="Times New Roman" w:cs="Times New Roman"/>
        </w:rPr>
        <w:t>cone</w:t>
      </w:r>
      <w:proofErr w:type="spellEnd"/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).</w:t>
      </w:r>
    </w:p>
    <w:p w14:paraId="6BD0991E" w14:textId="1EA6F911" w:rsidR="0056130F" w:rsidRDefault="00107DF2" w:rsidP="0056130F">
      <w:pPr>
        <w:pStyle w:val="Pa0"/>
        <w:spacing w:after="360"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>
        <w:rPr>
          <w:rFonts w:ascii="Times New Roman" w:hAnsi="Times New Roman" w:cs="Times New Roman"/>
          <w:color w:val="211D1E"/>
          <w:sz w:val="23"/>
          <w:szCs w:val="23"/>
        </w:rPr>
        <w:t>Once peaks were identified, w</w:t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e calculated </w:t>
      </w:r>
      <w:r>
        <w:rPr>
          <w:rFonts w:ascii="Times New Roman" w:hAnsi="Times New Roman" w:cs="Times New Roman"/>
          <w:color w:val="211D1E"/>
          <w:sz w:val="23"/>
          <w:szCs w:val="23"/>
        </w:rPr>
        <w:t>a</w:t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‘cluster-to-cone ratio’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211D1E"/>
          <w:sz w:val="23"/>
          <w:szCs w:val="23"/>
        </w:rPr>
        <w:t>CtC</w:t>
      </w:r>
      <w:proofErr w:type="spellEnd"/>
      <w:r>
        <w:rPr>
          <w:rFonts w:ascii="Times New Roman" w:hAnsi="Times New Roman" w:cs="Times New Roman"/>
          <w:color w:val="211D1E"/>
          <w:sz w:val="23"/>
          <w:szCs w:val="23"/>
        </w:rPr>
        <w:t>), which i</w:t>
      </w:r>
      <w:r w:rsidRPr="00023B56">
        <w:rPr>
          <w:rFonts w:ascii="Times New Roman" w:hAnsi="Times New Roman" w:cs="Times New Roman"/>
          <w:color w:val="211D1E"/>
          <w:sz w:val="23"/>
          <w:szCs w:val="23"/>
        </w:rPr>
        <w:t>s the proportional difference between the cluster and mean cone intensities (</w:t>
      </w:r>
      <w:proofErr w:type="spellStart"/>
      <w:r w:rsidRPr="00023B56">
        <w:rPr>
          <w:rFonts w:ascii="Times New Roman" w:hAnsi="Times New Roman" w:cs="Times New Roman"/>
          <w:color w:val="211D1E"/>
          <w:sz w:val="23"/>
          <w:szCs w:val="23"/>
        </w:rPr>
        <w:t>i.e</w:t>
      </w:r>
      <w:proofErr w:type="spellEnd"/>
      <w:r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proofErr w:type="spellStart"/>
      <w:r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P</w:t>
      </w:r>
      <w:r w:rsidRPr="00023B56">
        <w:rPr>
          <w:rStyle w:val="A1"/>
          <w:rFonts w:ascii="Times New Roman" w:hAnsi="Times New Roman" w:cs="Times New Roman"/>
        </w:rPr>
        <w:t>cluster</w:t>
      </w:r>
      <w:proofErr w:type="spellEnd"/>
      <w:r w:rsidRPr="00023B56">
        <w:rPr>
          <w:rStyle w:val="A1"/>
          <w:rFonts w:ascii="Times New Roman" w:hAnsi="Times New Roman" w:cs="Times New Roman"/>
        </w:rPr>
        <w:t xml:space="preserve"> </w:t>
      </w:r>
      <w:r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/ </w:t>
      </w:r>
      <w:proofErr w:type="spellStart"/>
      <w:r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P</w:t>
      </w:r>
      <w:r w:rsidRPr="00023B56">
        <w:rPr>
          <w:rStyle w:val="A1"/>
          <w:rFonts w:ascii="Times New Roman" w:hAnsi="Times New Roman" w:cs="Times New Roman"/>
        </w:rPr>
        <w:t>cone</w:t>
      </w:r>
      <w:proofErr w:type="spellEnd"/>
      <w:r w:rsidRPr="00023B56">
        <w:rPr>
          <w:rFonts w:ascii="Times New Roman" w:hAnsi="Times New Roman" w:cs="Times New Roman"/>
          <w:color w:val="211D1E"/>
          <w:sz w:val="23"/>
          <w:szCs w:val="23"/>
        </w:rPr>
        <w:t>).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This is </w:t>
      </w:r>
      <w:r>
        <w:rPr>
          <w:rFonts w:ascii="Times New Roman" w:hAnsi="Times New Roman" w:cs="Times New Roman"/>
          <w:color w:val="211D1E"/>
          <w:sz w:val="23"/>
          <w:szCs w:val="23"/>
        </w:rPr>
        <w:lastRenderedPageBreak/>
        <w:t xml:space="preserve">shown in Figure S2. For a ‘cluster dominant’ pattern the </w:t>
      </w:r>
      <w:proofErr w:type="spellStart"/>
      <w:r>
        <w:rPr>
          <w:rFonts w:ascii="Times New Roman" w:hAnsi="Times New Roman" w:cs="Times New Roman"/>
          <w:color w:val="211D1E"/>
          <w:sz w:val="23"/>
          <w:szCs w:val="23"/>
        </w:rPr>
        <w:t>CtC</w:t>
      </w:r>
      <w:proofErr w:type="spellEnd"/>
      <w:r>
        <w:rPr>
          <w:rFonts w:ascii="Times New Roman" w:hAnsi="Times New Roman" w:cs="Times New Roman"/>
          <w:color w:val="211D1E"/>
          <w:sz w:val="23"/>
          <w:szCs w:val="23"/>
        </w:rPr>
        <w:t xml:space="preserve"> value will be greater than 1, indicating that the cluster peak is of greater value than the mean of the cone peaks (refer top plot in Figure S2). </w:t>
      </w:r>
      <w:r>
        <w:rPr>
          <w:rFonts w:ascii="Times New Roman" w:hAnsi="Times New Roman" w:cs="Times New Roman"/>
          <w:color w:val="211D1E"/>
          <w:sz w:val="23"/>
          <w:szCs w:val="23"/>
        </w:rPr>
        <w:t>For a ‘c</w:t>
      </w:r>
      <w:r>
        <w:rPr>
          <w:rFonts w:ascii="Times New Roman" w:hAnsi="Times New Roman" w:cs="Times New Roman"/>
          <w:color w:val="211D1E"/>
          <w:sz w:val="23"/>
          <w:szCs w:val="23"/>
        </w:rPr>
        <w:t>one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dominant’ pattern the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opposite will be true.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The </w:t>
      </w:r>
      <w:proofErr w:type="spellStart"/>
      <w:r>
        <w:rPr>
          <w:rFonts w:ascii="Times New Roman" w:hAnsi="Times New Roman" w:cs="Times New Roman"/>
          <w:color w:val="211D1E"/>
          <w:sz w:val="23"/>
          <w:szCs w:val="23"/>
        </w:rPr>
        <w:t>CtC</w:t>
      </w:r>
      <w:proofErr w:type="spellEnd"/>
      <w:r>
        <w:rPr>
          <w:rFonts w:ascii="Times New Roman" w:hAnsi="Times New Roman" w:cs="Times New Roman"/>
          <w:color w:val="211D1E"/>
          <w:sz w:val="23"/>
          <w:szCs w:val="23"/>
        </w:rPr>
        <w:t xml:space="preserve"> value will be </w:t>
      </w:r>
      <w:r>
        <w:rPr>
          <w:rFonts w:ascii="Times New Roman" w:hAnsi="Times New Roman" w:cs="Times New Roman"/>
          <w:color w:val="211D1E"/>
          <w:sz w:val="23"/>
          <w:szCs w:val="23"/>
        </w:rPr>
        <w:t>less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than 1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because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the 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cone </w:t>
      </w:r>
      <w:r>
        <w:rPr>
          <w:rFonts w:ascii="Times New Roman" w:hAnsi="Times New Roman" w:cs="Times New Roman"/>
          <w:color w:val="211D1E"/>
          <w:sz w:val="23"/>
          <w:szCs w:val="23"/>
        </w:rPr>
        <w:t>peak</w:t>
      </w:r>
      <w:r>
        <w:rPr>
          <w:rFonts w:ascii="Times New Roman" w:hAnsi="Times New Roman" w:cs="Times New Roman"/>
          <w:color w:val="211D1E"/>
          <w:sz w:val="23"/>
          <w:szCs w:val="23"/>
        </w:rPr>
        <w:t>s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11D1E"/>
          <w:sz w:val="23"/>
          <w:szCs w:val="23"/>
        </w:rPr>
        <w:t>are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of greater value than the </w:t>
      </w:r>
      <w:r>
        <w:rPr>
          <w:rFonts w:ascii="Times New Roman" w:hAnsi="Times New Roman" w:cs="Times New Roman"/>
          <w:color w:val="211D1E"/>
          <w:sz w:val="23"/>
          <w:szCs w:val="23"/>
        </w:rPr>
        <w:t>cluster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peak (refer </w:t>
      </w:r>
      <w:r>
        <w:rPr>
          <w:rFonts w:ascii="Times New Roman" w:hAnsi="Times New Roman" w:cs="Times New Roman"/>
          <w:color w:val="211D1E"/>
          <w:sz w:val="23"/>
          <w:szCs w:val="23"/>
        </w:rPr>
        <w:t>bottom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plot in Figure S2).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</w:p>
    <w:p w14:paraId="101EF68A" w14:textId="0DFA0290" w:rsidR="0056130F" w:rsidRPr="00076793" w:rsidRDefault="00E5564F" w:rsidP="00076793">
      <w:pPr>
        <w:pStyle w:val="Pa0"/>
        <w:spacing w:after="360" w:line="480" w:lineRule="auto"/>
        <w:rPr>
          <w:rFonts w:ascii="Times New Roman" w:hAnsi="Times New Roman" w:cs="Times New Roman"/>
          <w:color w:val="211D1E"/>
          <w:sz w:val="23"/>
          <w:szCs w:val="23"/>
        </w:rPr>
      </w:pPr>
      <w:r>
        <w:rPr>
          <w:rFonts w:ascii="Times New Roman" w:hAnsi="Times New Roman" w:cs="Times New Roman"/>
          <w:color w:val="211D1E"/>
          <w:sz w:val="23"/>
          <w:szCs w:val="23"/>
        </w:rPr>
        <w:t>We are also able to derive t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he ‘cone </w:t>
      </w:r>
      <w:proofErr w:type="spellStart"/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colatitide</w:t>
      </w:r>
      <w:proofErr w:type="spellEnd"/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’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, or the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mean plunge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angle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 at which the </w:t>
      </w:r>
      <w:proofErr w:type="spellStart"/>
      <w:r w:rsidR="00023B56" w:rsidRPr="00023B56">
        <w:rPr>
          <w:rFonts w:ascii="Times New Roman" w:hAnsi="Times New Roman" w:cs="Times New Roman"/>
          <w:i/>
          <w:iCs/>
          <w:color w:val="211D1E"/>
          <w:sz w:val="23"/>
          <w:szCs w:val="23"/>
        </w:rPr>
        <w:t>P</w:t>
      </w:r>
      <w:r w:rsidR="00023B56" w:rsidRPr="00023B56">
        <w:rPr>
          <w:rStyle w:val="A1"/>
          <w:rFonts w:ascii="Times New Roman" w:hAnsi="Times New Roman" w:cs="Times New Roman"/>
        </w:rPr>
        <w:t>cone</w:t>
      </w:r>
      <w:proofErr w:type="spellEnd"/>
      <w:r w:rsidR="00023B56" w:rsidRPr="00023B56">
        <w:rPr>
          <w:rStyle w:val="A1"/>
          <w:rFonts w:ascii="Times New Roman" w:hAnsi="Times New Roman" w:cs="Times New Roman"/>
        </w:rPr>
        <w:t xml:space="preserve">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values </w:t>
      </w:r>
      <w:r>
        <w:rPr>
          <w:rFonts w:ascii="Times New Roman" w:hAnsi="Times New Roman" w:cs="Times New Roman"/>
          <w:color w:val="211D1E"/>
          <w:sz w:val="23"/>
          <w:szCs w:val="23"/>
        </w:rPr>
        <w:t>a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re detected 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across the pole figure 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>(green lines</w:t>
      </w:r>
      <w:r>
        <w:rPr>
          <w:rFonts w:ascii="Times New Roman" w:hAnsi="Times New Roman" w:cs="Times New Roman"/>
          <w:color w:val="211D1E"/>
          <w:sz w:val="23"/>
          <w:szCs w:val="23"/>
        </w:rPr>
        <w:t xml:space="preserve"> in Figure S2</w:t>
      </w:r>
      <w:r w:rsidR="00023B56" w:rsidRPr="00023B56">
        <w:rPr>
          <w:rFonts w:ascii="Times New Roman" w:hAnsi="Times New Roman" w:cs="Times New Roman"/>
          <w:color w:val="211D1E"/>
          <w:sz w:val="23"/>
          <w:szCs w:val="23"/>
        </w:rPr>
        <w:t xml:space="preserve">). </w:t>
      </w:r>
      <w:r>
        <w:rPr>
          <w:rFonts w:ascii="Times New Roman" w:hAnsi="Times New Roman" w:cs="Times New Roman"/>
          <w:color w:val="211D1E"/>
          <w:sz w:val="23"/>
          <w:szCs w:val="23"/>
        </w:rPr>
        <w:t>The cone colatitude value is between 0˗90°, where the pole figure margin is 0° and the pole figure centre is 90°.</w:t>
      </w:r>
      <w:r w:rsidR="00076793">
        <w:rPr>
          <w:rFonts w:ascii="Times New Roman" w:hAnsi="Times New Roman" w:cs="Times New Roman"/>
          <w:color w:val="211D1E"/>
          <w:sz w:val="23"/>
          <w:szCs w:val="23"/>
        </w:rPr>
        <w:t xml:space="preserve"> All cone colatitude values are presented in Table 1. </w:t>
      </w:r>
    </w:p>
    <w:p w14:paraId="39101BC6" w14:textId="77777777" w:rsidR="0056130F" w:rsidRPr="00076793" w:rsidRDefault="0056130F" w:rsidP="0056130F">
      <w:pPr>
        <w:pStyle w:val="Default"/>
        <w:rPr>
          <w:sz w:val="22"/>
          <w:szCs w:val="22"/>
        </w:rPr>
      </w:pPr>
    </w:p>
    <w:p w14:paraId="0092F72E" w14:textId="1A8F3377" w:rsidR="00023B56" w:rsidRPr="00076793" w:rsidRDefault="0056130F" w:rsidP="00023B56">
      <w:pPr>
        <w:spacing w:line="480" w:lineRule="auto"/>
        <w:rPr>
          <w:rFonts w:ascii="Times New Roman" w:hAnsi="Times New Roman" w:cs="Times New Roman"/>
          <w:b/>
          <w:bCs/>
          <w:color w:val="211D1E"/>
          <w:sz w:val="24"/>
          <w:szCs w:val="24"/>
        </w:rPr>
      </w:pPr>
      <w:r w:rsidRPr="00076793">
        <w:rPr>
          <w:rFonts w:ascii="Times New Roman" w:hAnsi="Times New Roman" w:cs="Times New Roman"/>
          <w:b/>
          <w:bCs/>
          <w:color w:val="211D1E"/>
          <w:sz w:val="24"/>
          <w:szCs w:val="24"/>
        </w:rPr>
        <w:t>References</w:t>
      </w:r>
    </w:p>
    <w:p w14:paraId="0A2A97B5" w14:textId="77777777" w:rsidR="00023B56" w:rsidRPr="00023B56" w:rsidRDefault="00023B56" w:rsidP="00023B56">
      <w:pPr>
        <w:pStyle w:val="EndNoteBibliography"/>
        <w:ind w:left="720" w:hanging="720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separate"/>
      </w:r>
      <w:r w:rsidRPr="00023B56">
        <w:rPr>
          <w:rFonts w:ascii="Times New Roman" w:hAnsi="Times New Roman" w:cs="Times New Roman"/>
          <w:sz w:val="24"/>
        </w:rPr>
        <w:t xml:space="preserve">Hunter, NJR, Weinberg RF, Wilson CJL and Law RD (2018) A new technique for quantifying symmetry and opening angles in quartz c-axis pole figures: Implications for interpreting the kinematic and thermal properties of rocks. </w:t>
      </w:r>
      <w:r w:rsidRPr="00023B56">
        <w:rPr>
          <w:rFonts w:ascii="Times New Roman" w:hAnsi="Times New Roman" w:cs="Times New Roman"/>
          <w:i/>
          <w:sz w:val="24"/>
        </w:rPr>
        <w:t>Journal of Structural Geology</w:t>
      </w:r>
      <w:r w:rsidRPr="00023B56">
        <w:rPr>
          <w:rFonts w:ascii="Times New Roman" w:hAnsi="Times New Roman" w:cs="Times New Roman"/>
          <w:sz w:val="24"/>
        </w:rPr>
        <w:t xml:space="preserve">, </w:t>
      </w:r>
      <w:r w:rsidRPr="00023B56">
        <w:rPr>
          <w:rFonts w:ascii="Times New Roman" w:hAnsi="Times New Roman" w:cs="Times New Roman"/>
          <w:b/>
          <w:sz w:val="24"/>
        </w:rPr>
        <w:t>112</w:t>
      </w:r>
      <w:r w:rsidRPr="00023B56">
        <w:rPr>
          <w:rFonts w:ascii="Times New Roman" w:hAnsi="Times New Roman" w:cs="Times New Roman"/>
          <w:sz w:val="24"/>
        </w:rPr>
        <w:t>, 1-6</w:t>
      </w:r>
      <w:r w:rsidRPr="00023B56">
        <w:rPr>
          <w:rFonts w:ascii="Times New Roman" w:hAnsi="Times New Roman" w:cs="Times New Roman"/>
          <w:i/>
          <w:sz w:val="24"/>
        </w:rPr>
        <w:t xml:space="preserve"> </w:t>
      </w:r>
      <w:r w:rsidRPr="00023B56">
        <w:rPr>
          <w:rFonts w:ascii="Times New Roman" w:hAnsi="Times New Roman" w:cs="Times New Roman"/>
          <w:sz w:val="24"/>
        </w:rPr>
        <w:t>(doi:10.1016/j.jsg.2018.04.006)</w:t>
      </w:r>
    </w:p>
    <w:p w14:paraId="7894160D" w14:textId="77777777" w:rsidR="00023B56" w:rsidRPr="00023B56" w:rsidRDefault="00023B56" w:rsidP="00023B56">
      <w:pPr>
        <w:pStyle w:val="EndNoteBibliography"/>
      </w:pPr>
    </w:p>
    <w:p w14:paraId="2E753830" w14:textId="1F0AB37A" w:rsidR="00023B56" w:rsidRPr="00023B56" w:rsidRDefault="00023B56" w:rsidP="00023B5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023B56" w:rsidRPr="0002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Glac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ap5arxct5xs8e2at7vffxdtt5pz2dzedve&quot;&gt;My EndNote Library&lt;record-ids&gt;&lt;item&gt;457&lt;/item&gt;&lt;/record-ids&gt;&lt;/item&gt;&lt;/Libraries&gt;"/>
  </w:docVars>
  <w:rsids>
    <w:rsidRoot w:val="00023B56"/>
    <w:rsid w:val="00023B56"/>
    <w:rsid w:val="00076793"/>
    <w:rsid w:val="00107DF2"/>
    <w:rsid w:val="001E44BA"/>
    <w:rsid w:val="0056130F"/>
    <w:rsid w:val="007B637F"/>
    <w:rsid w:val="00875F18"/>
    <w:rsid w:val="00C10308"/>
    <w:rsid w:val="00CB4041"/>
    <w:rsid w:val="00D838ED"/>
    <w:rsid w:val="00E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C127"/>
  <w15:chartTrackingRefBased/>
  <w15:docId w15:val="{6E793D0F-5E51-4BE5-A72A-3DA3E617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B56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023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link w:val="Pa0Char"/>
    <w:uiPriority w:val="99"/>
    <w:rsid w:val="00023B5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023B56"/>
    <w:rPr>
      <w:i/>
      <w:iCs/>
      <w:color w:val="211D1E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023B5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23B5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DefaultChar">
    <w:name w:val="Default Char"/>
    <w:basedOn w:val="DefaultParagraphFont"/>
    <w:link w:val="Default"/>
    <w:rsid w:val="00023B56"/>
    <w:rPr>
      <w:rFonts w:ascii="Arial" w:hAnsi="Arial" w:cs="Arial"/>
      <w:color w:val="000000"/>
      <w:sz w:val="24"/>
      <w:szCs w:val="24"/>
    </w:rPr>
  </w:style>
  <w:style w:type="character" w:customStyle="1" w:styleId="Pa0Char">
    <w:name w:val="Pa0 Char"/>
    <w:basedOn w:val="DefaultChar"/>
    <w:link w:val="Pa0"/>
    <w:uiPriority w:val="99"/>
    <w:rsid w:val="00023B56"/>
    <w:rPr>
      <w:rFonts w:ascii="Arial" w:hAnsi="Arial" w:cs="Arial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Pa0Char"/>
    <w:link w:val="EndNoteBibliographyTitle"/>
    <w:rsid w:val="00023B56"/>
    <w:rPr>
      <w:rFonts w:ascii="Calibri" w:hAnsi="Calibri" w:cs="Calibri"/>
      <w:noProof/>
      <w:color w:val="000000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23B5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Pa0Char"/>
    <w:link w:val="EndNoteBibliography"/>
    <w:rsid w:val="00023B56"/>
    <w:rPr>
      <w:rFonts w:ascii="Calibri" w:hAnsi="Calibri" w:cs="Calibri"/>
      <w:noProof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mtex-toolbox.github.io" TargetMode="External"/><Relationship Id="rId4" Type="http://schemas.openxmlformats.org/officeDocument/2006/relationships/hyperlink" Target="mailto:nicholas.hunter@monash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Hunter</dc:creator>
  <cp:keywords/>
  <dc:description/>
  <cp:lastModifiedBy>Nicholas Hunter</cp:lastModifiedBy>
  <cp:revision>3</cp:revision>
  <dcterms:created xsi:type="dcterms:W3CDTF">2022-08-01T03:51:00Z</dcterms:created>
  <dcterms:modified xsi:type="dcterms:W3CDTF">2022-08-01T04:29:00Z</dcterms:modified>
</cp:coreProperties>
</file>