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Hlk127285342"/>
      <w:bookmarkEnd w:id="0"/>
      <w:r>
        <w:drawing>
          <wp:inline distT="0" distB="0" distL="0" distR="0">
            <wp:extent cx="5274310" cy="24980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b/>
          <w:bCs/>
        </w:rPr>
        <w:t>Figure S1.</w:t>
      </w:r>
      <w:r>
        <w:rPr>
          <w:rFonts w:ascii="Times New Roman" w:hAnsi="Times New Roman" w:cs="Times New Roman"/>
        </w:rPr>
        <w:t xml:space="preserve"> The metabolism pathway for riboflavin.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</w:t>
      </w:r>
      <w:r>
        <w:rPr>
          <w:rFonts w:ascii="Times New Roman" w:hAnsi="Times New Roman" w:cs="Times New Roman"/>
          <w:i/>
          <w:szCs w:val="21"/>
        </w:rPr>
        <w:t>.</w:t>
      </w:r>
      <w:r>
        <w:rPr>
          <w:rFonts w:ascii="Times New Roman" w:hAnsi="Times New Roman" w:cs="Times New Roman"/>
          <w:i/>
          <w:szCs w:val="21"/>
        </w:rPr>
        <w:br w:type="page"/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  <w:r>
        <w:drawing>
          <wp:inline distT="0" distB="0" distL="0" distR="0">
            <wp:extent cx="5274310" cy="34112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Figure S2.</w:t>
      </w:r>
      <w:r>
        <w:rPr>
          <w:rFonts w:ascii="Times New Roman" w:hAnsi="Times New Roman" w:cs="Times New Roman"/>
        </w:rPr>
        <w:t xml:space="preserve"> The metabolism pathway for lipoic acid.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5274310" cy="2990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</w:rPr>
        <w:t xml:space="preserve"> </w:t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Figure S3.</w:t>
      </w:r>
      <w:r>
        <w:rPr>
          <w:rFonts w:ascii="Times New Roman" w:hAnsi="Times New Roman" w:cs="Times New Roman"/>
        </w:rPr>
        <w:t xml:space="preserve"> The metabolism pathway for </w:t>
      </w:r>
      <w:bookmarkStart w:id="1" w:name="OLE_LINK221"/>
      <w:bookmarkStart w:id="2" w:name="OLE_LINK222"/>
      <w:r>
        <w:rPr>
          <w:rFonts w:ascii="Times New Roman" w:hAnsi="Times New Roman" w:cs="Times New Roman"/>
        </w:rPr>
        <w:t>vitamin B6</w:t>
      </w:r>
      <w:bookmarkEnd w:id="1"/>
      <w:bookmarkEnd w:id="2"/>
      <w:r>
        <w:rPr>
          <w:rFonts w:ascii="Times New Roman" w:hAnsi="Times New Roman" w:cs="Times New Roman"/>
        </w:rPr>
        <w:t xml:space="preserve">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5274310" cy="45053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Figure S4.</w:t>
      </w:r>
      <w:r>
        <w:rPr>
          <w:rFonts w:ascii="Times New Roman" w:hAnsi="Times New Roman" w:cs="Times New Roman"/>
        </w:rPr>
        <w:t xml:space="preserve"> The metabolism pathway for thiamine.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  <w:r>
        <w:drawing>
          <wp:inline distT="0" distB="0" distL="0" distR="0">
            <wp:extent cx="5274310" cy="37363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561" w:rightChars="-267"/>
        <w:rPr>
          <w:rFonts w:ascii="Times New Roman" w:hAnsi="Times New Roman" w:cs="Times New Roman"/>
        </w:rPr>
      </w:pP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Figure S5.</w:t>
      </w:r>
      <w:r>
        <w:rPr>
          <w:rFonts w:ascii="Times New Roman" w:hAnsi="Times New Roman" w:cs="Times New Roman"/>
        </w:rPr>
        <w:t xml:space="preserve"> The metabolism pathway for pantothenate and CoA.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>
      <w:pPr>
        <w:ind w:right="-561" w:rightChars="-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5274310" cy="68522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61" w:rightChars="-267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Figure S6.</w:t>
      </w:r>
      <w:r>
        <w:rPr>
          <w:rFonts w:ascii="Times New Roman" w:hAnsi="Times New Roman" w:cs="Times New Roman"/>
        </w:rPr>
        <w:t xml:space="preserve"> The metabolism pathway for biotin.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5274310" cy="37471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Figure S7.</w:t>
      </w:r>
      <w:r>
        <w:rPr>
          <w:rFonts w:ascii="Times New Roman" w:hAnsi="Times New Roman" w:cs="Times New Roman"/>
        </w:rPr>
        <w:t xml:space="preserve"> The metabolism pathway for folate. The box with green color indicates the pathway presented in </w:t>
      </w:r>
      <w:r>
        <w:rPr>
          <w:rFonts w:ascii="Times New Roman" w:hAnsi="Times New Roman"/>
          <w:i/>
          <w:color w:val="000000"/>
          <w:sz w:val="24"/>
          <w:szCs w:val="24"/>
        </w:rPr>
        <w:t>Cruznema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velatum.</w:t>
      </w: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ind w:right="-561" w:rightChars="-267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  <w:bookmarkStart w:id="3" w:name="_GoBack"/>
      <w:bookmarkEnd w:id="3"/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jM5NjQzMDQ2ZTk2MzU1NGM0MDE5MTM4NjJkOGMifQ=="/>
  </w:docVars>
  <w:rsids>
    <w:rsidRoot w:val="007803DC"/>
    <w:rsid w:val="00147235"/>
    <w:rsid w:val="0028082F"/>
    <w:rsid w:val="003A5556"/>
    <w:rsid w:val="003C1BA7"/>
    <w:rsid w:val="0042703A"/>
    <w:rsid w:val="00482D1C"/>
    <w:rsid w:val="00485BAF"/>
    <w:rsid w:val="00502E7C"/>
    <w:rsid w:val="00557D22"/>
    <w:rsid w:val="00576DD8"/>
    <w:rsid w:val="007803DC"/>
    <w:rsid w:val="00890389"/>
    <w:rsid w:val="008A618D"/>
    <w:rsid w:val="008D593A"/>
    <w:rsid w:val="00900DBD"/>
    <w:rsid w:val="00945410"/>
    <w:rsid w:val="00980DF4"/>
    <w:rsid w:val="00994924"/>
    <w:rsid w:val="00AF4EDB"/>
    <w:rsid w:val="00D5009A"/>
    <w:rsid w:val="00E5696E"/>
    <w:rsid w:val="00F64C61"/>
    <w:rsid w:val="00F77CDF"/>
    <w:rsid w:val="2D5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</Words>
  <Characters>760</Characters>
  <Lines>6</Lines>
  <Paragraphs>1</Paragraphs>
  <TotalTime>40</TotalTime>
  <ScaleCrop>false</ScaleCrop>
  <LinksUpToDate>false</LinksUpToDate>
  <CharactersWithSpaces>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2023-02-14T08:30:00Z</dcterms:created>
  <dc:creator>GF</dc:creator>
  <cp:lastModifiedBy>皓月禅心</cp:lastModifiedBy>
  <dcterms:modified xsi:type="dcterms:W3CDTF">2023-03-10T16:19:23Z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DAE51C9B953F4D0C9F53696C53274D25</vt:lpwstr>
  </property>
</Properties>
</file>