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8635" w14:textId="250E327C" w:rsidR="005F0EBC" w:rsidRPr="00C32F03" w:rsidRDefault="005F0EBC" w:rsidP="004A603A">
      <w:pPr>
        <w:jc w:val="left"/>
        <w:rPr>
          <w:rFonts w:ascii="Times New Roman" w:hAnsi="Times New Roman" w:cs="Times New Roman"/>
          <w:sz w:val="22"/>
        </w:rPr>
      </w:pPr>
      <w:r w:rsidRPr="00C32F03">
        <w:rPr>
          <w:rFonts w:ascii="Times New Roman" w:hAnsi="Times New Roman" w:cs="Times New Roman"/>
          <w:sz w:val="22"/>
        </w:rPr>
        <w:t xml:space="preserve">&lt;JLO </w:t>
      </w:r>
      <w:r w:rsidR="00C03E60" w:rsidRPr="00C32F03">
        <w:rPr>
          <w:rFonts w:ascii="Times New Roman" w:hAnsi="Times New Roman" w:cs="Times New Roman"/>
          <w:sz w:val="22"/>
        </w:rPr>
        <w:t>22-0473</w:t>
      </w:r>
      <w:r w:rsidRPr="00C32F03">
        <w:rPr>
          <w:rFonts w:ascii="Times New Roman" w:hAnsi="Times New Roman" w:cs="Times New Roman"/>
          <w:sz w:val="22"/>
        </w:rPr>
        <w:t>; supplementary material&gt;</w:t>
      </w:r>
    </w:p>
    <w:p w14:paraId="62DFB1C3" w14:textId="77777777" w:rsidR="00C03E60" w:rsidRPr="00C32F03" w:rsidRDefault="00C03E60" w:rsidP="004A603A">
      <w:pPr>
        <w:jc w:val="left"/>
        <w:rPr>
          <w:rFonts w:ascii="Times New Roman" w:hAnsi="Times New Roman" w:cs="Times New Roman"/>
          <w:sz w:val="22"/>
        </w:rPr>
      </w:pPr>
    </w:p>
    <w:p w14:paraId="5EE7F49A" w14:textId="75D2A6E9" w:rsidR="005F0EBC" w:rsidRPr="00C32F03" w:rsidRDefault="005F0EBC" w:rsidP="004A603A">
      <w:pPr>
        <w:jc w:val="left"/>
        <w:rPr>
          <w:rFonts w:ascii="Times New Roman" w:hAnsi="Times New Roman" w:cs="Times New Roman"/>
          <w:bCs/>
          <w:sz w:val="22"/>
        </w:rPr>
      </w:pPr>
      <w:r w:rsidRPr="00C32F03">
        <w:rPr>
          <w:rFonts w:ascii="Times New Roman" w:hAnsi="Times New Roman" w:cs="Times New Roman"/>
          <w:b/>
          <w:sz w:val="22"/>
        </w:rPr>
        <w:t xml:space="preserve">Table 1. </w:t>
      </w:r>
      <w:r w:rsidRPr="00C32F03">
        <w:rPr>
          <w:rFonts w:ascii="Times New Roman" w:hAnsi="Times New Roman" w:cs="Times New Roman"/>
          <w:bCs/>
          <w:sz w:val="22"/>
        </w:rPr>
        <w:t>The characteristics of the included studies</w:t>
      </w:r>
    </w:p>
    <w:tbl>
      <w:tblPr>
        <w:tblW w:w="5166" w:type="pct"/>
        <w:tblBorders>
          <w:top w:val="single" w:sz="2" w:space="0" w:color="000000"/>
          <w:bottom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644"/>
        <w:gridCol w:w="979"/>
        <w:gridCol w:w="837"/>
        <w:gridCol w:w="699"/>
        <w:gridCol w:w="1117"/>
        <w:gridCol w:w="1259"/>
        <w:gridCol w:w="840"/>
        <w:gridCol w:w="695"/>
        <w:gridCol w:w="1117"/>
        <w:gridCol w:w="1256"/>
        <w:gridCol w:w="1502"/>
        <w:gridCol w:w="876"/>
        <w:gridCol w:w="1954"/>
      </w:tblGrid>
      <w:tr w:rsidR="002707C5" w:rsidRPr="00C32F03" w14:paraId="7A041B9C" w14:textId="77777777" w:rsidTr="00123D41">
        <w:trPr>
          <w:trHeight w:val="2072"/>
        </w:trPr>
        <w:tc>
          <w:tcPr>
            <w:tcW w:w="42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2B13A77A" w14:textId="4E96D1D1" w:rsidR="00A10E0B" w:rsidRPr="00123D41" w:rsidRDefault="00116A7C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214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2C0CC7FE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32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0161187E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Design</w:t>
            </w:r>
          </w:p>
        </w:tc>
        <w:tc>
          <w:tcPr>
            <w:tcW w:w="27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04F55C9D" w14:textId="0AFC256E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Treated patients (</w:t>
            </w:r>
            <w:r w:rsidR="00116A7C" w:rsidRPr="00C32F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n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3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53EEA769" w14:textId="2EC49A4A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Sex (</w:t>
            </w:r>
            <w:r w:rsidR="00116A7C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m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/</w:t>
            </w:r>
            <w:r w:rsidR="00116A7C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f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7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05994B36" w14:textId="020A9A6A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Age (years, mean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±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SD or median</w:t>
            </w:r>
            <w:r w:rsidR="00116A7C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(range))</w:t>
            </w:r>
          </w:p>
        </w:tc>
        <w:tc>
          <w:tcPr>
            <w:tcW w:w="41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64E70598" w14:textId="0FA8FDA6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T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-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classification (</w:t>
            </w:r>
            <w:r w:rsidR="00975E92" w:rsidRPr="00123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975E92" w:rsidRPr="00123D41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  <w:r w:rsidR="00B62D1A" w:rsidRPr="00123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975E92" w:rsidRPr="00123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975E92" w:rsidRPr="00123D41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7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0DCE9427" w14:textId="61178D7D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Control patients (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n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3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49166047" w14:textId="2D70C8BA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Sex 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(m</w:t>
            </w:r>
            <w:r w:rsidR="0058170F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/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f)</w:t>
            </w:r>
          </w:p>
        </w:tc>
        <w:tc>
          <w:tcPr>
            <w:tcW w:w="37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7A7861E6" w14:textId="729061F0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Age (years, mean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±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SD or median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(range))</w:t>
            </w:r>
          </w:p>
        </w:tc>
        <w:tc>
          <w:tcPr>
            <w:tcW w:w="41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7750BA26" w14:textId="15C2841D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T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-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classification (</w:t>
            </w:r>
            <w:r w:rsidR="00975E92" w:rsidRPr="00123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975E92" w:rsidRPr="00123D41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  <w:r w:rsidR="00AB14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975E92" w:rsidRPr="00123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975E92" w:rsidRPr="00123D41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9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6F023EE9" w14:textId="625313DD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Tracer for </w:t>
            </w:r>
            <w:r w:rsidR="00975E92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sentinel node biopsy</w:t>
            </w:r>
          </w:p>
        </w:tc>
        <w:tc>
          <w:tcPr>
            <w:tcW w:w="29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44345B44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Nation</w:t>
            </w:r>
          </w:p>
        </w:tc>
        <w:tc>
          <w:tcPr>
            <w:tcW w:w="64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hideMark/>
          </w:tcPr>
          <w:p w14:paraId="279E2BD4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Outcomes</w:t>
            </w:r>
          </w:p>
        </w:tc>
      </w:tr>
      <w:tr w:rsidR="002707C5" w:rsidRPr="00C32F03" w14:paraId="288CE544" w14:textId="77777777" w:rsidTr="00123D41">
        <w:trPr>
          <w:trHeight w:val="1396"/>
        </w:trPr>
        <w:tc>
          <w:tcPr>
            <w:tcW w:w="425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0AA42756" w14:textId="36FB358C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Fan 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et al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.,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20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214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5685C4DD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325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64DE3C15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Retrospective cohort study</w:t>
            </w:r>
          </w:p>
        </w:tc>
        <w:tc>
          <w:tcPr>
            <w:tcW w:w="278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3CB3DDC0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232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5B4EECB5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21/9</w:t>
            </w:r>
          </w:p>
        </w:tc>
        <w:tc>
          <w:tcPr>
            <w:tcW w:w="371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7DDBD369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418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754A666A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17/13</w:t>
            </w:r>
          </w:p>
        </w:tc>
        <w:tc>
          <w:tcPr>
            <w:tcW w:w="279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4247F9B4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231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5E433858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30/22</w:t>
            </w:r>
          </w:p>
        </w:tc>
        <w:tc>
          <w:tcPr>
            <w:tcW w:w="371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53D56C86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417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3DB12161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27/25</w:t>
            </w:r>
          </w:p>
        </w:tc>
        <w:tc>
          <w:tcPr>
            <w:tcW w:w="499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4F5A51C4" w14:textId="282E027E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Lymphoscintigraphy, 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m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ethylene blue</w:t>
            </w:r>
          </w:p>
        </w:tc>
        <w:tc>
          <w:tcPr>
            <w:tcW w:w="291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56FFA9A3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649" w:type="pct"/>
            <w:tcBorders>
              <w:top w:val="single" w:sz="2" w:space="0" w:color="000000"/>
            </w:tcBorders>
            <w:shd w:val="clear" w:color="auto" w:fill="auto"/>
            <w:noWrap/>
            <w:hideMark/>
          </w:tcPr>
          <w:p w14:paraId="291BBF76" w14:textId="717776EE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isease-free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(10 years), </w:t>
            </w:r>
            <w:r w:rsidR="00975E92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overall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(3, 5</w:t>
            </w:r>
            <w:r w:rsidR="00AB14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,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10 years)</w:t>
            </w:r>
          </w:p>
        </w:tc>
      </w:tr>
      <w:tr w:rsidR="002707C5" w:rsidRPr="00C32F03" w14:paraId="649036C9" w14:textId="77777777" w:rsidTr="00123D41">
        <w:trPr>
          <w:trHeight w:val="1726"/>
        </w:trPr>
        <w:tc>
          <w:tcPr>
            <w:tcW w:w="425" w:type="pct"/>
            <w:shd w:val="clear" w:color="auto" w:fill="auto"/>
            <w:noWrap/>
            <w:hideMark/>
          </w:tcPr>
          <w:p w14:paraId="40441B8C" w14:textId="232C4A72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Chung 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et al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.,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21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0FE1AC65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5F9F4CB2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Prospective cohort study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7D4E36BB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14:paraId="3C969D9E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19/21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79298FA3" w14:textId="4D9868F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48.8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±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14.1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14:paraId="4A7846DE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29/11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034386CC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096F2E9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6/15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49F1B454" w14:textId="56ABE666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55.9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±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14:paraId="589FE9A2" w14:textId="0F1A6DFE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10/11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14:paraId="09D2D401" w14:textId="03FA618C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Lymphoscintigraphy, 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h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and-held gamma probe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781BF045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Korea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62DD72F6" w14:textId="47DB1854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isease-free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(10 years), 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disease-specific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(10 years), </w:t>
            </w:r>
            <w:r w:rsidR="00975E92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overall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(10 years)</w:t>
            </w:r>
          </w:p>
        </w:tc>
      </w:tr>
      <w:tr w:rsidR="002707C5" w:rsidRPr="00C32F03" w14:paraId="7EF148B0" w14:textId="77777777" w:rsidTr="00123D41">
        <w:trPr>
          <w:trHeight w:val="1381"/>
        </w:trPr>
        <w:tc>
          <w:tcPr>
            <w:tcW w:w="425" w:type="pct"/>
            <w:shd w:val="clear" w:color="auto" w:fill="auto"/>
            <w:noWrap/>
            <w:hideMark/>
          </w:tcPr>
          <w:p w14:paraId="0B929AAF" w14:textId="3B411F10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de Carvalho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et al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.,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22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1244E100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7778840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Retrospective cohort study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56E083C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14:paraId="493EE433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25/5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0CC562C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58.86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14:paraId="0B6B3580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8/22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2AF034BC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C23E3D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18/4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67E89D3F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58.1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14:paraId="61E57A89" w14:textId="4C518CC4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6/16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14:paraId="3B9AD540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Lymphoscintigraphy, SPECT-CT scan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3DF3DF4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Brazil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4FC97744" w14:textId="6F9220E1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isease-free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(10 years)</w:t>
            </w:r>
          </w:p>
        </w:tc>
      </w:tr>
      <w:tr w:rsidR="002707C5" w:rsidRPr="00C32F03" w14:paraId="0FF70CAC" w14:textId="77777777" w:rsidTr="00123D41">
        <w:trPr>
          <w:trHeight w:val="690"/>
        </w:trPr>
        <w:tc>
          <w:tcPr>
            <w:tcW w:w="425" w:type="pct"/>
            <w:shd w:val="clear" w:color="auto" w:fill="auto"/>
            <w:noWrap/>
            <w:hideMark/>
          </w:tcPr>
          <w:p w14:paraId="097E71BD" w14:textId="22C3C9BA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lastRenderedPageBreak/>
              <w:t xml:space="preserve">Hernando 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et al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.,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23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52DE256B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2F4E57D5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Prospective cohort study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B8C57AC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14:paraId="020C64C3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23/9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3082494F" w14:textId="5404443C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65.8 (45</w:t>
            </w:r>
            <w:r w:rsidR="0058170F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–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81)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14:paraId="11432596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17/15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5805935A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8F2D5CF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28/13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4701588A" w14:textId="42BA8C3C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66.7 (40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–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90)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14:paraId="19AE8705" w14:textId="09A2BCDB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19/22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14:paraId="577E78F9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Lymphoscintigraphy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9F3BE1A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06D0B687" w14:textId="6BB59EB9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isease-free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(5 years), </w:t>
            </w:r>
            <w:r w:rsidR="00975E92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overall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(5 years), 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disease-specific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(5 years)</w:t>
            </w:r>
          </w:p>
        </w:tc>
      </w:tr>
      <w:tr w:rsidR="002707C5" w:rsidRPr="00C32F03" w14:paraId="7A2DD4BD" w14:textId="77777777" w:rsidTr="00123D41">
        <w:trPr>
          <w:trHeight w:val="144"/>
        </w:trPr>
        <w:tc>
          <w:tcPr>
            <w:tcW w:w="425" w:type="pct"/>
            <w:shd w:val="clear" w:color="auto" w:fill="auto"/>
            <w:noWrap/>
            <w:hideMark/>
          </w:tcPr>
          <w:p w14:paraId="13ADDBBC" w14:textId="20D930C8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proofErr w:type="spellStart"/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Seferin</w:t>
            </w:r>
            <w:proofErr w:type="spellEnd"/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et al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.,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31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0FD36616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3C00029B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Prospective cohort study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6770B904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14:paraId="6A76BDF2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24/11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6861D18A" w14:textId="7C2B9C1A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59.8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±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14:paraId="0BB0992A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27/8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10F0A7AB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B5D0291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28/7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3A385E66" w14:textId="762ADC8D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61.9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±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11.4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14:paraId="1F8A5449" w14:textId="31970629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13/22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14:paraId="18D03735" w14:textId="09D41C8D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Lymphoscintigraphy with SPECT-CT, 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h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and-held gamma probe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06E2B90F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Brazil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42E22EE5" w14:textId="30D54F7A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isease-free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(5 years), </w:t>
            </w:r>
            <w:r w:rsidR="00975E92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overall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(5 years), 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disease-specific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(10 years)</w:t>
            </w:r>
          </w:p>
        </w:tc>
      </w:tr>
      <w:tr w:rsidR="002707C5" w:rsidRPr="00C32F03" w14:paraId="338A8125" w14:textId="77777777" w:rsidTr="00123D41">
        <w:trPr>
          <w:trHeight w:val="144"/>
        </w:trPr>
        <w:tc>
          <w:tcPr>
            <w:tcW w:w="425" w:type="pct"/>
            <w:shd w:val="clear" w:color="auto" w:fill="auto"/>
            <w:noWrap/>
            <w:hideMark/>
          </w:tcPr>
          <w:p w14:paraId="4B4756CA" w14:textId="0256C07C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Cramer 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et al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.,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24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0AD94E3D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4D9B3F3E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Retrospective cohort study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7D6197E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14:paraId="4B9CED29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133/107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5E43176F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14:paraId="4EE6D97C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170/70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093253ED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8088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ACA5175" w14:textId="3A0E053F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4745/3343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6EA3F5B4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14:paraId="2315F281" w14:textId="68A61A9F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4039/4049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14:paraId="1C04F8EF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Not specified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05CEB9E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66BE748F" w14:textId="47584238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O</w:t>
            </w:r>
            <w:r w:rsidR="00975E92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verall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(3 years)</w:t>
            </w:r>
          </w:p>
        </w:tc>
      </w:tr>
      <w:tr w:rsidR="002707C5" w:rsidRPr="00C32F03" w14:paraId="01BF519D" w14:textId="77777777" w:rsidTr="00123D41">
        <w:trPr>
          <w:trHeight w:val="144"/>
        </w:trPr>
        <w:tc>
          <w:tcPr>
            <w:tcW w:w="425" w:type="pct"/>
            <w:shd w:val="clear" w:color="auto" w:fill="auto"/>
            <w:noWrap/>
            <w:hideMark/>
          </w:tcPr>
          <w:p w14:paraId="63893132" w14:textId="36C9542F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Moya-Plana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et al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.,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25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2018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21313351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778A7055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Prospective cohort study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50458C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14:paraId="62CE9359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151/78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29F79AFE" w14:textId="1FF12CDF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56 (26</w:t>
            </w:r>
            <w:r w:rsidR="0058170F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–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86) (total)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14:paraId="1B01DE10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119/110 (total)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31B0D2D9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79589CC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71" w:type="pct"/>
            <w:shd w:val="clear" w:color="auto" w:fill="auto"/>
            <w:noWrap/>
            <w:hideMark/>
          </w:tcPr>
          <w:p w14:paraId="6ED45570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14:paraId="62DE8CF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499" w:type="pct"/>
            <w:shd w:val="clear" w:color="auto" w:fill="auto"/>
            <w:noWrap/>
            <w:hideMark/>
          </w:tcPr>
          <w:p w14:paraId="0ED2D37F" w14:textId="7A81BDE6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SPECT</w:t>
            </w:r>
            <w:r w:rsidR="00AB14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-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CT, 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l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ymphoscintigraphy with a hand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-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held gamma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probe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49087AF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656228AD" w14:textId="03027E05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isease-free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(5 years), </w:t>
            </w:r>
            <w:r w:rsidR="00975E92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overall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(5 years)</w:t>
            </w:r>
          </w:p>
        </w:tc>
      </w:tr>
      <w:tr w:rsidR="002707C5" w:rsidRPr="00C32F03" w14:paraId="45103613" w14:textId="77777777" w:rsidTr="00123D41">
        <w:trPr>
          <w:trHeight w:val="144"/>
        </w:trPr>
        <w:tc>
          <w:tcPr>
            <w:tcW w:w="425" w:type="pct"/>
            <w:shd w:val="clear" w:color="auto" w:fill="auto"/>
            <w:noWrap/>
            <w:hideMark/>
          </w:tcPr>
          <w:p w14:paraId="23AAA291" w14:textId="7A1983AF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Sundaram </w:t>
            </w:r>
            <w:r w:rsidR="00E8070D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&amp; </w:t>
            </w:r>
            <w:r w:rsidR="00E8070D" w:rsidRPr="00123D41">
              <w:rPr>
                <w:rFonts w:ascii="Times New Roman" w:hAnsi="Times New Roman" w:cs="Times New Roman"/>
                <w:sz w:val="18"/>
                <w:szCs w:val="18"/>
              </w:rPr>
              <w:t>Subramanyam,</w:t>
            </w:r>
            <w:r w:rsidR="00E8070D" w:rsidRPr="00B62D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26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642B66CC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701393F2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Prospective cohort study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3A1FA413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14:paraId="6AE63BCD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42/16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1D910B94" w14:textId="11A939D2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33</w:t>
            </w:r>
            <w:r w:rsidR="0058170F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–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65 (total)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14:paraId="6075FA04" w14:textId="5CE0E3FF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T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bscript"/>
                <w:lang w:eastAsia="en-GB"/>
              </w:rPr>
              <w:t>1</w:t>
            </w:r>
            <w:r w:rsidR="00B62D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bscript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(25)</w:t>
            </w:r>
            <w:r w:rsidR="00B62D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,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T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bscript"/>
                <w:lang w:eastAsia="en-GB"/>
              </w:rPr>
              <w:t>2</w:t>
            </w:r>
            <w:r w:rsidR="00B62D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bscript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(26)</w:t>
            </w:r>
            <w:r w:rsidR="00B62D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,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T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bscript"/>
                <w:lang w:eastAsia="en-GB"/>
              </w:rPr>
              <w:t>3</w:t>
            </w:r>
            <w:r w:rsidR="00B62D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bscript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(7) (total)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29054FB5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4BCFADF1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71" w:type="pct"/>
            <w:shd w:val="clear" w:color="auto" w:fill="auto"/>
            <w:noWrap/>
            <w:hideMark/>
          </w:tcPr>
          <w:p w14:paraId="7950D28F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14:paraId="2CAABA40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499" w:type="pct"/>
            <w:shd w:val="clear" w:color="auto" w:fill="auto"/>
            <w:noWrap/>
            <w:hideMark/>
          </w:tcPr>
          <w:p w14:paraId="2CB7FE4C" w14:textId="3A979BC8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Lymphoscintigraphy, 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h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and-held gamma probe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9A3634E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India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7C257BED" w14:textId="654021F1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isease-free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(5 years)</w:t>
            </w:r>
          </w:p>
        </w:tc>
      </w:tr>
      <w:tr w:rsidR="002707C5" w:rsidRPr="00C32F03" w14:paraId="5568A93B" w14:textId="77777777" w:rsidTr="00123D41">
        <w:trPr>
          <w:trHeight w:val="1396"/>
        </w:trPr>
        <w:tc>
          <w:tcPr>
            <w:tcW w:w="425" w:type="pct"/>
            <w:shd w:val="clear" w:color="auto" w:fill="auto"/>
            <w:noWrap/>
            <w:hideMark/>
          </w:tcPr>
          <w:p w14:paraId="19F73DDD" w14:textId="35D2840A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den Toom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et al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.,</w:t>
            </w:r>
            <w:r w:rsidR="00E8070D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27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3D0CFB49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3610FB9B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Retrospective cohort study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44914C3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371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14:paraId="1525AAD5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250/237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6117607A" w14:textId="68631608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63 (55</w:t>
            </w:r>
            <w:r w:rsidR="0058170F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–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69)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14:paraId="58DD23E0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335/153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36B6365F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0750A6DE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212/178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3C1E49A5" w14:textId="3C5117EF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62 (53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–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70)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14:paraId="70FC253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136/254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14:paraId="142CACDD" w14:textId="0E0FFC4D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Lymphoscintigraphy with SPECT-CT, 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h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and-held gamma probe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10F053C2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6EC9F92A" w14:textId="680BCD04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isease-free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(5 years), 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disease-specific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(3, 5 years) </w:t>
            </w:r>
          </w:p>
        </w:tc>
      </w:tr>
      <w:tr w:rsidR="002707C5" w:rsidRPr="00C32F03" w14:paraId="03B78728" w14:textId="77777777" w:rsidTr="00123D41">
        <w:trPr>
          <w:trHeight w:val="144"/>
        </w:trPr>
        <w:tc>
          <w:tcPr>
            <w:tcW w:w="425" w:type="pct"/>
            <w:shd w:val="clear" w:color="auto" w:fill="auto"/>
            <w:noWrap/>
            <w:hideMark/>
          </w:tcPr>
          <w:p w14:paraId="2B3128B5" w14:textId="5B060720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proofErr w:type="spellStart"/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lastRenderedPageBreak/>
              <w:t>Garrel</w:t>
            </w:r>
            <w:proofErr w:type="spellEnd"/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et al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.,</w:t>
            </w:r>
            <w:r w:rsidR="00E8070D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28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17F36D4A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70B478EF" w14:textId="27C4FE94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Randomi</w:t>
            </w:r>
            <w:r w:rsidR="00AC65AD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s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ed</w:t>
            </w:r>
            <w:r w:rsidR="00AC65AD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,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controlled trial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6906CD9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14:paraId="7DAC9CC4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88/52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62070689" w14:textId="36B39800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60.8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±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12.0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14:paraId="42928F02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88/52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0B852662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0E1E2B3C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101/38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366D680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59.1 ± 10.9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14:paraId="1E3C961C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91/52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14:paraId="1557612E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Lymphoscintigraphy with transoral radiotracer injection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437CD3E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7BC9B1D1" w14:textId="602DE28A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isease-free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(3, 5, 10 years), 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disease-specific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(3, 5, 10 years), </w:t>
            </w:r>
            <w:r w:rsidR="00975E92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overall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(3, 5, 10 years)</w:t>
            </w:r>
          </w:p>
        </w:tc>
      </w:tr>
      <w:tr w:rsidR="002707C5" w:rsidRPr="00C32F03" w14:paraId="010E6B8A" w14:textId="77777777" w:rsidTr="00123D41">
        <w:trPr>
          <w:trHeight w:val="144"/>
        </w:trPr>
        <w:tc>
          <w:tcPr>
            <w:tcW w:w="425" w:type="pct"/>
            <w:shd w:val="clear" w:color="auto" w:fill="auto"/>
            <w:noWrap/>
            <w:hideMark/>
          </w:tcPr>
          <w:p w14:paraId="32C8B01F" w14:textId="565FB0E0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Hasegawa 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et al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.,</w:t>
            </w:r>
            <w:r w:rsidR="00E8070D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29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58195DA4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602A4840" w14:textId="5B58AAF6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Randomi</w:t>
            </w:r>
            <w:r w:rsidR="00AC65AD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s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ed</w:t>
            </w:r>
            <w:r w:rsidR="00AC65AD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,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controlled trial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512299C3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14:paraId="3771B7DD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89/45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20A773F3" w14:textId="73A38F9B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63 (90</w:t>
            </w:r>
            <w:r w:rsidR="0058170F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–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21)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14:paraId="531802E0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26/108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5B331DCB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30AED74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90/47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65446CE1" w14:textId="64C93141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63 (85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–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28)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14:paraId="0D11E99B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25/112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14:paraId="033B8813" w14:textId="0BE38E23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Lymphoscintigraphy, 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h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and-held gamma probe with or without single-photon emission </w:t>
            </w:r>
            <w:r w:rsidR="00AB14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computed tomography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1DDFED30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329B0B54" w14:textId="62788C4C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isease-free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(3 years), </w:t>
            </w:r>
            <w:r w:rsidR="00975E92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overall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(3 years)</w:t>
            </w:r>
          </w:p>
        </w:tc>
      </w:tr>
      <w:tr w:rsidR="002707C5" w:rsidRPr="00C32F03" w14:paraId="6A4B3896" w14:textId="77777777" w:rsidTr="00123D41">
        <w:trPr>
          <w:trHeight w:val="1396"/>
        </w:trPr>
        <w:tc>
          <w:tcPr>
            <w:tcW w:w="425" w:type="pct"/>
            <w:shd w:val="clear" w:color="auto" w:fill="auto"/>
            <w:noWrap/>
            <w:hideMark/>
          </w:tcPr>
          <w:p w14:paraId="21402E54" w14:textId="2D88932B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Park 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et al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.,</w:t>
            </w:r>
            <w:r w:rsidR="00E8070D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30</w:t>
            </w:r>
            <w:r w:rsidR="00116A7C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14:paraId="363E11E7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0641918B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Retrospective cohort study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14:paraId="1C79295C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14:paraId="6F347A2C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59/32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4B3FDC53" w14:textId="7137F31D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51.27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±</w:t>
            </w:r>
            <w:r w:rsidR="0058170F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13.86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14:paraId="6BF43D2F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73/18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13DC1688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D592CF4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70/50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611E8CC4" w14:textId="3D638F7A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54.52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±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13.34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14:paraId="6C0B2C6B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138/73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14:paraId="03B3F053" w14:textId="45AB33F9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Lymphoscintigraphy, </w:t>
            </w:r>
            <w:r w:rsidR="002707C5"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h</w:t>
            </w: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and-held gamma probe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9173F8D" w14:textId="77777777" w:rsidR="00A10E0B" w:rsidRPr="00123D41" w:rsidRDefault="00A10E0B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Korea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7BEDBBD1" w14:textId="1420DC77" w:rsidR="00A10E0B" w:rsidRPr="00123D41" w:rsidRDefault="002707C5" w:rsidP="004A603A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C32F0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D</w:t>
            </w:r>
            <w:r w:rsidR="00862760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isease-free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(5 years), </w:t>
            </w:r>
            <w:r w:rsidR="00975E92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>overall survival</w:t>
            </w:r>
            <w:r w:rsidR="00A10E0B" w:rsidRPr="00123D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en-GB"/>
              </w:rPr>
              <w:t xml:space="preserve"> (5 years)</w:t>
            </w:r>
          </w:p>
        </w:tc>
      </w:tr>
    </w:tbl>
    <w:p w14:paraId="21A44626" w14:textId="5F41F82D" w:rsidR="000A26B5" w:rsidRPr="00C32F03" w:rsidRDefault="0058170F" w:rsidP="004A603A">
      <w:pPr>
        <w:adjustRightInd w:val="0"/>
        <w:spacing w:after="0" w:line="360" w:lineRule="auto"/>
        <w:contextualSpacing/>
        <w:jc w:val="left"/>
        <w:rPr>
          <w:rFonts w:ascii="Times New Roman" w:hAnsi="Times New Roman" w:cs="Times New Roman"/>
          <w:b/>
          <w:color w:val="000000"/>
          <w:sz w:val="22"/>
        </w:rPr>
      </w:pPr>
      <w:r w:rsidRPr="00C32F03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en-GB"/>
        </w:rPr>
        <w:t>m = male; f = female; SD = standard deviation</w:t>
      </w:r>
      <w:r w:rsidR="002707C5" w:rsidRPr="00C32F03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en-GB"/>
        </w:rPr>
        <w:t>;</w:t>
      </w:r>
      <w:r w:rsidR="00C32F03" w:rsidRPr="00C32F03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en-GB"/>
        </w:rPr>
        <w:t xml:space="preserve"> SPECT-CT = </w:t>
      </w:r>
      <w:r w:rsidR="00C32F03" w:rsidRPr="00C32F03">
        <w:rPr>
          <w:rFonts w:ascii="Times New Roman" w:hAnsi="Times New Roman" w:cs="Times New Roman"/>
          <w:color w:val="000000"/>
          <w:sz w:val="22"/>
        </w:rPr>
        <w:t>single-photon emission computed tomography</w:t>
      </w:r>
      <w:r w:rsidR="00C32F03" w:rsidRPr="00123D41">
        <w:rPr>
          <w:rFonts w:ascii="Times New Roman" w:hAnsi="Times New Roman" w:cs="Times New Roman"/>
          <w:color w:val="000000"/>
          <w:sz w:val="22"/>
        </w:rPr>
        <w:t>–</w:t>
      </w:r>
      <w:r w:rsidR="00C32F03" w:rsidRPr="00C32F03">
        <w:rPr>
          <w:rFonts w:ascii="Times New Roman" w:hAnsi="Times New Roman" w:cs="Times New Roman"/>
          <w:color w:val="000000"/>
          <w:sz w:val="22"/>
        </w:rPr>
        <w:t>computed tomography</w:t>
      </w:r>
      <w:r w:rsidR="00C32F03" w:rsidRPr="00C32F03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en-GB"/>
        </w:rPr>
        <w:t>;</w:t>
      </w:r>
      <w:r w:rsidR="002707C5" w:rsidRPr="00C32F03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en-GB"/>
        </w:rPr>
        <w:t xml:space="preserve"> NA = not</w:t>
      </w:r>
      <w:r w:rsidR="00C03E60" w:rsidRPr="00C32F03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en-GB"/>
        </w:rPr>
        <w:t xml:space="preserve"> </w:t>
      </w:r>
      <w:r w:rsidR="00C32F03" w:rsidRPr="00C32F03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en-GB"/>
        </w:rPr>
        <w:t>available</w:t>
      </w:r>
    </w:p>
    <w:p w14:paraId="15A98B32" w14:textId="718CC3AB" w:rsidR="00A10E0B" w:rsidRPr="00C32F03" w:rsidRDefault="00A10E0B" w:rsidP="004A603A">
      <w:pPr>
        <w:adjustRightInd w:val="0"/>
        <w:spacing w:after="0" w:line="360" w:lineRule="auto"/>
        <w:contextualSpacing/>
        <w:jc w:val="left"/>
        <w:rPr>
          <w:rFonts w:ascii="Times New Roman" w:hAnsi="Times New Roman" w:cs="Times New Roman"/>
          <w:b/>
          <w:color w:val="000000"/>
          <w:sz w:val="22"/>
        </w:rPr>
      </w:pPr>
    </w:p>
    <w:p w14:paraId="31850FE2" w14:textId="1907C580" w:rsidR="00A10E0B" w:rsidRPr="00C32F03" w:rsidRDefault="00A10E0B" w:rsidP="004A603A">
      <w:pPr>
        <w:adjustRightInd w:val="0"/>
        <w:spacing w:after="0" w:line="360" w:lineRule="auto"/>
        <w:contextualSpacing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C32F03">
        <w:rPr>
          <w:rFonts w:ascii="Times New Roman" w:hAnsi="Times New Roman" w:cs="Times New Roman"/>
          <w:b/>
          <w:color w:val="000000"/>
          <w:sz w:val="22"/>
        </w:rPr>
        <w:t xml:space="preserve">Table 2. </w:t>
      </w:r>
      <w:r w:rsidRPr="00C32F03">
        <w:rPr>
          <w:rFonts w:ascii="Times New Roman" w:hAnsi="Times New Roman" w:cs="Times New Roman"/>
          <w:bCs/>
          <w:color w:val="000000"/>
          <w:sz w:val="22"/>
        </w:rPr>
        <w:t>Methodol</w:t>
      </w:r>
      <w:r w:rsidRPr="00123D41">
        <w:rPr>
          <w:rFonts w:ascii="Times New Roman" w:hAnsi="Times New Roman" w:cs="Times New Roman"/>
          <w:bCs/>
          <w:color w:val="000000"/>
          <w:sz w:val="22"/>
        </w:rPr>
        <w:t>ogic</w:t>
      </w:r>
      <w:r w:rsidRPr="00C32F03">
        <w:rPr>
          <w:rFonts w:ascii="Times New Roman" w:hAnsi="Times New Roman" w:cs="Times New Roman"/>
          <w:bCs/>
          <w:color w:val="000000"/>
          <w:sz w:val="22"/>
        </w:rPr>
        <w:t>al quality of the included studies</w:t>
      </w:r>
      <w:r w:rsidR="00C064A1">
        <w:rPr>
          <w:rFonts w:ascii="Times New Roman" w:hAnsi="Times New Roman" w:cs="Times New Roman"/>
          <w:bCs/>
          <w:color w:val="000000"/>
          <w:sz w:val="22"/>
        </w:rPr>
        <w:t xml:space="preserve">: </w:t>
      </w:r>
      <w:r w:rsidR="00C064A1" w:rsidRPr="00C32F03">
        <w:rPr>
          <w:rFonts w:ascii="Times New Roman" w:eastAsia="AdvP40668" w:hAnsi="Times New Roman" w:cs="Times New Roman"/>
          <w:color w:val="000000"/>
          <w:sz w:val="22"/>
        </w:rPr>
        <w:t>Risk of Bias in Non-Randomized Studies of Interventions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588"/>
        <w:gridCol w:w="1404"/>
        <w:gridCol w:w="1453"/>
        <w:gridCol w:w="1441"/>
        <w:gridCol w:w="1061"/>
        <w:gridCol w:w="1441"/>
        <w:gridCol w:w="1063"/>
      </w:tblGrid>
      <w:tr w:rsidR="00A10E0B" w:rsidRPr="00C32F03" w14:paraId="5EE4EBA3" w14:textId="77777777" w:rsidTr="00123D41">
        <w:trPr>
          <w:trHeight w:val="880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0003088D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Study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F6BC9D0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Confounding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14:paraId="3529FA12" w14:textId="77777777" w:rsidR="00A10E0B" w:rsidRPr="00123D41" w:rsidRDefault="00A10E0B" w:rsidP="004A603A">
            <w:pPr>
              <w:adjustRightIn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Selection of</w:t>
            </w:r>
          </w:p>
          <w:p w14:paraId="266B4D1C" w14:textId="0B2C548F" w:rsidR="00A10E0B" w:rsidRPr="00123D41" w:rsidRDefault="00BA5C73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BA5C73">
              <w:rPr>
                <w:rFonts w:ascii="Times New Roman" w:hAnsi="Times New Roman"/>
                <w:color w:val="000000"/>
              </w:rPr>
              <w:t>p</w:t>
            </w:r>
            <w:r w:rsidR="00A10E0B" w:rsidRPr="00123D41">
              <w:rPr>
                <w:rFonts w:ascii="Times New Roman" w:hAnsi="Times New Roman"/>
                <w:color w:val="000000"/>
              </w:rPr>
              <w:t>articipants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7D79EEB7" w14:textId="77777777" w:rsidR="00A10E0B" w:rsidRPr="00123D41" w:rsidRDefault="00A10E0B" w:rsidP="004A603A">
            <w:pPr>
              <w:adjustRightIn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Classi</w:t>
            </w:r>
            <w:r w:rsidRPr="00123D41">
              <w:rPr>
                <w:rFonts w:ascii="Times New Roman" w:eastAsia="AdvOTf0129623+fb" w:hAnsi="Times New Roman"/>
                <w:color w:val="000000"/>
              </w:rPr>
              <w:t>fi</w:t>
            </w:r>
            <w:r w:rsidRPr="00123D41">
              <w:rPr>
                <w:rFonts w:ascii="Times New Roman" w:hAnsi="Times New Roman"/>
                <w:color w:val="000000"/>
              </w:rPr>
              <w:t>cation of</w:t>
            </w:r>
          </w:p>
          <w:p w14:paraId="49C7EC3C" w14:textId="65F1C03E" w:rsidR="00A10E0B" w:rsidRPr="00123D41" w:rsidRDefault="00BA5C73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BA5C73">
              <w:rPr>
                <w:rFonts w:ascii="Times New Roman" w:hAnsi="Times New Roman"/>
                <w:color w:val="000000"/>
              </w:rPr>
              <w:t>interve</w:t>
            </w:r>
            <w:r w:rsidR="00A10E0B" w:rsidRPr="00123D41">
              <w:rPr>
                <w:rFonts w:ascii="Times New Roman" w:hAnsi="Times New Roman"/>
                <w:color w:val="000000"/>
              </w:rPr>
              <w:t>ntions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15BEA4DF" w14:textId="30927522" w:rsidR="00A10E0B" w:rsidRPr="00123D41" w:rsidRDefault="00A10E0B" w:rsidP="004A603A">
            <w:pPr>
              <w:adjustRightIn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Deviations f</w:t>
            </w:r>
            <w:r w:rsidR="00BA5C73" w:rsidRPr="00BA5C73">
              <w:rPr>
                <w:rFonts w:ascii="Times New Roman" w:hAnsi="Times New Roman"/>
                <w:color w:val="000000"/>
              </w:rPr>
              <w:t>rom</w:t>
            </w:r>
          </w:p>
          <w:p w14:paraId="4DC7C824" w14:textId="29CCC600" w:rsidR="00A10E0B" w:rsidRPr="00123D41" w:rsidRDefault="00BA5C73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BA5C73">
              <w:rPr>
                <w:rFonts w:ascii="Times New Roman" w:hAnsi="Times New Roman"/>
                <w:color w:val="000000"/>
              </w:rPr>
              <w:t>interventions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0455F1B6" w14:textId="77777777" w:rsidR="00A10E0B" w:rsidRPr="00123D41" w:rsidRDefault="00A10E0B" w:rsidP="004A603A">
            <w:pPr>
              <w:adjustRightIn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Missing</w:t>
            </w:r>
          </w:p>
          <w:p w14:paraId="7026846B" w14:textId="5454677A" w:rsidR="00A10E0B" w:rsidRPr="00123D41" w:rsidRDefault="00BA5C73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BA5C73">
              <w:rPr>
                <w:rFonts w:ascii="Times New Roman" w:hAnsi="Times New Roman"/>
                <w:color w:val="000000"/>
              </w:rPr>
              <w:t>da</w:t>
            </w:r>
            <w:r w:rsidR="00A10E0B" w:rsidRPr="00123D41">
              <w:rPr>
                <w:rFonts w:ascii="Times New Roman" w:hAnsi="Times New Roman"/>
                <w:color w:val="000000"/>
              </w:rPr>
              <w:t>ta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10B2EAA5" w14:textId="77777777" w:rsidR="00A10E0B" w:rsidRPr="00123D41" w:rsidRDefault="00A10E0B" w:rsidP="004A603A">
            <w:pPr>
              <w:adjustRightIn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Measurement of</w:t>
            </w:r>
          </w:p>
          <w:p w14:paraId="3AE07377" w14:textId="34F0774E" w:rsidR="00A10E0B" w:rsidRPr="00123D41" w:rsidRDefault="00BA5C73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BA5C73">
              <w:rPr>
                <w:rFonts w:ascii="Times New Roman" w:hAnsi="Times New Roman"/>
                <w:color w:val="000000"/>
              </w:rPr>
              <w:t>ou</w:t>
            </w:r>
            <w:r w:rsidR="00A10E0B" w:rsidRPr="00123D41">
              <w:rPr>
                <w:rFonts w:ascii="Times New Roman" w:hAnsi="Times New Roman"/>
                <w:color w:val="000000"/>
              </w:rPr>
              <w:t>tcomes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FBA668F" w14:textId="77777777" w:rsidR="00A10E0B" w:rsidRPr="00123D41" w:rsidRDefault="00A10E0B" w:rsidP="004A603A">
            <w:pPr>
              <w:adjustRightIn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Selection of</w:t>
            </w:r>
          </w:p>
          <w:p w14:paraId="3CFD5CFB" w14:textId="76D7A207" w:rsidR="00A10E0B" w:rsidRPr="00123D41" w:rsidRDefault="00BA5C73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BA5C73">
              <w:rPr>
                <w:rFonts w:ascii="Times New Roman" w:hAnsi="Times New Roman"/>
                <w:color w:val="000000"/>
              </w:rPr>
              <w:t>res</w:t>
            </w:r>
            <w:r w:rsidR="00A10E0B" w:rsidRPr="00123D41">
              <w:rPr>
                <w:rFonts w:ascii="Times New Roman" w:hAnsi="Times New Roman"/>
                <w:color w:val="000000"/>
              </w:rPr>
              <w:t>ults</w:t>
            </w:r>
          </w:p>
        </w:tc>
      </w:tr>
      <w:tr w:rsidR="00A10E0B" w:rsidRPr="00C32F03" w14:paraId="622E7939" w14:textId="77777777" w:rsidTr="00123D41">
        <w:trPr>
          <w:trHeight w:val="434"/>
        </w:trPr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0F30BFFB" w14:textId="62916F8F" w:rsidR="00A10E0B" w:rsidRPr="00123D41" w:rsidRDefault="0058170F" w:rsidP="004A603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Fan </w:t>
            </w:r>
            <w:r w:rsidRPr="00123D41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n-GB"/>
              </w:rPr>
              <w:t>et al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.,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en-GB"/>
              </w:rPr>
              <w:t>20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 2014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5C41CC02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633C6209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Serious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1E89D008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27FE97CD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6D126597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75D0550D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14:paraId="545BD606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</w:tr>
      <w:tr w:rsidR="00A10E0B" w:rsidRPr="00C32F03" w14:paraId="4DA8B6B1" w14:textId="77777777" w:rsidTr="00123D41">
        <w:trPr>
          <w:trHeight w:val="445"/>
        </w:trPr>
        <w:tc>
          <w:tcPr>
            <w:tcW w:w="1542" w:type="dxa"/>
            <w:vAlign w:val="center"/>
          </w:tcPr>
          <w:p w14:paraId="2BED5FC4" w14:textId="0071B40B" w:rsidR="00A10E0B" w:rsidRPr="00123D41" w:rsidRDefault="0058170F" w:rsidP="004A603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lastRenderedPageBreak/>
              <w:t xml:space="preserve">Chung </w:t>
            </w:r>
            <w:r w:rsidRPr="00123D41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n-GB"/>
              </w:rPr>
              <w:t>et al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.,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en-GB"/>
              </w:rPr>
              <w:t>21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 2015</w:t>
            </w:r>
          </w:p>
        </w:tc>
        <w:tc>
          <w:tcPr>
            <w:tcW w:w="1588" w:type="dxa"/>
          </w:tcPr>
          <w:p w14:paraId="4C7FB6CC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04" w:type="dxa"/>
          </w:tcPr>
          <w:p w14:paraId="5A948CB8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53" w:type="dxa"/>
          </w:tcPr>
          <w:p w14:paraId="0FE75C2B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39C7919F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1" w:type="dxa"/>
          </w:tcPr>
          <w:p w14:paraId="382A5CD9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4C38D3BD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3" w:type="dxa"/>
          </w:tcPr>
          <w:p w14:paraId="3B1FCA82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</w:tr>
      <w:tr w:rsidR="00A10E0B" w:rsidRPr="00C32F03" w14:paraId="0661D19A" w14:textId="77777777" w:rsidTr="00123D41">
        <w:trPr>
          <w:trHeight w:val="663"/>
        </w:trPr>
        <w:tc>
          <w:tcPr>
            <w:tcW w:w="1542" w:type="dxa"/>
            <w:vAlign w:val="center"/>
          </w:tcPr>
          <w:p w14:paraId="5C75797E" w14:textId="2514BD79" w:rsidR="00A10E0B" w:rsidRPr="00123D41" w:rsidRDefault="0058170F" w:rsidP="004A603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de Carvalho </w:t>
            </w:r>
            <w:r w:rsidRPr="00123D41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n-GB"/>
              </w:rPr>
              <w:t>et al</w:t>
            </w:r>
            <w:r w:rsidR="00C32F03" w:rsidRPr="00123D41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n-GB"/>
              </w:rPr>
              <w:t>.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,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en-GB"/>
              </w:rPr>
              <w:t>22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 2016</w:t>
            </w:r>
          </w:p>
        </w:tc>
        <w:tc>
          <w:tcPr>
            <w:tcW w:w="1588" w:type="dxa"/>
          </w:tcPr>
          <w:p w14:paraId="21C2C4C5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04" w:type="dxa"/>
          </w:tcPr>
          <w:p w14:paraId="480385EB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53" w:type="dxa"/>
          </w:tcPr>
          <w:p w14:paraId="4A3565BB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7D8C9D35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1" w:type="dxa"/>
          </w:tcPr>
          <w:p w14:paraId="1677F823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13771030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3" w:type="dxa"/>
          </w:tcPr>
          <w:p w14:paraId="59B4C120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</w:tr>
      <w:tr w:rsidR="00A10E0B" w:rsidRPr="00C32F03" w14:paraId="19984BE1" w14:textId="77777777" w:rsidTr="00123D41">
        <w:trPr>
          <w:trHeight w:val="434"/>
        </w:trPr>
        <w:tc>
          <w:tcPr>
            <w:tcW w:w="1542" w:type="dxa"/>
            <w:vAlign w:val="center"/>
          </w:tcPr>
          <w:p w14:paraId="71B2C6C7" w14:textId="27B59CA2" w:rsidR="00A10E0B" w:rsidRPr="00123D41" w:rsidRDefault="0058170F" w:rsidP="004A603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Hernando </w:t>
            </w:r>
            <w:r w:rsidRPr="00123D41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n-GB"/>
              </w:rPr>
              <w:t>et al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.,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en-GB"/>
              </w:rPr>
              <w:t>23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 2016</w:t>
            </w:r>
          </w:p>
        </w:tc>
        <w:tc>
          <w:tcPr>
            <w:tcW w:w="1588" w:type="dxa"/>
          </w:tcPr>
          <w:p w14:paraId="7280A538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04" w:type="dxa"/>
          </w:tcPr>
          <w:p w14:paraId="4C4F48F5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53" w:type="dxa"/>
          </w:tcPr>
          <w:p w14:paraId="18AEC356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0388760A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1" w:type="dxa"/>
          </w:tcPr>
          <w:p w14:paraId="25250F2A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19C37435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3" w:type="dxa"/>
          </w:tcPr>
          <w:p w14:paraId="7A4DE6B3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</w:tr>
      <w:tr w:rsidR="00A10E0B" w:rsidRPr="00C32F03" w14:paraId="5EE0E604" w14:textId="77777777" w:rsidTr="00123D41">
        <w:trPr>
          <w:trHeight w:val="445"/>
        </w:trPr>
        <w:tc>
          <w:tcPr>
            <w:tcW w:w="1542" w:type="dxa"/>
            <w:vAlign w:val="center"/>
          </w:tcPr>
          <w:p w14:paraId="02A3AB1E" w14:textId="7D46B160" w:rsidR="00A10E0B" w:rsidRPr="00123D41" w:rsidRDefault="0058170F" w:rsidP="004A603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Seferin</w:t>
            </w:r>
            <w:proofErr w:type="spellEnd"/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 </w:t>
            </w:r>
            <w:r w:rsidRPr="00123D41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n-GB"/>
              </w:rPr>
              <w:t>et al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.,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en-GB"/>
              </w:rPr>
              <w:t>31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 2018</w:t>
            </w:r>
          </w:p>
        </w:tc>
        <w:tc>
          <w:tcPr>
            <w:tcW w:w="1588" w:type="dxa"/>
          </w:tcPr>
          <w:p w14:paraId="5BE85019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04" w:type="dxa"/>
          </w:tcPr>
          <w:p w14:paraId="7A55C3BF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53" w:type="dxa"/>
          </w:tcPr>
          <w:p w14:paraId="4743601C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7ECAF766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1" w:type="dxa"/>
          </w:tcPr>
          <w:p w14:paraId="4B81ED1B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5271F1C2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3" w:type="dxa"/>
          </w:tcPr>
          <w:p w14:paraId="78548E38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</w:tr>
      <w:tr w:rsidR="00A10E0B" w:rsidRPr="00C32F03" w14:paraId="341D9C50" w14:textId="77777777" w:rsidTr="00123D41">
        <w:trPr>
          <w:trHeight w:val="434"/>
        </w:trPr>
        <w:tc>
          <w:tcPr>
            <w:tcW w:w="1542" w:type="dxa"/>
            <w:vAlign w:val="center"/>
          </w:tcPr>
          <w:p w14:paraId="74E5020A" w14:textId="1C0FB31D" w:rsidR="00A10E0B" w:rsidRPr="00123D41" w:rsidRDefault="0058170F" w:rsidP="004A603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Cramer </w:t>
            </w:r>
            <w:r w:rsidRPr="00123D41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n-GB"/>
              </w:rPr>
              <w:t>et al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.,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en-GB"/>
              </w:rPr>
              <w:t>24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 2019</w:t>
            </w:r>
          </w:p>
        </w:tc>
        <w:tc>
          <w:tcPr>
            <w:tcW w:w="1588" w:type="dxa"/>
          </w:tcPr>
          <w:p w14:paraId="108C2AA1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04" w:type="dxa"/>
          </w:tcPr>
          <w:p w14:paraId="6C4C12AA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53" w:type="dxa"/>
          </w:tcPr>
          <w:p w14:paraId="3D74FC18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4BF7F3C5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1" w:type="dxa"/>
          </w:tcPr>
          <w:p w14:paraId="024F9840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42906DE5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3" w:type="dxa"/>
          </w:tcPr>
          <w:p w14:paraId="39D4CF33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</w:tr>
      <w:tr w:rsidR="00A10E0B" w:rsidRPr="00C32F03" w14:paraId="37A54A6B" w14:textId="77777777" w:rsidTr="00123D41">
        <w:trPr>
          <w:trHeight w:val="663"/>
        </w:trPr>
        <w:tc>
          <w:tcPr>
            <w:tcW w:w="1542" w:type="dxa"/>
            <w:vAlign w:val="center"/>
          </w:tcPr>
          <w:p w14:paraId="6F027929" w14:textId="313D3126" w:rsidR="00A10E0B" w:rsidRPr="00123D41" w:rsidRDefault="0058170F" w:rsidP="004A603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Moya-Plana </w:t>
            </w:r>
            <w:r w:rsidRPr="00123D41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n-GB"/>
              </w:rPr>
              <w:t>et al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.,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en-GB"/>
              </w:rPr>
              <w:t>25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 2018</w:t>
            </w:r>
          </w:p>
        </w:tc>
        <w:tc>
          <w:tcPr>
            <w:tcW w:w="1588" w:type="dxa"/>
          </w:tcPr>
          <w:p w14:paraId="4CEEFA67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04" w:type="dxa"/>
          </w:tcPr>
          <w:p w14:paraId="07091976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53" w:type="dxa"/>
          </w:tcPr>
          <w:p w14:paraId="032287C2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5EBEC051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1" w:type="dxa"/>
          </w:tcPr>
          <w:p w14:paraId="56E4CF06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22E703BB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3" w:type="dxa"/>
          </w:tcPr>
          <w:p w14:paraId="1386DBA7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</w:tr>
      <w:tr w:rsidR="00A10E0B" w:rsidRPr="00C32F03" w14:paraId="1C3097D4" w14:textId="77777777" w:rsidTr="00123D41">
        <w:trPr>
          <w:trHeight w:val="445"/>
        </w:trPr>
        <w:tc>
          <w:tcPr>
            <w:tcW w:w="1542" w:type="dxa"/>
            <w:vAlign w:val="center"/>
          </w:tcPr>
          <w:p w14:paraId="5B24BFEA" w14:textId="13935593" w:rsidR="00A10E0B" w:rsidRPr="00123D41" w:rsidRDefault="00E8070D" w:rsidP="004A603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Sundaram &amp; </w:t>
            </w:r>
            <w:r w:rsidRPr="00123D41">
              <w:rPr>
                <w:rFonts w:ascii="Times New Roman" w:hAnsi="Times New Roman"/>
              </w:rPr>
              <w:t>Subramanyam,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en-GB"/>
              </w:rPr>
              <w:t>26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 2019</w:t>
            </w:r>
          </w:p>
        </w:tc>
        <w:tc>
          <w:tcPr>
            <w:tcW w:w="1588" w:type="dxa"/>
          </w:tcPr>
          <w:p w14:paraId="2BE35411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04" w:type="dxa"/>
          </w:tcPr>
          <w:p w14:paraId="4B1CE4C5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53" w:type="dxa"/>
          </w:tcPr>
          <w:p w14:paraId="2E81362E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2E0849AB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1" w:type="dxa"/>
          </w:tcPr>
          <w:p w14:paraId="0EFEFF7D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679C1422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3" w:type="dxa"/>
          </w:tcPr>
          <w:p w14:paraId="69BD3F41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</w:tr>
      <w:tr w:rsidR="00A10E0B" w:rsidRPr="00C32F03" w14:paraId="110C19AE" w14:textId="77777777" w:rsidTr="00123D41">
        <w:trPr>
          <w:trHeight w:val="434"/>
        </w:trPr>
        <w:tc>
          <w:tcPr>
            <w:tcW w:w="1542" w:type="dxa"/>
            <w:vAlign w:val="center"/>
          </w:tcPr>
          <w:p w14:paraId="0F3D531F" w14:textId="1646A8EB" w:rsidR="00A10E0B" w:rsidRPr="00123D41" w:rsidRDefault="00E8070D" w:rsidP="004A603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den Toom </w:t>
            </w:r>
            <w:r w:rsidRPr="00123D41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n-GB"/>
              </w:rPr>
              <w:t>et al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.,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en-GB"/>
              </w:rPr>
              <w:t>27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 2020</w:t>
            </w:r>
          </w:p>
        </w:tc>
        <w:tc>
          <w:tcPr>
            <w:tcW w:w="1588" w:type="dxa"/>
          </w:tcPr>
          <w:p w14:paraId="3EAA7B18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04" w:type="dxa"/>
          </w:tcPr>
          <w:p w14:paraId="2D410F5A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53" w:type="dxa"/>
          </w:tcPr>
          <w:p w14:paraId="33F6BC0C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41" w:type="dxa"/>
          </w:tcPr>
          <w:p w14:paraId="1B98F5B9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1" w:type="dxa"/>
          </w:tcPr>
          <w:p w14:paraId="56177A1F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</w:tcPr>
          <w:p w14:paraId="5DB4CEC7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3" w:type="dxa"/>
          </w:tcPr>
          <w:p w14:paraId="7C6D881F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</w:tr>
      <w:tr w:rsidR="00A10E0B" w:rsidRPr="00C32F03" w14:paraId="5B098CDE" w14:textId="77777777" w:rsidTr="00123D41">
        <w:trPr>
          <w:trHeight w:val="445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1841EAFA" w14:textId="2FCB01E9" w:rsidR="00A10E0B" w:rsidRPr="00123D41" w:rsidRDefault="00E8070D" w:rsidP="004A603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Park </w:t>
            </w:r>
            <w:r w:rsidRPr="00123D41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n-GB"/>
              </w:rPr>
              <w:t>et al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>.,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en-GB"/>
              </w:rPr>
              <w:t>30</w:t>
            </w:r>
            <w:r w:rsidRPr="00123D41">
              <w:rPr>
                <w:rFonts w:ascii="Times New Roman" w:eastAsia="Times New Roman" w:hAnsi="Times New Roman"/>
                <w:bCs/>
                <w:color w:val="000000"/>
                <w:lang w:eastAsia="en-GB"/>
              </w:rPr>
              <w:t xml:space="preserve"> 2022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3E0263A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Serious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9275BC2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35F7EF67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Moderate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3A818AA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62C6E7DB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3B99BF2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02A04F29" w14:textId="77777777" w:rsidR="00A10E0B" w:rsidRPr="00123D41" w:rsidRDefault="00A10E0B" w:rsidP="004A603A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123D41">
              <w:rPr>
                <w:rFonts w:ascii="Times New Roman" w:hAnsi="Times New Roman"/>
                <w:color w:val="000000"/>
              </w:rPr>
              <w:t>Low</w:t>
            </w:r>
          </w:p>
        </w:tc>
      </w:tr>
    </w:tbl>
    <w:p w14:paraId="09F9B681" w14:textId="0401B905" w:rsidR="00AC65AD" w:rsidRPr="00C32F03" w:rsidRDefault="00AC65AD"/>
    <w:p w14:paraId="5123A0B9" w14:textId="5B1E7BA5" w:rsidR="00AC65AD" w:rsidRPr="00C32F03" w:rsidRDefault="002707C5">
      <w:r w:rsidRPr="00C32F03">
        <w:rPr>
          <w:rFonts w:ascii="Times New Roman" w:hAnsi="Times New Roman" w:cs="Times New Roman"/>
          <w:b/>
          <w:color w:val="000000"/>
          <w:sz w:val="22"/>
        </w:rPr>
        <w:t xml:space="preserve">Table 3. </w:t>
      </w:r>
      <w:r w:rsidR="00C064A1" w:rsidRPr="00C32F03">
        <w:rPr>
          <w:rFonts w:ascii="Times New Roman" w:hAnsi="Times New Roman" w:cs="Times New Roman"/>
          <w:bCs/>
          <w:color w:val="000000"/>
          <w:sz w:val="22"/>
        </w:rPr>
        <w:t>Methodol</w:t>
      </w:r>
      <w:r w:rsidR="00C064A1" w:rsidRPr="00656120">
        <w:rPr>
          <w:rFonts w:ascii="Times New Roman" w:hAnsi="Times New Roman" w:cs="Times New Roman"/>
          <w:bCs/>
          <w:color w:val="000000"/>
          <w:sz w:val="22"/>
        </w:rPr>
        <w:t>ogic</w:t>
      </w:r>
      <w:r w:rsidR="00C064A1" w:rsidRPr="00C32F03">
        <w:rPr>
          <w:rFonts w:ascii="Times New Roman" w:hAnsi="Times New Roman" w:cs="Times New Roman"/>
          <w:bCs/>
          <w:color w:val="000000"/>
          <w:sz w:val="22"/>
        </w:rPr>
        <w:t>al quality of the included studies</w:t>
      </w:r>
      <w:r w:rsidR="00C064A1">
        <w:rPr>
          <w:rFonts w:ascii="Times New Roman" w:hAnsi="Times New Roman" w:cs="Times New Roman"/>
          <w:bCs/>
          <w:color w:val="000000"/>
          <w:sz w:val="22"/>
        </w:rPr>
        <w:t>:</w:t>
      </w:r>
      <w:r w:rsidR="00C064A1" w:rsidRPr="00C064A1">
        <w:rPr>
          <w:rFonts w:ascii="Times New Roman" w:hAnsi="Times New Roman"/>
          <w:bCs/>
          <w:color w:val="000000"/>
          <w:sz w:val="22"/>
        </w:rPr>
        <w:t xml:space="preserve"> </w:t>
      </w:r>
      <w:r w:rsidR="00AC65AD" w:rsidRPr="00123D41">
        <w:rPr>
          <w:rFonts w:ascii="Times New Roman" w:hAnsi="Times New Roman"/>
          <w:bCs/>
          <w:color w:val="000000"/>
          <w:sz w:val="22"/>
        </w:rPr>
        <w:t>R</w:t>
      </w:r>
      <w:r w:rsidR="00C064A1">
        <w:rPr>
          <w:rFonts w:ascii="Times New Roman" w:hAnsi="Times New Roman"/>
          <w:bCs/>
          <w:color w:val="000000"/>
          <w:sz w:val="22"/>
        </w:rPr>
        <w:t>isk of Bias</w:t>
      </w:r>
      <w:r w:rsidR="00AC65AD" w:rsidRPr="00123D41">
        <w:rPr>
          <w:rFonts w:ascii="Times New Roman" w:hAnsi="Times New Roman"/>
          <w:bCs/>
          <w:color w:val="000000"/>
          <w:sz w:val="22"/>
        </w:rPr>
        <w:t xml:space="preserve"> 2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1577"/>
        <w:gridCol w:w="1666"/>
        <w:gridCol w:w="1545"/>
        <w:gridCol w:w="1532"/>
        <w:gridCol w:w="1128"/>
      </w:tblGrid>
      <w:tr w:rsidR="00AC65AD" w:rsidRPr="00C32F03" w14:paraId="4BBDF594" w14:textId="77777777" w:rsidTr="00123D41">
        <w:trPr>
          <w:trHeight w:val="1375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2AF4E8CF" w14:textId="3CDAE395" w:rsidR="00AC65AD" w:rsidRPr="00C32F03" w:rsidRDefault="002707C5" w:rsidP="002707C5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Parameter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14:paraId="10942013" w14:textId="1A150683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Randomisation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D9F2856" w14:textId="1F6B0B2E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Deviations from interventions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7DDB1DE4" w14:textId="33A79247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Missing </w:t>
            </w:r>
            <w:r w:rsidRPr="00123D41">
              <w:rPr>
                <w:rFonts w:ascii="Times New Roman" w:hAnsi="Times New Roman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5A16ABF0" w14:textId="33FEAC8D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Measurement of outcomes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32CEF69F" w14:textId="5B7F0703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Selection of results</w:t>
            </w:r>
          </w:p>
        </w:tc>
      </w:tr>
      <w:tr w:rsidR="00AC65AD" w:rsidRPr="00C32F03" w14:paraId="65F56760" w14:textId="77777777" w:rsidTr="00123D41">
        <w:trPr>
          <w:trHeight w:val="461"/>
        </w:trPr>
        <w:tc>
          <w:tcPr>
            <w:tcW w:w="2075" w:type="dxa"/>
            <w:tcBorders>
              <w:top w:val="single" w:sz="4" w:space="0" w:color="auto"/>
            </w:tcBorders>
          </w:tcPr>
          <w:p w14:paraId="2E1E4F41" w14:textId="20A2FA07" w:rsidR="00AC65AD" w:rsidRPr="00C32F03" w:rsidRDefault="00AC65AD" w:rsidP="002707C5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32F0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Garrel</w:t>
            </w:r>
            <w:proofErr w:type="spellEnd"/>
            <w:r w:rsidRPr="00C32F0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C32F03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eastAsia="en-GB"/>
              </w:rPr>
              <w:t>et al</w:t>
            </w:r>
            <w:r w:rsidRPr="00C32F0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.,</w:t>
            </w:r>
            <w:r w:rsidRPr="00C32F0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28</w:t>
            </w:r>
            <w:r w:rsidRPr="00C32F0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5BD33685" w14:textId="77777777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50DF7836" w14:textId="77777777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28139F0A" w14:textId="77777777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13C8F9EF" w14:textId="77777777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2028FB40" w14:textId="77777777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Low</w:t>
            </w:r>
          </w:p>
        </w:tc>
      </w:tr>
      <w:tr w:rsidR="00AC65AD" w:rsidRPr="00C03E60" w14:paraId="6FFB6FC7" w14:textId="77777777" w:rsidTr="00123D41">
        <w:trPr>
          <w:trHeight w:val="326"/>
        </w:trPr>
        <w:tc>
          <w:tcPr>
            <w:tcW w:w="2075" w:type="dxa"/>
            <w:tcBorders>
              <w:bottom w:val="single" w:sz="4" w:space="0" w:color="auto"/>
            </w:tcBorders>
          </w:tcPr>
          <w:p w14:paraId="128BB128" w14:textId="275EAC18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 xml:space="preserve">Hasegawa </w:t>
            </w:r>
            <w:r w:rsidRPr="00C32F03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eastAsia="en-GB"/>
              </w:rPr>
              <w:t>et al</w:t>
            </w:r>
            <w:r w:rsidRPr="00C32F0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>.,</w:t>
            </w:r>
            <w:r w:rsidRPr="00C32F0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29</w:t>
            </w:r>
            <w:r w:rsidRPr="00C32F0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n-GB"/>
              </w:rPr>
              <w:t xml:space="preserve"> 2021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141818DC" w14:textId="77777777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7B7E74C7" w14:textId="77777777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3D52F3B9" w14:textId="77777777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325CDCBF" w14:textId="77777777" w:rsidR="00AC65AD" w:rsidRPr="00C32F03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2F8D4B60" w14:textId="77777777" w:rsidR="00AC65AD" w:rsidRPr="00C03E60" w:rsidRDefault="00AC65AD" w:rsidP="002707C5">
            <w:pPr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F03">
              <w:rPr>
                <w:rFonts w:ascii="Times New Roman" w:hAnsi="Times New Roman"/>
                <w:color w:val="000000"/>
                <w:sz w:val="22"/>
                <w:szCs w:val="22"/>
              </w:rPr>
              <w:t>Low</w:t>
            </w:r>
          </w:p>
        </w:tc>
      </w:tr>
    </w:tbl>
    <w:p w14:paraId="1BFC0AC0" w14:textId="77777777" w:rsidR="00A10E0B" w:rsidRPr="00C03E60" w:rsidRDefault="00A10E0B" w:rsidP="004A603A">
      <w:pPr>
        <w:spacing w:after="0" w:line="360" w:lineRule="auto"/>
        <w:jc w:val="left"/>
        <w:rPr>
          <w:rFonts w:ascii="Times New Roman" w:hAnsi="Times New Roman" w:cs="Times New Roman"/>
          <w:color w:val="000000"/>
          <w:sz w:val="22"/>
        </w:rPr>
      </w:pPr>
    </w:p>
    <w:sectPr w:rsidR="00A10E0B" w:rsidRPr="00C03E60" w:rsidSect="005F0EBC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4B3F" w14:textId="77777777" w:rsidR="00815203" w:rsidRDefault="00815203" w:rsidP="00AF1DBD">
      <w:pPr>
        <w:spacing w:after="0" w:line="240" w:lineRule="auto"/>
      </w:pPr>
      <w:r>
        <w:separator/>
      </w:r>
    </w:p>
  </w:endnote>
  <w:endnote w:type="continuationSeparator" w:id="0">
    <w:p w14:paraId="32EF15BE" w14:textId="77777777" w:rsidR="00815203" w:rsidRDefault="00815203" w:rsidP="00AF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thGraphic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vP40668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AdvOTf0129623+fb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15AA" w14:textId="23319B6D" w:rsidR="00A96E48" w:rsidRDefault="00A96E48">
    <w:pPr>
      <w:pStyle w:val="Footer"/>
      <w:jc w:val="center"/>
    </w:pPr>
  </w:p>
  <w:p w14:paraId="6205FCD6" w14:textId="77777777" w:rsidR="00A96E48" w:rsidRDefault="00A96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C567" w14:textId="77777777" w:rsidR="00815203" w:rsidRDefault="00815203" w:rsidP="00AF1DBD">
      <w:pPr>
        <w:spacing w:after="0" w:line="240" w:lineRule="auto"/>
      </w:pPr>
      <w:r>
        <w:separator/>
      </w:r>
    </w:p>
  </w:footnote>
  <w:footnote w:type="continuationSeparator" w:id="0">
    <w:p w14:paraId="40D3E3B7" w14:textId="77777777" w:rsidR="00815203" w:rsidRDefault="00815203" w:rsidP="00AF1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ournal of Laryngology &amp;amp; Otology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E603E"/>
    <w:rsid w:val="00031E71"/>
    <w:rsid w:val="000355D8"/>
    <w:rsid w:val="000745AD"/>
    <w:rsid w:val="00082270"/>
    <w:rsid w:val="00085F6C"/>
    <w:rsid w:val="00094A64"/>
    <w:rsid w:val="000A26B5"/>
    <w:rsid w:val="000A6DBD"/>
    <w:rsid w:val="000A79E9"/>
    <w:rsid w:val="000C68D1"/>
    <w:rsid w:val="00116A7C"/>
    <w:rsid w:val="00120B31"/>
    <w:rsid w:val="00123D41"/>
    <w:rsid w:val="0013374E"/>
    <w:rsid w:val="00152E61"/>
    <w:rsid w:val="001B498D"/>
    <w:rsid w:val="001D0299"/>
    <w:rsid w:val="001D5601"/>
    <w:rsid w:val="001F25EC"/>
    <w:rsid w:val="002707C5"/>
    <w:rsid w:val="00275D92"/>
    <w:rsid w:val="002A392D"/>
    <w:rsid w:val="002B2849"/>
    <w:rsid w:val="002C1214"/>
    <w:rsid w:val="002C18EF"/>
    <w:rsid w:val="002F66F6"/>
    <w:rsid w:val="003066EC"/>
    <w:rsid w:val="00353E3A"/>
    <w:rsid w:val="00370721"/>
    <w:rsid w:val="003727FE"/>
    <w:rsid w:val="003907DB"/>
    <w:rsid w:val="003A38B0"/>
    <w:rsid w:val="003D4C37"/>
    <w:rsid w:val="003E1C16"/>
    <w:rsid w:val="003F491F"/>
    <w:rsid w:val="00405EB0"/>
    <w:rsid w:val="00434876"/>
    <w:rsid w:val="00436F5E"/>
    <w:rsid w:val="004474C6"/>
    <w:rsid w:val="0047712D"/>
    <w:rsid w:val="004A603A"/>
    <w:rsid w:val="004B1D44"/>
    <w:rsid w:val="004E4CC9"/>
    <w:rsid w:val="004E5282"/>
    <w:rsid w:val="004F2E9E"/>
    <w:rsid w:val="004F6E14"/>
    <w:rsid w:val="005123CF"/>
    <w:rsid w:val="0053791D"/>
    <w:rsid w:val="00543F8C"/>
    <w:rsid w:val="0058170F"/>
    <w:rsid w:val="005A2B11"/>
    <w:rsid w:val="005B3125"/>
    <w:rsid w:val="005D07A3"/>
    <w:rsid w:val="005E6EC6"/>
    <w:rsid w:val="005F0EBC"/>
    <w:rsid w:val="006358BA"/>
    <w:rsid w:val="00676E7F"/>
    <w:rsid w:val="00691BC2"/>
    <w:rsid w:val="006A3E2C"/>
    <w:rsid w:val="006D4573"/>
    <w:rsid w:val="006F0ACE"/>
    <w:rsid w:val="006F4555"/>
    <w:rsid w:val="0073459B"/>
    <w:rsid w:val="007626A1"/>
    <w:rsid w:val="00765809"/>
    <w:rsid w:val="00773E14"/>
    <w:rsid w:val="007C27C6"/>
    <w:rsid w:val="007D1600"/>
    <w:rsid w:val="00815203"/>
    <w:rsid w:val="008330A1"/>
    <w:rsid w:val="00834DB6"/>
    <w:rsid w:val="00836CE4"/>
    <w:rsid w:val="00862760"/>
    <w:rsid w:val="008E72B1"/>
    <w:rsid w:val="00911C44"/>
    <w:rsid w:val="00912B76"/>
    <w:rsid w:val="009642D9"/>
    <w:rsid w:val="00975E92"/>
    <w:rsid w:val="00986916"/>
    <w:rsid w:val="00995D49"/>
    <w:rsid w:val="009C50C5"/>
    <w:rsid w:val="00A00EA0"/>
    <w:rsid w:val="00A10E0B"/>
    <w:rsid w:val="00A2312D"/>
    <w:rsid w:val="00A256AE"/>
    <w:rsid w:val="00A50BAB"/>
    <w:rsid w:val="00A50BBB"/>
    <w:rsid w:val="00A77C7F"/>
    <w:rsid w:val="00A96E48"/>
    <w:rsid w:val="00AB1445"/>
    <w:rsid w:val="00AB3166"/>
    <w:rsid w:val="00AC65AD"/>
    <w:rsid w:val="00AF1DBD"/>
    <w:rsid w:val="00AF370E"/>
    <w:rsid w:val="00B04217"/>
    <w:rsid w:val="00B21204"/>
    <w:rsid w:val="00B370AA"/>
    <w:rsid w:val="00B62D1A"/>
    <w:rsid w:val="00B744D4"/>
    <w:rsid w:val="00BA5C73"/>
    <w:rsid w:val="00BC6C69"/>
    <w:rsid w:val="00BE1787"/>
    <w:rsid w:val="00C0032A"/>
    <w:rsid w:val="00C03E60"/>
    <w:rsid w:val="00C064A1"/>
    <w:rsid w:val="00C32F03"/>
    <w:rsid w:val="00C33721"/>
    <w:rsid w:val="00C60CF2"/>
    <w:rsid w:val="00CB219A"/>
    <w:rsid w:val="00CC6E16"/>
    <w:rsid w:val="00CD231C"/>
    <w:rsid w:val="00CD3846"/>
    <w:rsid w:val="00CF16AE"/>
    <w:rsid w:val="00D347A8"/>
    <w:rsid w:val="00D80E01"/>
    <w:rsid w:val="00D83662"/>
    <w:rsid w:val="00D9353A"/>
    <w:rsid w:val="00DB0372"/>
    <w:rsid w:val="00E247F1"/>
    <w:rsid w:val="00E8070D"/>
    <w:rsid w:val="00EB34A1"/>
    <w:rsid w:val="00EB386D"/>
    <w:rsid w:val="00EC0CF6"/>
    <w:rsid w:val="00EC3BDF"/>
    <w:rsid w:val="00EE603E"/>
    <w:rsid w:val="00F14CBA"/>
    <w:rsid w:val="00F30CD1"/>
    <w:rsid w:val="00F314E7"/>
    <w:rsid w:val="00F75E26"/>
    <w:rsid w:val="00F96DA1"/>
    <w:rsid w:val="00FB718D"/>
    <w:rsid w:val="00FC0A81"/>
    <w:rsid w:val="00FC1199"/>
    <w:rsid w:val="00FC13FD"/>
    <w:rsid w:val="00FD48A5"/>
    <w:rsid w:val="00FE6D64"/>
    <w:rsid w:val="00FF1BF8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ABA29"/>
  <w15:docId w15:val="{C187E589-0564-4737-8AAD-38AE974A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3E"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603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GarthGraphic" w:eastAsia="GarthGraphic" w:cs="GarthGraphic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DBD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F1DBD"/>
  </w:style>
  <w:style w:type="paragraph" w:styleId="Header">
    <w:name w:val="header"/>
    <w:basedOn w:val="Normal"/>
    <w:link w:val="HeaderChar"/>
    <w:uiPriority w:val="99"/>
    <w:unhideWhenUsed/>
    <w:rsid w:val="00AF1DB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F1DBD"/>
  </w:style>
  <w:style w:type="paragraph" w:styleId="Footer">
    <w:name w:val="footer"/>
    <w:basedOn w:val="Normal"/>
    <w:link w:val="FooterChar"/>
    <w:uiPriority w:val="99"/>
    <w:unhideWhenUsed/>
    <w:rsid w:val="00AF1DB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F1DBD"/>
  </w:style>
  <w:style w:type="paragraph" w:customStyle="1" w:styleId="EndNoteBibliographyTitle">
    <w:name w:val="EndNote Bibliography Title"/>
    <w:basedOn w:val="Normal"/>
    <w:link w:val="EndNoteBibliographyTitleChar"/>
    <w:rsid w:val="005D07A3"/>
    <w:pPr>
      <w:spacing w:after="0"/>
      <w:jc w:val="center"/>
    </w:pPr>
    <w:rPr>
      <w:rFonts w:ascii="Malgun Gothic" w:eastAsia="Malgun Gothic" w:hAnsi="Malgun Gothic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07A3"/>
    <w:rPr>
      <w:rFonts w:ascii="Malgun Gothic" w:eastAsia="Malgun Gothic" w:hAnsi="Malgun Gothic"/>
      <w:noProof/>
    </w:rPr>
  </w:style>
  <w:style w:type="paragraph" w:customStyle="1" w:styleId="EndNoteBibliography">
    <w:name w:val="EndNote Bibliography"/>
    <w:basedOn w:val="Normal"/>
    <w:link w:val="EndNoteBibliographyChar"/>
    <w:rsid w:val="005D07A3"/>
    <w:pPr>
      <w:spacing w:line="240" w:lineRule="auto"/>
      <w:jc w:val="left"/>
    </w:pPr>
    <w:rPr>
      <w:rFonts w:ascii="Malgun Gothic" w:eastAsia="Malgun Gothic" w:hAnsi="Malgun Gothic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D07A3"/>
    <w:rPr>
      <w:rFonts w:ascii="Malgun Gothic" w:eastAsia="Malgun Gothic" w:hAnsi="Malgun Gothic"/>
      <w:noProof/>
    </w:rPr>
  </w:style>
  <w:style w:type="table" w:styleId="TableGrid">
    <w:name w:val="Table Grid"/>
    <w:basedOn w:val="TableNormal"/>
    <w:uiPriority w:val="59"/>
    <w:rsid w:val="00CB219A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8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BA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6358BA"/>
    <w:pPr>
      <w:spacing w:after="0" w:line="240" w:lineRule="auto"/>
      <w:jc w:val="left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358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58BA"/>
    <w:rPr>
      <w:rFonts w:ascii="Courier New" w:eastAsia="Times New Roman" w:hAnsi="Courier New" w:cs="Courier New"/>
      <w:kern w:val="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96E48"/>
    <w:pPr>
      <w:ind w:leftChars="400" w:left="800"/>
    </w:pPr>
  </w:style>
  <w:style w:type="paragraph" w:styleId="PlainText">
    <w:name w:val="Plain Text"/>
    <w:basedOn w:val="Normal"/>
    <w:link w:val="PlainTextChar"/>
    <w:uiPriority w:val="99"/>
    <w:unhideWhenUsed/>
    <w:rsid w:val="00436F5E"/>
    <w:pPr>
      <w:widowControl/>
      <w:wordWrap/>
      <w:autoSpaceDE/>
      <w:autoSpaceDN/>
      <w:spacing w:after="0" w:line="240" w:lineRule="auto"/>
      <w:jc w:val="left"/>
    </w:pPr>
    <w:rPr>
      <w:rFonts w:ascii="Calibri" w:eastAsiaTheme="minorHAnsi" w:hAnsi="Calibr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6F5E"/>
    <w:rPr>
      <w:rFonts w:ascii="Calibri" w:eastAsiaTheme="minorHAnsi" w:hAnsi="Calibri"/>
      <w:kern w:val="0"/>
      <w:sz w:val="22"/>
      <w:szCs w:val="21"/>
      <w:lang w:val="en-GB" w:eastAsia="en-US"/>
    </w:rPr>
  </w:style>
  <w:style w:type="paragraph" w:styleId="NormalWeb">
    <w:name w:val="Normal (Web)"/>
    <w:basedOn w:val="Normal"/>
    <w:uiPriority w:val="99"/>
    <w:unhideWhenUsed/>
    <w:rsid w:val="002C121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275D92"/>
    <w:pPr>
      <w:widowControl w:val="0"/>
      <w:wordWrap w:val="0"/>
      <w:autoSpaceDE w:val="0"/>
      <w:autoSpaceDN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6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A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A7C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A7C"/>
    <w:rPr>
      <w:b/>
      <w:bCs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A3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9BC7-D774-4403-B292-2A1F575D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YunJin</dc:creator>
  <cp:keywords/>
  <dc:description/>
  <cp:lastModifiedBy>DT0311</cp:lastModifiedBy>
  <cp:revision>5</cp:revision>
  <dcterms:created xsi:type="dcterms:W3CDTF">2023-03-14T22:40:00Z</dcterms:created>
  <dcterms:modified xsi:type="dcterms:W3CDTF">2023-03-20T20:34:00Z</dcterms:modified>
</cp:coreProperties>
</file>