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90" w:rsidRPr="0040278A" w:rsidRDefault="00247D90" w:rsidP="00247D90">
      <w:pPr>
        <w:jc w:val="both"/>
        <w:rPr>
          <w:b/>
          <w:sz w:val="36"/>
          <w:lang w:val="en-US"/>
        </w:rPr>
      </w:pPr>
      <w:bookmarkStart w:id="0" w:name="_GoBack"/>
      <w:bookmarkEnd w:id="0"/>
      <w:r w:rsidRPr="0040278A">
        <w:rPr>
          <w:b/>
          <w:sz w:val="36"/>
          <w:lang w:val="en-US"/>
        </w:rPr>
        <w:t xml:space="preserve">Mass spectrometry as a versatile ancillary technique for the rapid </w:t>
      </w:r>
      <w:r w:rsidRPr="0040278A">
        <w:rPr>
          <w:b/>
          <w:i/>
          <w:sz w:val="36"/>
          <w:lang w:val="en-US"/>
        </w:rPr>
        <w:t xml:space="preserve">in situ </w:t>
      </w:r>
      <w:r w:rsidRPr="0040278A">
        <w:rPr>
          <w:b/>
          <w:sz w:val="36"/>
          <w:lang w:val="en-US"/>
        </w:rPr>
        <w:t>identification of lichen metabolites directly from TLC plates</w:t>
      </w:r>
    </w:p>
    <w:p w:rsidR="00247D90" w:rsidRDefault="00247D90" w:rsidP="00247D90">
      <w:pPr>
        <w:jc w:val="both"/>
        <w:rPr>
          <w:b/>
          <w:sz w:val="32"/>
        </w:rPr>
      </w:pPr>
      <w:r>
        <w:rPr>
          <w:b/>
          <w:sz w:val="32"/>
        </w:rPr>
        <w:t xml:space="preserve">Pierre Le </w:t>
      </w:r>
      <w:proofErr w:type="spellStart"/>
      <w:r>
        <w:rPr>
          <w:b/>
          <w:sz w:val="32"/>
        </w:rPr>
        <w:t>Pogam</w:t>
      </w:r>
      <w:r w:rsidRPr="0040278A">
        <w:rPr>
          <w:b/>
          <w:sz w:val="32"/>
          <w:vertAlign w:val="superscript"/>
        </w:rPr>
        <w:t>a</w:t>
      </w:r>
      <w:proofErr w:type="gramStart"/>
      <w:r w:rsidRPr="0040278A">
        <w:rPr>
          <w:b/>
          <w:sz w:val="32"/>
          <w:vertAlign w:val="superscript"/>
        </w:rPr>
        <w:t>,b</w:t>
      </w:r>
      <w:proofErr w:type="spellEnd"/>
      <w:proofErr w:type="gramEnd"/>
      <w:r>
        <w:rPr>
          <w:b/>
          <w:sz w:val="32"/>
        </w:rPr>
        <w:t xml:space="preserve">, Aline </w:t>
      </w:r>
      <w:proofErr w:type="spellStart"/>
      <w:r>
        <w:rPr>
          <w:b/>
          <w:sz w:val="32"/>
        </w:rPr>
        <w:t>Pillot</w:t>
      </w:r>
      <w:r w:rsidRPr="0040278A">
        <w:rPr>
          <w:b/>
          <w:sz w:val="32"/>
          <w:vertAlign w:val="superscript"/>
        </w:rPr>
        <w:t>a</w:t>
      </w:r>
      <w:proofErr w:type="spellEnd"/>
      <w:r>
        <w:rPr>
          <w:b/>
          <w:sz w:val="32"/>
          <w:vertAlign w:val="superscript"/>
        </w:rPr>
        <w:t> ,c</w:t>
      </w:r>
      <w:r>
        <w:rPr>
          <w:b/>
          <w:sz w:val="32"/>
        </w:rPr>
        <w:t xml:space="preserve">, Françoise </w:t>
      </w:r>
      <w:proofErr w:type="spellStart"/>
      <w:r>
        <w:rPr>
          <w:b/>
          <w:sz w:val="32"/>
        </w:rPr>
        <w:t>Lohézic</w:t>
      </w:r>
      <w:proofErr w:type="spellEnd"/>
      <w:r>
        <w:rPr>
          <w:b/>
          <w:sz w:val="32"/>
        </w:rPr>
        <w:t xml:space="preserve">-Le </w:t>
      </w:r>
      <w:proofErr w:type="spellStart"/>
      <w:r>
        <w:rPr>
          <w:b/>
          <w:sz w:val="32"/>
        </w:rPr>
        <w:t>Dévéhat</w:t>
      </w:r>
      <w:r w:rsidRPr="0040278A">
        <w:rPr>
          <w:b/>
          <w:sz w:val="32"/>
          <w:vertAlign w:val="superscript"/>
        </w:rPr>
        <w:t>a</w:t>
      </w:r>
      <w:proofErr w:type="spellEnd"/>
      <w:r>
        <w:rPr>
          <w:b/>
          <w:sz w:val="32"/>
        </w:rPr>
        <w:t xml:space="preserve">, Anne-Cécile Le </w:t>
      </w:r>
      <w:proofErr w:type="spellStart"/>
      <w:r>
        <w:rPr>
          <w:b/>
          <w:sz w:val="32"/>
        </w:rPr>
        <w:t>Lamer</w:t>
      </w:r>
      <w:r w:rsidRPr="0040278A">
        <w:rPr>
          <w:b/>
          <w:sz w:val="32"/>
          <w:vertAlign w:val="superscript"/>
        </w:rPr>
        <w:t>a,</w:t>
      </w:r>
      <w:r>
        <w:rPr>
          <w:b/>
          <w:sz w:val="32"/>
          <w:vertAlign w:val="superscript"/>
        </w:rPr>
        <w:t>d</w:t>
      </w:r>
      <w:proofErr w:type="spellEnd"/>
      <w:r>
        <w:rPr>
          <w:b/>
          <w:sz w:val="32"/>
        </w:rPr>
        <w:t xml:space="preserve">, Béatrice </w:t>
      </w:r>
      <w:proofErr w:type="spellStart"/>
      <w:r>
        <w:rPr>
          <w:b/>
          <w:sz w:val="32"/>
        </w:rPr>
        <w:t>Legouin</w:t>
      </w:r>
      <w:r w:rsidRPr="0040278A">
        <w:rPr>
          <w:b/>
          <w:sz w:val="32"/>
          <w:vertAlign w:val="superscript"/>
        </w:rPr>
        <w:t>a</w:t>
      </w:r>
      <w:proofErr w:type="spellEnd"/>
      <w:r>
        <w:rPr>
          <w:b/>
          <w:sz w:val="32"/>
        </w:rPr>
        <w:t xml:space="preserve">, Alice </w:t>
      </w:r>
      <w:proofErr w:type="spellStart"/>
      <w:r>
        <w:rPr>
          <w:b/>
          <w:sz w:val="32"/>
        </w:rPr>
        <w:t>Gadea</w:t>
      </w:r>
      <w:r w:rsidRPr="0040278A">
        <w:rPr>
          <w:b/>
          <w:sz w:val="32"/>
          <w:vertAlign w:val="superscript"/>
        </w:rPr>
        <w:t>a</w:t>
      </w:r>
      <w:r>
        <w:rPr>
          <w:b/>
          <w:sz w:val="32"/>
          <w:vertAlign w:val="superscript"/>
        </w:rPr>
        <w:t>,e</w:t>
      </w:r>
      <w:proofErr w:type="spellEnd"/>
      <w:r>
        <w:rPr>
          <w:b/>
          <w:sz w:val="32"/>
        </w:rPr>
        <w:t xml:space="preserve">, Aurélie </w:t>
      </w:r>
      <w:proofErr w:type="spellStart"/>
      <w:r>
        <w:rPr>
          <w:b/>
          <w:sz w:val="32"/>
        </w:rPr>
        <w:t>Sauvager</w:t>
      </w:r>
      <w:r w:rsidRPr="0040278A">
        <w:rPr>
          <w:b/>
          <w:sz w:val="32"/>
          <w:vertAlign w:val="superscript"/>
        </w:rPr>
        <w:t>a</w:t>
      </w:r>
      <w:proofErr w:type="spellEnd"/>
      <w:r>
        <w:rPr>
          <w:b/>
          <w:sz w:val="32"/>
        </w:rPr>
        <w:t xml:space="preserve">, Damien </w:t>
      </w:r>
      <w:proofErr w:type="spellStart"/>
      <w:r>
        <w:rPr>
          <w:b/>
          <w:sz w:val="32"/>
        </w:rPr>
        <w:t>Ertz</w:t>
      </w:r>
      <w:r>
        <w:rPr>
          <w:b/>
          <w:sz w:val="32"/>
          <w:vertAlign w:val="superscript"/>
        </w:rPr>
        <w:t>f</w:t>
      </w:r>
      <w:proofErr w:type="spellEnd"/>
      <w:r>
        <w:rPr>
          <w:b/>
          <w:sz w:val="32"/>
        </w:rPr>
        <w:t xml:space="preserve">, Joël </w:t>
      </w:r>
      <w:proofErr w:type="spellStart"/>
      <w:r>
        <w:rPr>
          <w:b/>
          <w:sz w:val="32"/>
        </w:rPr>
        <w:t>Boustie</w:t>
      </w:r>
      <w:r w:rsidRPr="0040278A">
        <w:rPr>
          <w:b/>
          <w:sz w:val="32"/>
          <w:vertAlign w:val="superscript"/>
        </w:rPr>
        <w:t>a</w:t>
      </w:r>
      <w:proofErr w:type="spellEnd"/>
    </w:p>
    <w:p w:rsidR="00247D90" w:rsidRDefault="00247D90" w:rsidP="00247D90">
      <w:pPr>
        <w:jc w:val="both"/>
        <w:rPr>
          <w:sz w:val="24"/>
        </w:rPr>
      </w:pPr>
      <w:proofErr w:type="gramStart"/>
      <w:r>
        <w:rPr>
          <w:sz w:val="24"/>
        </w:rPr>
        <w:t>a</w:t>
      </w:r>
      <w:proofErr w:type="gramEnd"/>
      <w:r>
        <w:rPr>
          <w:sz w:val="24"/>
        </w:rPr>
        <w:t xml:space="preserve"> Institute of </w:t>
      </w:r>
      <w:proofErr w:type="spellStart"/>
      <w:r>
        <w:rPr>
          <w:sz w:val="24"/>
        </w:rPr>
        <w:t>Chemistry</w:t>
      </w:r>
      <w:proofErr w:type="spellEnd"/>
      <w:r>
        <w:rPr>
          <w:sz w:val="24"/>
        </w:rPr>
        <w:t xml:space="preserve"> of Rennes, ISCR, UMR CNRS 6226, </w:t>
      </w:r>
      <w:proofErr w:type="spellStart"/>
      <w:r>
        <w:rPr>
          <w:sz w:val="24"/>
        </w:rPr>
        <w:t>University</w:t>
      </w:r>
      <w:proofErr w:type="spellEnd"/>
      <w:r>
        <w:rPr>
          <w:sz w:val="24"/>
        </w:rPr>
        <w:t xml:space="preserve"> of Rennes 1, 2 Av. du Prof. Léon Bernard, Rennes Cedex 35043, France</w:t>
      </w:r>
    </w:p>
    <w:p w:rsidR="00247D90" w:rsidRDefault="00247D90" w:rsidP="00247D90">
      <w:pPr>
        <w:jc w:val="both"/>
        <w:rPr>
          <w:sz w:val="24"/>
        </w:rPr>
      </w:pPr>
      <w:proofErr w:type="gramStart"/>
      <w:r>
        <w:rPr>
          <w:sz w:val="24"/>
        </w:rPr>
        <w:t>b</w:t>
      </w:r>
      <w:proofErr w:type="gramEnd"/>
      <w:r>
        <w:rPr>
          <w:sz w:val="24"/>
        </w:rPr>
        <w:t xml:space="preserve"> Institute of Electronics and </w:t>
      </w:r>
      <w:proofErr w:type="spellStart"/>
      <w:r>
        <w:rPr>
          <w:sz w:val="24"/>
        </w:rPr>
        <w:t>Telecommunications</w:t>
      </w:r>
      <w:proofErr w:type="spellEnd"/>
      <w:r>
        <w:rPr>
          <w:sz w:val="24"/>
        </w:rPr>
        <w:t xml:space="preserve"> of Rennes, IETR, UMR CNRS 6164, </w:t>
      </w:r>
      <w:proofErr w:type="spellStart"/>
      <w:r>
        <w:rPr>
          <w:sz w:val="24"/>
        </w:rPr>
        <w:t>University</w:t>
      </w:r>
      <w:proofErr w:type="spellEnd"/>
      <w:r>
        <w:rPr>
          <w:sz w:val="24"/>
        </w:rPr>
        <w:t xml:space="preserve"> of Rennes 1, 263 Av. du Général Leclerc, Rennes Cedex 35042, France</w:t>
      </w:r>
    </w:p>
    <w:p w:rsidR="00247D90" w:rsidRDefault="00247D90" w:rsidP="00247D90">
      <w:pPr>
        <w:jc w:val="both"/>
        <w:rPr>
          <w:sz w:val="24"/>
        </w:rPr>
      </w:pPr>
      <w:proofErr w:type="gramStart"/>
      <w:r>
        <w:rPr>
          <w:sz w:val="24"/>
        </w:rPr>
        <w:t>c</w:t>
      </w:r>
      <w:proofErr w:type="gramEnd"/>
      <w:r>
        <w:rPr>
          <w:sz w:val="24"/>
        </w:rPr>
        <w:t xml:space="preserve">  UMR CNRS 6286, </w:t>
      </w:r>
      <w:proofErr w:type="spellStart"/>
      <w:r>
        <w:rPr>
          <w:sz w:val="24"/>
        </w:rPr>
        <w:t>University</w:t>
      </w:r>
      <w:proofErr w:type="spellEnd"/>
      <w:r>
        <w:rPr>
          <w:sz w:val="24"/>
        </w:rPr>
        <w:t xml:space="preserve"> of Nantes, 2 Rue de la </w:t>
      </w:r>
      <w:proofErr w:type="spellStart"/>
      <w:r>
        <w:rPr>
          <w:sz w:val="24"/>
        </w:rPr>
        <w:t>Houssinière</w:t>
      </w:r>
      <w:proofErr w:type="spellEnd"/>
      <w:r>
        <w:rPr>
          <w:sz w:val="24"/>
        </w:rPr>
        <w:t>, Nantes Cedex 44322, France</w:t>
      </w:r>
    </w:p>
    <w:p w:rsidR="00247D90" w:rsidRDefault="00247D90" w:rsidP="00247D90">
      <w:pPr>
        <w:jc w:val="both"/>
        <w:rPr>
          <w:sz w:val="24"/>
        </w:rPr>
      </w:pPr>
      <w:proofErr w:type="gramStart"/>
      <w:r>
        <w:rPr>
          <w:sz w:val="24"/>
        </w:rPr>
        <w:t>d</w:t>
      </w:r>
      <w:proofErr w:type="gramEnd"/>
      <w:r>
        <w:rPr>
          <w:sz w:val="24"/>
        </w:rPr>
        <w:t xml:space="preserve"> </w:t>
      </w:r>
      <w:proofErr w:type="spellStart"/>
      <w:r>
        <w:rPr>
          <w:sz w:val="24"/>
        </w:rPr>
        <w:t>University</w:t>
      </w:r>
      <w:proofErr w:type="spellEnd"/>
      <w:r>
        <w:rPr>
          <w:sz w:val="24"/>
        </w:rPr>
        <w:t xml:space="preserve"> Paul Sabatier Toulouse 3, 118 Route de Narbonne, 31062 Toulouse, France</w:t>
      </w:r>
    </w:p>
    <w:p w:rsidR="00247D90" w:rsidRPr="00EA6807" w:rsidRDefault="00247D90" w:rsidP="00247D90">
      <w:pPr>
        <w:jc w:val="both"/>
        <w:rPr>
          <w:sz w:val="24"/>
        </w:rPr>
      </w:pPr>
      <w:r>
        <w:rPr>
          <w:sz w:val="24"/>
        </w:rPr>
        <w:t xml:space="preserve">e UMR CNRS 6553, ECOBIO, </w:t>
      </w:r>
      <w:proofErr w:type="spellStart"/>
      <w:r>
        <w:rPr>
          <w:sz w:val="24"/>
        </w:rPr>
        <w:t>University</w:t>
      </w:r>
      <w:proofErr w:type="spellEnd"/>
      <w:r>
        <w:rPr>
          <w:sz w:val="24"/>
        </w:rPr>
        <w:t xml:space="preserve"> of Rennes 1, 263 Av. du Général Leclerc, Rennes Cedex 35042, France</w:t>
      </w:r>
    </w:p>
    <w:p w:rsidR="00247D90" w:rsidRPr="008947B0" w:rsidRDefault="00247D90" w:rsidP="00247D90">
      <w:pPr>
        <w:jc w:val="both"/>
        <w:rPr>
          <w:color w:val="000000" w:themeColor="text1"/>
          <w:sz w:val="24"/>
          <w:lang w:val="en-US"/>
        </w:rPr>
      </w:pPr>
      <w:proofErr w:type="gramStart"/>
      <w:r>
        <w:rPr>
          <w:color w:val="000000" w:themeColor="text1"/>
          <w:sz w:val="24"/>
          <w:lang w:val="en-US"/>
        </w:rPr>
        <w:t>f</w:t>
      </w:r>
      <w:proofErr w:type="gramEnd"/>
      <w:r>
        <w:rPr>
          <w:color w:val="000000" w:themeColor="text1"/>
          <w:sz w:val="24"/>
          <w:lang w:val="en-US"/>
        </w:rPr>
        <w:t xml:space="preserve"> </w:t>
      </w:r>
      <w:r w:rsidRPr="0040278A">
        <w:rPr>
          <w:rFonts w:cs="Arial"/>
          <w:color w:val="000000" w:themeColor="text1"/>
          <w:sz w:val="24"/>
          <w:szCs w:val="20"/>
          <w:shd w:val="clear" w:color="auto" w:fill="FFFFFF"/>
          <w:lang w:val="en-US"/>
        </w:rPr>
        <w:t xml:space="preserve">Botanic Garden </w:t>
      </w:r>
      <w:proofErr w:type="spellStart"/>
      <w:r w:rsidRPr="0040278A">
        <w:rPr>
          <w:rFonts w:cs="Arial"/>
          <w:color w:val="000000" w:themeColor="text1"/>
          <w:sz w:val="24"/>
          <w:szCs w:val="20"/>
          <w:shd w:val="clear" w:color="auto" w:fill="FFFFFF"/>
          <w:lang w:val="en-US"/>
        </w:rPr>
        <w:t>Meise</w:t>
      </w:r>
      <w:proofErr w:type="spellEnd"/>
      <w:r w:rsidRPr="0040278A">
        <w:rPr>
          <w:rFonts w:cs="Arial"/>
          <w:color w:val="000000" w:themeColor="text1"/>
          <w:sz w:val="24"/>
          <w:szCs w:val="20"/>
          <w:shd w:val="clear" w:color="auto" w:fill="FFFFFF"/>
          <w:lang w:val="en-US"/>
        </w:rPr>
        <w:t>, Department Bryophytes-</w:t>
      </w:r>
      <w:proofErr w:type="spellStart"/>
      <w:r w:rsidRPr="0040278A">
        <w:rPr>
          <w:rFonts w:cs="Arial"/>
          <w:color w:val="000000" w:themeColor="text1"/>
          <w:sz w:val="24"/>
          <w:szCs w:val="20"/>
          <w:shd w:val="clear" w:color="auto" w:fill="FFFFFF"/>
          <w:lang w:val="en-US"/>
        </w:rPr>
        <w:t>Thallophytes</w:t>
      </w:r>
      <w:proofErr w:type="spellEnd"/>
      <w:r w:rsidRPr="0040278A">
        <w:rPr>
          <w:rFonts w:cs="Arial"/>
          <w:color w:val="000000" w:themeColor="text1"/>
          <w:sz w:val="24"/>
          <w:szCs w:val="20"/>
          <w:shd w:val="clear" w:color="auto" w:fill="FFFFFF"/>
          <w:lang w:val="en-US"/>
        </w:rPr>
        <w:t xml:space="preserve"> (BT), </w:t>
      </w:r>
      <w:proofErr w:type="spellStart"/>
      <w:r w:rsidRPr="0040278A">
        <w:rPr>
          <w:rFonts w:cs="Arial"/>
          <w:color w:val="000000" w:themeColor="text1"/>
          <w:sz w:val="24"/>
          <w:szCs w:val="20"/>
          <w:shd w:val="clear" w:color="auto" w:fill="FFFFFF"/>
          <w:lang w:val="en-US"/>
        </w:rPr>
        <w:t>Nieuwelaan</w:t>
      </w:r>
      <w:proofErr w:type="spellEnd"/>
      <w:r w:rsidRPr="0040278A">
        <w:rPr>
          <w:rFonts w:cs="Arial"/>
          <w:color w:val="000000" w:themeColor="text1"/>
          <w:sz w:val="24"/>
          <w:szCs w:val="20"/>
          <w:shd w:val="clear" w:color="auto" w:fill="FFFFFF"/>
          <w:lang w:val="en-US"/>
        </w:rPr>
        <w:t xml:space="preserve"> 38, B-1860 </w:t>
      </w:r>
      <w:proofErr w:type="spellStart"/>
      <w:r w:rsidRPr="0040278A">
        <w:rPr>
          <w:rFonts w:cs="Arial"/>
          <w:color w:val="000000" w:themeColor="text1"/>
          <w:sz w:val="24"/>
          <w:szCs w:val="20"/>
          <w:shd w:val="clear" w:color="auto" w:fill="FFFFFF"/>
          <w:lang w:val="en-US"/>
        </w:rPr>
        <w:t>Meise</w:t>
      </w:r>
      <w:proofErr w:type="spellEnd"/>
      <w:r w:rsidRPr="0040278A">
        <w:rPr>
          <w:rFonts w:cs="Arial"/>
          <w:color w:val="000000" w:themeColor="text1"/>
          <w:sz w:val="24"/>
          <w:szCs w:val="20"/>
          <w:shd w:val="clear" w:color="auto" w:fill="FFFFFF"/>
          <w:lang w:val="en-US"/>
        </w:rPr>
        <w:t>, Belgium</w:t>
      </w:r>
    </w:p>
    <w:p w:rsidR="00247D90" w:rsidRDefault="00247D90">
      <w:pPr>
        <w:spacing w:after="0" w:line="240" w:lineRule="auto"/>
        <w:rPr>
          <w:b/>
          <w:lang w:val="en-US"/>
        </w:rPr>
      </w:pPr>
      <w:r>
        <w:rPr>
          <w:b/>
          <w:lang w:val="en-US"/>
        </w:rPr>
        <w:br w:type="page"/>
      </w:r>
    </w:p>
    <w:p w:rsidR="001C371B" w:rsidRDefault="00C7562E">
      <w:pPr>
        <w:jc w:val="both"/>
        <w:rPr>
          <w:b/>
          <w:lang w:val="en-US"/>
        </w:rPr>
      </w:pPr>
      <w:r>
        <w:rPr>
          <w:b/>
          <w:lang w:val="en-US"/>
        </w:rPr>
        <w:lastRenderedPageBreak/>
        <w:t>Analytical process of TLC/MS hyphenation</w:t>
      </w:r>
    </w:p>
    <w:p w:rsidR="001C371B" w:rsidRDefault="00C7562E">
      <w:pPr>
        <w:jc w:val="both"/>
      </w:pPr>
      <w:r>
        <w:rPr>
          <w:lang w:val="en-US"/>
        </w:rPr>
        <w:t xml:space="preserve">The hyphenation of TLC with mass spectrometry long represented an analytical challenge as the </w:t>
      </w:r>
      <w:proofErr w:type="spellStart"/>
      <w:r>
        <w:rPr>
          <w:lang w:val="en-US"/>
        </w:rPr>
        <w:t>analytes</w:t>
      </w:r>
      <w:proofErr w:type="spellEnd"/>
      <w:r>
        <w:rPr>
          <w:lang w:val="en-US"/>
        </w:rPr>
        <w:t xml:space="preserve"> remain adsorbed at the surface of the silica plate after the migration unlike column-based chromatographic techniques in which compounds are eluted due to a gas or liquid flow. A possible way to solve the apparent incompatibility between the static planar chromatography and the need for a stable supply of liquid sample into the mass spectrometer was the development of elution-based techniques to transfer the TLC-separated compounds into a solvent stream </w:t>
      </w:r>
      <w:r>
        <w:fldChar w:fldCharType="begin"/>
      </w:r>
      <w:r>
        <w:instrText>ADDIN ZOTERO_ITEM CSL_CITATION {"citationID":"1o0tl78bqh","properties":{"formattedCitation":"(Morlock &amp; Schwack 2010)","plainCitation":"(Morlock &amp; Schwack 2010)"},"citationItems":[{"id":2142,"uris":["http://zotero.org/users/local/xx2muGld/items/GS9GJZCI"],"uri":["http://zotero.org/users/local/xx2muGld/items/GS9GJZCI"],"itemData":{"id":2142,"type":"article-journal","title":"Coupling of planar chromatography to mass spectrometry","container-title":"TrAC Trends in Analytical Chemistry","page":"1157–1171","volume":"29","issue":"10","source":"Google Scholar","author":[{"family":"Morlock","given":"Gertrud"},{"family":"Schwack","given":"Wolfgang"}],"issued":{"date-parts":[["2010"]]},"accessed":{"date-parts":[["2016",3,17]]}}}],"schema":"https://github.com/citation-style-language/schema/raw/master/csl-citation.json"}</w:instrText>
      </w:r>
      <w:r>
        <w:fldChar w:fldCharType="separate"/>
      </w:r>
      <w:bookmarkStart w:id="1" w:name="__Fieldmark__3301_2022466698"/>
      <w:r>
        <w:rPr>
          <w:lang w:val="en-US"/>
        </w:rPr>
        <w:t>(Morlock &amp; Schwack 2010)</w:t>
      </w:r>
      <w:r>
        <w:fldChar w:fldCharType="end"/>
      </w:r>
      <w:bookmarkEnd w:id="1"/>
      <w:r>
        <w:rPr>
          <w:lang w:val="en-US"/>
        </w:rPr>
        <w:t xml:space="preserve">. A prototype developed and reported by </w:t>
      </w:r>
      <w:proofErr w:type="spellStart"/>
      <w:r>
        <w:rPr>
          <w:lang w:val="en-US"/>
        </w:rPr>
        <w:t>Luftmann</w:t>
      </w:r>
      <w:proofErr w:type="spellEnd"/>
      <w:r>
        <w:rPr>
          <w:lang w:val="en-US"/>
        </w:rPr>
        <w:t xml:space="preserve"> in 2004 first addressed this shortcoming with a TLC-MS interface that mostly consisted of a stainless steel plunger that contains a solvent inlet and an outlet capillary </w:t>
      </w:r>
      <w:r>
        <w:fldChar w:fldCharType="begin"/>
      </w:r>
      <w:r>
        <w:instrText>ADDIN ZOTERO_ITEM CSL_CITATION {"citationID":"884d9uugc","properties":{"formattedCitation":"(Luftmann 2004)","plainCitation":"(Luftmann 2004)"},"citationItems":[{"id":2146,"uris":["http://zotero.org/users/local/xx2muGld/items/PFQT6G7K"],"uri":["http://zotero.org/users/local/xx2muGld/items/PFQT6G7K"],"itemData":{"id":2146,"type":"article-journal","title":"A simple device for the extraction of TLC spots: direct coupling with an electrospray mass spectrometer","container-title":"Analytical and bioanalytical chemistry","page":"964–968","volume":"378","issue":"4","source":"Google Scholar","shortTitle":"A simple device for the extraction of TLC spots","author":[{"family":"Luftmann","given":"Heinrich"}],"issued":{"date-parts":[["2004"]]},"accessed":{"date-parts":[["2016",3,17]]}}}],"schema":"https://github.com/citation-style-language/schema/raw/master/csl-citation.json"}</w:instrText>
      </w:r>
      <w:r>
        <w:fldChar w:fldCharType="separate"/>
      </w:r>
      <w:bookmarkStart w:id="2" w:name="__Fieldmark__3308_2022466698"/>
      <w:r>
        <w:rPr>
          <w:lang w:val="en-US"/>
        </w:rPr>
        <w:t>(Luftmann 2004)</w:t>
      </w:r>
      <w:r>
        <w:fldChar w:fldCharType="end"/>
      </w:r>
      <w:bookmarkEnd w:id="2"/>
      <w:r>
        <w:rPr>
          <w:lang w:val="en-US"/>
        </w:rPr>
        <w:t xml:space="preserve">. This elution head can be pressed onto the region of interest of the plate to form a tight seal with the carrier foil owing to its cutting edge. The solvent can enter the desorption area through a small hole present at the periphery of the disk when the valve is switched to elution mode, dissolve the compounds and be forwarded to the mass spectrometer via the outlet capillary. A frit is present at the entrance of this latter to prevent silica particles from clogging downwards </w:t>
      </w:r>
      <w:r>
        <w:fldChar w:fldCharType="begin"/>
      </w:r>
      <w:r>
        <w:instrText>ADDIN ZOTERO_ITEM CSL_CITATION {"citationID":"1ar8uiodei","properties":{"formattedCitation":"{\\rtf (Luftmann \\i et al.\\i0{} 2007)}","plainCitation":"(Luftmann et al. 2007)"},"citationItems":[{"id":2148,"uris":["http://zotero.org/users/local/xx2muGld/items/BPFC76VR"],"uri":["http://zotero.org/users/local/xx2muGld/items/BPFC76VR"],"itemData":{"id":2148,"type":"article-journal","title":"Automated interface for hyphenation of planar chromatography with mass spectrometry","container-title":"Rapid Communications in Mass Spectrometry","page":"3772–3776","volume":"21","issue":"23","source":"Google Scholar","author":[{"family":"Luftmann","given":"Heinrich"},{"family":"Aranda","given":"Mario"},{"family":"Morlock","given":"Gertrud E."}],"issued":{"date-parts":[["2007"]]},"accessed":{"date-parts":[["2016",3,17]]}}}],"schema":"https://github.com/citation-style-language/schema/raw/master/csl-citation.json"}</w:instrText>
      </w:r>
      <w:r>
        <w:fldChar w:fldCharType="separate"/>
      </w:r>
      <w:bookmarkStart w:id="3" w:name="__Fieldmark__3313_2022466698"/>
      <w:r>
        <w:rPr>
          <w:rFonts w:cs="Times New Roman"/>
          <w:szCs w:val="24"/>
          <w:lang w:val="en-US"/>
        </w:rPr>
        <w:t xml:space="preserve">(Luftmann </w:t>
      </w:r>
      <w:r>
        <w:rPr>
          <w:rFonts w:cs="Times New Roman"/>
          <w:i/>
          <w:iCs/>
          <w:szCs w:val="24"/>
          <w:lang w:val="en-US"/>
        </w:rPr>
        <w:t>et al.</w:t>
      </w:r>
      <w:r>
        <w:rPr>
          <w:rFonts w:cs="Times New Roman"/>
          <w:szCs w:val="24"/>
          <w:lang w:val="en-US"/>
        </w:rPr>
        <w:t xml:space="preserve"> 2007)</w:t>
      </w:r>
      <w:r>
        <w:fldChar w:fldCharType="end"/>
      </w:r>
      <w:bookmarkEnd w:id="3"/>
      <w:r>
        <w:rPr>
          <w:lang w:val="en-US"/>
        </w:rPr>
        <w:t xml:space="preserve">. From the proof-of-concept described by </w:t>
      </w:r>
      <w:proofErr w:type="spellStart"/>
      <w:r>
        <w:rPr>
          <w:lang w:val="en-US"/>
        </w:rPr>
        <w:t>Luftmann</w:t>
      </w:r>
      <w:proofErr w:type="spellEnd"/>
      <w:r>
        <w:rPr>
          <w:lang w:val="en-US"/>
        </w:rPr>
        <w:t>, the commercially available devices include several improvements comprising a laser-light cross to target more accurately the zone to be desorbed. An automated cleaning of the elution head through N</w:t>
      </w:r>
      <w:r>
        <w:rPr>
          <w:vertAlign w:val="subscript"/>
          <w:lang w:val="en-US"/>
        </w:rPr>
        <w:t>2</w:t>
      </w:r>
      <w:r>
        <w:rPr>
          <w:lang w:val="en-US"/>
        </w:rPr>
        <w:t xml:space="preserve"> flux can be performed on commercial interfaces to eliminate residual clumpy layer particles that might remain at the surface of the cutting edge </w:t>
      </w:r>
      <w:r>
        <w:fldChar w:fldCharType="begin"/>
      </w:r>
      <w:r>
        <w:instrText>ADDIN ZOTERO_ITEM CSL_CITATION {"citationID":"1v6vlc61de","properties":{"formattedCitation":"(Morlock &amp; Schwack 2010)","plainCitation":"(Morlock &amp; Schwack 2010)"},"citationItems":[{"id":2142,"uris":["http://zotero.org/users/local/xx2muGld/items/GS9GJZCI"],"uri":["http://zotero.org/users/local/xx2muGld/items/GS9GJZCI"],"itemData":{"id":2142,"type":"article-journal","title":"Coupling of planar chromatography to mass spectrometry","container-title":"TrAC Trends in Analytical Chemistry","page":"1157–1171","volume":"29","issue":"10","source":"Google Scholar","author":[{"family":"Morlock","given":"Gertrud"},{"family":"Schwack","given":"Wolfgang"}],"issued":{"date-parts":[["2010"]]},"accessed":{"date-parts":[["2016",3,17]]}}}],"schema":"https://github.com/citation-style-language/schema/raw/master/csl-citation.json"}</w:instrText>
      </w:r>
      <w:r>
        <w:fldChar w:fldCharType="separate"/>
      </w:r>
      <w:bookmarkStart w:id="4" w:name="__Fieldmark__3326_2022466698"/>
      <w:r>
        <w:rPr>
          <w:lang w:val="en-US"/>
        </w:rPr>
        <w:t>(Morlock &amp; Schwack 2010)</w:t>
      </w:r>
      <w:r>
        <w:fldChar w:fldCharType="end"/>
      </w:r>
      <w:bookmarkEnd w:id="4"/>
      <w:r>
        <w:rPr>
          <w:lang w:val="en-US"/>
        </w:rPr>
        <w:t xml:space="preserve">.  An insight into the TLC/MS interface used in this work is presented in Figure </w:t>
      </w:r>
      <w:r w:rsidR="00247D90">
        <w:rPr>
          <w:lang w:val="en-US"/>
        </w:rPr>
        <w:t>S</w:t>
      </w:r>
      <w:r>
        <w:rPr>
          <w:lang w:val="en-US"/>
        </w:rPr>
        <w:t>1.</w:t>
      </w:r>
    </w:p>
    <w:p w:rsidR="001C371B" w:rsidRDefault="00C7562E">
      <w:pPr>
        <w:keepNext/>
        <w:jc w:val="center"/>
      </w:pPr>
      <w:r>
        <w:rPr>
          <w:noProof/>
          <w:lang w:eastAsia="fr-FR"/>
        </w:rPr>
        <w:drawing>
          <wp:inline distT="0" distB="0" distL="0" distR="0">
            <wp:extent cx="5665470" cy="2066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rcRect l="7602" t="31151" r="4927" b="12108"/>
                    <a:stretch>
                      <a:fillRect/>
                    </a:stretch>
                  </pic:blipFill>
                  <pic:spPr bwMode="auto">
                    <a:xfrm>
                      <a:off x="0" y="0"/>
                      <a:ext cx="5665470" cy="2066925"/>
                    </a:xfrm>
                    <a:prstGeom prst="rect">
                      <a:avLst/>
                    </a:prstGeom>
                  </pic:spPr>
                </pic:pic>
              </a:graphicData>
            </a:graphic>
          </wp:inline>
        </w:drawing>
      </w:r>
    </w:p>
    <w:p w:rsidR="001C371B" w:rsidRDefault="00C7562E">
      <w:pPr>
        <w:pStyle w:val="Lgende"/>
        <w:jc w:val="both"/>
      </w:pPr>
      <w:r>
        <w:rPr>
          <w:i w:val="0"/>
          <w:lang w:val="en-US"/>
        </w:rPr>
        <w:t>Figure S</w:t>
      </w:r>
      <w:r>
        <w:rPr>
          <w:i w:val="0"/>
          <w:lang w:val="en-US"/>
        </w:rPr>
        <w:fldChar w:fldCharType="begin"/>
      </w:r>
      <w:r>
        <w:instrText>SEQ Figure \* ARABIC</w:instrText>
      </w:r>
      <w:r>
        <w:fldChar w:fldCharType="separate"/>
      </w:r>
      <w:r w:rsidR="005F0BA9">
        <w:rPr>
          <w:noProof/>
        </w:rPr>
        <w:t>1</w:t>
      </w:r>
      <w:r>
        <w:fldChar w:fldCharType="end"/>
      </w:r>
      <w:r>
        <w:rPr>
          <w:i w:val="0"/>
          <w:lang w:val="en-US"/>
        </w:rPr>
        <w:t xml:space="preserve"> : Overview of the TLC-MS interface available from CAMAG (images taken from CAMAG website </w:t>
      </w:r>
      <w:hyperlink r:id="rId5">
        <w:r>
          <w:rPr>
            <w:rStyle w:val="LienInternet"/>
            <w:i w:val="0"/>
            <w:lang w:val="en-US"/>
          </w:rPr>
          <w:t>http://www.copybook.com/pharmaceutical/companies/camag/articles/tlc-mass-spectrometry</w:t>
        </w:r>
      </w:hyperlink>
      <w:r>
        <w:rPr>
          <w:i w:val="0"/>
          <w:lang w:val="en-US"/>
        </w:rPr>
        <w:t>). When the elution head is lowered and the valve switched to elution mode, the solvents move through the head and elute the zone previously positioned by the laser crosshairs. The extracted compound is then transferred online into the mass spectrometer but can also be collected for further offline analyses. When the valve is in bypass position, the solvent flow is directed into the mass spectrometer.</w:t>
      </w:r>
    </w:p>
    <w:p w:rsidR="001C371B" w:rsidRDefault="00C7562E">
      <w:pPr>
        <w:jc w:val="both"/>
      </w:pPr>
      <w:r>
        <w:rPr>
          <w:lang w:val="en-US"/>
        </w:rPr>
        <w:t xml:space="preserve">During the analysis of an extract, several mass spectrometric detections can be achieved on different spots of the plates. The ionization process is monitored in real time through the Total Ion Chromatogram (TIC) which is a chromatogram obtained by summing up intensities of all mass spectral peaks belonging to the same scan. Mass spectra can then be retrieved by left dragging along the TIC regions of interest. As recommended elsewhere, the impact of background signals originating from the plate and solvent residues on the mass spectra was reduced by subtracting a background mass spectrum obtained from a blank position of the plate </w:t>
      </w:r>
      <w:r>
        <w:fldChar w:fldCharType="begin"/>
      </w:r>
      <w:r>
        <w:instrText>ADDIN ZOTERO_ITEM CSL_CITATION {"citationID":"2q3hba696h","properties":{"formattedCitation":"{\\rtf (Morlock 2014; Taha \\i et al.\\i0{} 2015)}","plainCitation":"(Morlock 2014; Taha et al. 2015)"},"citationItems":[{"id":2167,"uris":["http://zotero.org/users/local/xx2muGld/items/G643QDGR"],"uri":["http://zotero.org/users/local/xx2muGld/items/G643QDGR"],"itemData":{"id":2167,"type":"article-journal","title":"Backgroung mass signals in TLC/HPTLC–ESI-MS and practical advices for the use of the TLC-MS interface","container-title":"Journal of Liquid Chromatography &amp; Related Technologies","page":"2892-2914","volume":"37","issue":"20","source":"CrossRef","DOI":"10.1080/10739149.2014.907000","ISSN":"1082-6076, 1520-572X","language":"en","author":[{"family":"Morlock","given":"Gertrud E."}],"issued":{"date-parts":[["2014",12,14]]},"accessed":{"date-parts":[["2016",3,27]]}}},{"id":2168,"uris":["http://zotero.org/users/local/xx2muGld/items/WQSSXRMK"],"uri":["http://zotero.org/users/local/xx2muGld/items/WQSSXRMK"],"itemData":{"id":2168,"type":"article-journal","title":"High-performance thin-layer chromatography linked with (bio)assays and mass spectrometry – A suited method for discovery and quantification of bioactive components? Exemplarily shown for turmeric and milk thistle extracts","container-title":"Journal of Chromatography A","page":"137-147","volume":"1394","source":"ScienceDirect","abstract":"Extraction parameters, chemical fingerprint, and the single compounds’ activity levels were considered for the selection of active botanicals. For an initial survey, the total bioactivity (i.e., total reducing capacity, total flavonoids contents and free radical scavenging capacity) of 21 aqueous and 21 ethanolic plant extracts was investigated. Ethanolic extracts showed a higher yield and were further analyzed by HPTLC in detail to obtain fingerprints of single flavonoids and further bioactive components. Exemplarily shown for turmeric (Curcuma longa) and milk thistle (Silybum marianum), effect-directed analysis (EDA) was performed using three selected (bio)assays, the Aliivibrio fischeri bioassay, the Bacillus subtilis bioassay and the 2,2-diphenyl-1-picrylhydrazyl (DPPH*) assay. As a proof of principle, the bioactive components found in the extracts were confirmed by HPTLC–MS. Bioassays in combination with planar chromatography directly linked to the known, single effective compounds like curcumin and silibinin. However, also some unknown bioactive components were discovered and exemplarily characterized, which demonstrated the strength of this kind of EDA. HPTLC–UV/Vis/FLD–EDA–MS could become a useful tool for selection of active botanicals and for the activity profiling of the active ingredients therein. The flexibility in effect-directed detections allows a comprehensive survey of effective ingredients in samples. This streamlined methodology comprised a non-targeted, effect-directed screening first, followed by a highly targeted characterization of the discovered bioactive compounds. HPTLC–EDA–MS can also be recommended for bioactivity profiling of food on the food intake side, as not only effective phytochemicals, but also unknown bioactive degradation products during food processing or contamination products or residues or metabolites can be detected. Thus, an efficient survey on potential food intake effects on wellness could be obtained. Having performed both, sum parameter assays and HPTLC analysis, a comparison of both approaches was made and discussed.","DOI":"10.1016/j.chroma.2015.03.029","ISSN":"0021-9673","shortTitle":"High-performance thin-layer chromatography linked with (bio)assays and mass spectrometry – A suited method for discovery and quantification of bioactive components?","journalAbbreviation":"Journal of Chromatography A","author":[{"family":"Taha","given":"Mahmoud N."},{"family":"Krawinkel","given":"Michael B."},{"family":"Morlock","given":"Gertrud E."}],"issued":{"date-parts":[["2015",5,15]]},"accessed":{"date-parts":[["2016",3,27]]}}}],"schema":"https://github.com/citation-style-language/schema/raw/master/csl-citation.json"}</w:instrText>
      </w:r>
      <w:r>
        <w:fldChar w:fldCharType="separate"/>
      </w:r>
      <w:bookmarkStart w:id="5" w:name="__Fieldmark__3346_2022466698"/>
      <w:r>
        <w:rPr>
          <w:rFonts w:cs="Times New Roman"/>
          <w:szCs w:val="24"/>
          <w:lang w:val="en-US"/>
        </w:rPr>
        <w:t xml:space="preserve">(Morlock 2014; Taha </w:t>
      </w:r>
      <w:r>
        <w:rPr>
          <w:rFonts w:cs="Times New Roman"/>
          <w:i/>
          <w:iCs/>
          <w:szCs w:val="24"/>
          <w:lang w:val="en-US"/>
        </w:rPr>
        <w:t>et al.</w:t>
      </w:r>
      <w:r>
        <w:rPr>
          <w:rFonts w:cs="Times New Roman"/>
          <w:szCs w:val="24"/>
          <w:lang w:val="en-US"/>
        </w:rPr>
        <w:t xml:space="preserve"> 2015)</w:t>
      </w:r>
      <w:r>
        <w:fldChar w:fldCharType="end"/>
      </w:r>
      <w:bookmarkEnd w:id="5"/>
      <w:r>
        <w:rPr>
          <w:lang w:val="en-US"/>
        </w:rPr>
        <w:t>. Afterwards, when screening for a specific signal (</w:t>
      </w:r>
      <w:proofErr w:type="spellStart"/>
      <w:r>
        <w:rPr>
          <w:lang w:val="en-US"/>
        </w:rPr>
        <w:t>e.g</w:t>
      </w:r>
      <w:proofErr w:type="spellEnd"/>
      <w:r>
        <w:rPr>
          <w:lang w:val="en-US"/>
        </w:rPr>
        <w:t xml:space="preserve"> </w:t>
      </w:r>
      <w:r w:rsidR="00D97535">
        <w:rPr>
          <w:lang w:val="en-US"/>
        </w:rPr>
        <w:t>deprotonated molecule</w:t>
      </w:r>
      <w:r>
        <w:rPr>
          <w:lang w:val="en-US"/>
        </w:rPr>
        <w:t xml:space="preserve"> of an expected metabolite), Reconstructed Ion Chromatogram (RIC) can be retrieved for a particular </w:t>
      </w:r>
      <w:r>
        <w:rPr>
          <w:i/>
          <w:lang w:val="en-US"/>
        </w:rPr>
        <w:t xml:space="preserve">m/z </w:t>
      </w:r>
      <w:r>
        <w:rPr>
          <w:lang w:val="en-US"/>
        </w:rPr>
        <w:t xml:space="preserve">value. This function is also of interest when the signal to noise ratio (S/N) is poor and it is questionable whether the peaks are </w:t>
      </w:r>
      <w:r>
        <w:rPr>
          <w:lang w:val="en-US"/>
        </w:rPr>
        <w:lastRenderedPageBreak/>
        <w:t xml:space="preserve">related to genuine molecules or to artefacts. Hence, if signals are ascribed to a single desorption area, it can reliably be assigned to an authentic molecule signal. Adversely, if the Reconstructed Ion Chromatogram results in a permanent signal or in a peak present at each desorption spot, it can be assumed that it corresponds to an artefact. This whole analytical process is presented in Figure S2, illustrated by the example of </w:t>
      </w:r>
      <w:proofErr w:type="spellStart"/>
      <w:r>
        <w:rPr>
          <w:i/>
          <w:lang w:val="en-US"/>
        </w:rPr>
        <w:t>Pertusaria</w:t>
      </w:r>
      <w:proofErr w:type="spellEnd"/>
      <w:r>
        <w:rPr>
          <w:i/>
          <w:lang w:val="en-US"/>
        </w:rPr>
        <w:t xml:space="preserve"> </w:t>
      </w:r>
      <w:proofErr w:type="spellStart"/>
      <w:r>
        <w:rPr>
          <w:i/>
          <w:lang w:val="en-US"/>
        </w:rPr>
        <w:t>amara</w:t>
      </w:r>
      <w:proofErr w:type="spellEnd"/>
      <w:r>
        <w:rPr>
          <w:i/>
          <w:lang w:val="en-US"/>
        </w:rPr>
        <w:t xml:space="preserve"> </w:t>
      </w:r>
      <w:r>
        <w:rPr>
          <w:lang w:val="en-US"/>
        </w:rPr>
        <w:t>chemical profiling.</w:t>
      </w:r>
    </w:p>
    <w:p w:rsidR="001C371B" w:rsidRDefault="00C7562E">
      <w:pPr>
        <w:keepNext/>
        <w:jc w:val="both"/>
      </w:pPr>
      <w:r>
        <w:rPr>
          <w:noProof/>
          <w:lang w:eastAsia="fr-FR"/>
        </w:rPr>
        <w:drawing>
          <wp:inline distT="0" distB="0" distL="0" distR="0">
            <wp:extent cx="5760720" cy="3240405"/>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6"/>
                    <a:stretch>
                      <a:fillRect/>
                    </a:stretch>
                  </pic:blipFill>
                  <pic:spPr bwMode="auto">
                    <a:xfrm>
                      <a:off x="0" y="0"/>
                      <a:ext cx="5760720" cy="3240405"/>
                    </a:xfrm>
                    <a:prstGeom prst="rect">
                      <a:avLst/>
                    </a:prstGeom>
                  </pic:spPr>
                </pic:pic>
              </a:graphicData>
            </a:graphic>
          </wp:inline>
        </w:drawing>
      </w:r>
    </w:p>
    <w:p w:rsidR="001C371B" w:rsidRDefault="00C7562E">
      <w:pPr>
        <w:pStyle w:val="Lgende"/>
        <w:jc w:val="both"/>
        <w:rPr>
          <w:i w:val="0"/>
          <w:lang w:val="en-US"/>
        </w:rPr>
      </w:pPr>
      <w:r>
        <w:rPr>
          <w:i w:val="0"/>
          <w:lang w:val="en-US"/>
        </w:rPr>
        <w:t>Figure S</w:t>
      </w:r>
      <w:r>
        <w:rPr>
          <w:i w:val="0"/>
          <w:lang w:val="en-US"/>
        </w:rPr>
        <w:fldChar w:fldCharType="begin"/>
      </w:r>
      <w:r>
        <w:instrText>SEQ Figure \* ARABIC</w:instrText>
      </w:r>
      <w:r>
        <w:fldChar w:fldCharType="separate"/>
      </w:r>
      <w:r w:rsidR="005F0BA9">
        <w:rPr>
          <w:noProof/>
        </w:rPr>
        <w:t>2</w:t>
      </w:r>
      <w:r>
        <w:fldChar w:fldCharType="end"/>
      </w:r>
      <w:r>
        <w:rPr>
          <w:i w:val="0"/>
          <w:lang w:val="en-US"/>
        </w:rPr>
        <w:t xml:space="preserve"> : Workflow diagram of TLC-MS analysis: chemical profiling of </w:t>
      </w:r>
      <w:proofErr w:type="spellStart"/>
      <w:r>
        <w:rPr>
          <w:lang w:val="en-US"/>
        </w:rPr>
        <w:t>Pertusaria</w:t>
      </w:r>
      <w:proofErr w:type="spellEnd"/>
      <w:r>
        <w:rPr>
          <w:lang w:val="en-US"/>
        </w:rPr>
        <w:t xml:space="preserve"> </w:t>
      </w:r>
      <w:proofErr w:type="spellStart"/>
      <w:r>
        <w:rPr>
          <w:lang w:val="en-US"/>
        </w:rPr>
        <w:t>amara</w:t>
      </w:r>
      <w:proofErr w:type="spellEnd"/>
      <w:r>
        <w:rPr>
          <w:i w:val="0"/>
          <w:lang w:val="en-US"/>
        </w:rPr>
        <w:t xml:space="preserve">. TLC of the crude acetone extract of </w:t>
      </w:r>
      <w:proofErr w:type="spellStart"/>
      <w:r>
        <w:rPr>
          <w:lang w:val="en-US"/>
        </w:rPr>
        <w:t>Pertusaria</w:t>
      </w:r>
      <w:proofErr w:type="spellEnd"/>
      <w:r>
        <w:rPr>
          <w:lang w:val="en-US"/>
        </w:rPr>
        <w:t xml:space="preserve"> </w:t>
      </w:r>
      <w:proofErr w:type="spellStart"/>
      <w:r>
        <w:rPr>
          <w:lang w:val="en-US"/>
        </w:rPr>
        <w:t>amara</w:t>
      </w:r>
      <w:proofErr w:type="spellEnd"/>
      <w:r>
        <w:rPr>
          <w:lang w:val="en-US"/>
        </w:rPr>
        <w:t xml:space="preserve"> </w:t>
      </w:r>
      <w:r>
        <w:rPr>
          <w:i w:val="0"/>
          <w:lang w:val="en-US"/>
        </w:rPr>
        <w:t xml:space="preserve">(1), Total Ion Chromatogram obtained from the TLC-NI-ESI-MS analysis of </w:t>
      </w:r>
      <w:r>
        <w:rPr>
          <w:lang w:val="en-US"/>
        </w:rPr>
        <w:t xml:space="preserve">P. </w:t>
      </w:r>
      <w:proofErr w:type="spellStart"/>
      <w:r>
        <w:rPr>
          <w:lang w:val="en-US"/>
        </w:rPr>
        <w:t>amara</w:t>
      </w:r>
      <w:proofErr w:type="spellEnd"/>
      <w:r>
        <w:rPr>
          <w:lang w:val="en-US"/>
        </w:rPr>
        <w:t xml:space="preserve"> </w:t>
      </w:r>
      <w:r>
        <w:rPr>
          <w:i w:val="0"/>
          <w:lang w:val="en-US"/>
        </w:rPr>
        <w:t xml:space="preserve">(2), NI-ESI mass spectrum retrieved from </w:t>
      </w:r>
      <w:r w:rsidR="00AA5F62">
        <w:rPr>
          <w:i w:val="0"/>
          <w:lang w:val="en-US"/>
        </w:rPr>
        <w:t>s</w:t>
      </w:r>
      <w:r>
        <w:rPr>
          <w:i w:val="0"/>
          <w:lang w:val="en-US"/>
        </w:rPr>
        <w:t>pot 1 (</w:t>
      </w:r>
      <w:proofErr w:type="spellStart"/>
      <w:r w:rsidR="00AA5F62">
        <w:rPr>
          <w:i w:val="0"/>
          <w:lang w:val="en-US"/>
        </w:rPr>
        <w:t>s</w:t>
      </w:r>
      <w:r>
        <w:rPr>
          <w:i w:val="0"/>
          <w:lang w:val="en-US"/>
        </w:rPr>
        <w:t>ubpicrolichenic</w:t>
      </w:r>
      <w:proofErr w:type="spellEnd"/>
      <w:r>
        <w:rPr>
          <w:i w:val="0"/>
          <w:lang w:val="en-US"/>
        </w:rPr>
        <w:t xml:space="preserve"> acid</w:t>
      </w:r>
      <w:r w:rsidR="00D97535">
        <w:rPr>
          <w:i w:val="0"/>
          <w:lang w:val="en-US"/>
        </w:rPr>
        <w:t>)</w:t>
      </w:r>
      <w:r>
        <w:rPr>
          <w:i w:val="0"/>
          <w:lang w:val="en-US"/>
        </w:rPr>
        <w:t xml:space="preserve">, </w:t>
      </w:r>
      <w:r w:rsidR="00D97535">
        <w:rPr>
          <w:i w:val="0"/>
          <w:lang w:val="en-US"/>
        </w:rPr>
        <w:t>(</w:t>
      </w:r>
      <w:r>
        <w:rPr>
          <w:i w:val="0"/>
          <w:lang w:val="en-US"/>
        </w:rPr>
        <w:t>3)</w:t>
      </w:r>
      <w:r w:rsidR="00D97535">
        <w:rPr>
          <w:i w:val="0"/>
          <w:lang w:val="en-US"/>
        </w:rPr>
        <w:t xml:space="preserve"> and </w:t>
      </w:r>
      <w:r w:rsidR="00AA5F62">
        <w:rPr>
          <w:i w:val="0"/>
          <w:lang w:val="en-US"/>
        </w:rPr>
        <w:t>s</w:t>
      </w:r>
      <w:r w:rsidR="00D97535">
        <w:rPr>
          <w:i w:val="0"/>
          <w:lang w:val="en-US"/>
        </w:rPr>
        <w:t>pot 2 (</w:t>
      </w:r>
      <w:proofErr w:type="spellStart"/>
      <w:r w:rsidR="00AA5F62">
        <w:rPr>
          <w:i w:val="0"/>
          <w:lang w:val="en-US"/>
        </w:rPr>
        <w:t>p</w:t>
      </w:r>
      <w:r w:rsidR="00D97535">
        <w:rPr>
          <w:i w:val="0"/>
          <w:lang w:val="en-US"/>
        </w:rPr>
        <w:t>icrolichenic</w:t>
      </w:r>
      <w:proofErr w:type="spellEnd"/>
      <w:r w:rsidR="00D97535">
        <w:rPr>
          <w:i w:val="0"/>
          <w:lang w:val="en-US"/>
        </w:rPr>
        <w:t xml:space="preserve"> acid)</w:t>
      </w:r>
      <w:r>
        <w:rPr>
          <w:i w:val="0"/>
          <w:lang w:val="en-US"/>
        </w:rPr>
        <w:t xml:space="preserve"> </w:t>
      </w:r>
      <w:r w:rsidR="00D97535">
        <w:rPr>
          <w:i w:val="0"/>
          <w:lang w:val="en-US"/>
        </w:rPr>
        <w:t>(</w:t>
      </w:r>
      <w:r>
        <w:rPr>
          <w:i w:val="0"/>
          <w:lang w:val="en-US"/>
        </w:rPr>
        <w:t xml:space="preserve">4) and Reconstructed Ion Chromatograms retrieved from </w:t>
      </w:r>
      <w:r>
        <w:rPr>
          <w:lang w:val="en-US"/>
        </w:rPr>
        <w:t xml:space="preserve">m/z </w:t>
      </w:r>
      <w:r>
        <w:rPr>
          <w:i w:val="0"/>
          <w:lang w:val="en-US"/>
        </w:rPr>
        <w:t xml:space="preserve">413 (5) and </w:t>
      </w:r>
      <w:r>
        <w:rPr>
          <w:lang w:val="en-US"/>
        </w:rPr>
        <w:t xml:space="preserve">m/z </w:t>
      </w:r>
      <w:r>
        <w:rPr>
          <w:i w:val="0"/>
          <w:lang w:val="en-US"/>
        </w:rPr>
        <w:t>441 (6).</w:t>
      </w:r>
    </w:p>
    <w:p w:rsidR="009900C1" w:rsidRDefault="009900C1">
      <w:pPr>
        <w:spacing w:after="0" w:line="240" w:lineRule="auto"/>
        <w:rPr>
          <w:b/>
          <w:color w:val="FF0000"/>
          <w:lang w:val="en-US"/>
        </w:rPr>
      </w:pPr>
      <w:r>
        <w:rPr>
          <w:b/>
          <w:color w:val="FF0000"/>
          <w:lang w:val="en-US"/>
        </w:rPr>
        <w:br w:type="page"/>
      </w:r>
    </w:p>
    <w:p w:rsidR="005F0BA9" w:rsidRPr="00D64227" w:rsidRDefault="005F0BA9" w:rsidP="005F0BA9">
      <w:pPr>
        <w:rPr>
          <w:b/>
          <w:color w:val="FF0000"/>
          <w:lang w:val="en-US"/>
        </w:rPr>
      </w:pPr>
      <w:r w:rsidRPr="00D64227">
        <w:rPr>
          <w:b/>
          <w:color w:val="FF0000"/>
          <w:lang w:val="en-US"/>
        </w:rPr>
        <w:lastRenderedPageBreak/>
        <w:t>Chemical structure</w:t>
      </w:r>
      <w:r w:rsidR="00D64227" w:rsidRPr="00D64227">
        <w:rPr>
          <w:b/>
          <w:color w:val="FF0000"/>
          <w:lang w:val="en-US"/>
        </w:rPr>
        <w:t>s</w:t>
      </w:r>
      <w:r w:rsidRPr="00D64227">
        <w:rPr>
          <w:b/>
          <w:color w:val="FF0000"/>
          <w:lang w:val="en-US"/>
        </w:rPr>
        <w:t xml:space="preserve"> of </w:t>
      </w:r>
      <w:r w:rsidR="00D64227" w:rsidRPr="00D64227">
        <w:rPr>
          <w:b/>
          <w:color w:val="FF0000"/>
          <w:lang w:val="en-US"/>
        </w:rPr>
        <w:t>pure molecules detected by TLC-NI-ESI-MS</w:t>
      </w:r>
    </w:p>
    <w:p w:rsidR="005F0BA9" w:rsidRDefault="00D64227" w:rsidP="005F0BA9">
      <w:pPr>
        <w:keepNext/>
        <w:jc w:val="center"/>
      </w:pPr>
      <w:r>
        <w:rPr>
          <w:noProof/>
          <w:lang w:eastAsia="fr-FR"/>
        </w:rPr>
        <w:drawing>
          <wp:inline distT="0" distB="0" distL="0" distR="0">
            <wp:extent cx="5760720" cy="35286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leculesPu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528695"/>
                    </a:xfrm>
                    <a:prstGeom prst="rect">
                      <a:avLst/>
                    </a:prstGeom>
                  </pic:spPr>
                </pic:pic>
              </a:graphicData>
            </a:graphic>
          </wp:inline>
        </w:drawing>
      </w:r>
    </w:p>
    <w:p w:rsidR="005F0BA9" w:rsidRPr="00D64227" w:rsidRDefault="005F0BA9" w:rsidP="005F0BA9">
      <w:pPr>
        <w:pStyle w:val="Lgende"/>
        <w:jc w:val="center"/>
        <w:rPr>
          <w:b/>
          <w:i w:val="0"/>
          <w:color w:val="FF0000"/>
          <w:lang w:val="en-US"/>
        </w:rPr>
      </w:pPr>
      <w:r w:rsidRPr="00D64227">
        <w:rPr>
          <w:i w:val="0"/>
          <w:color w:val="FF0000"/>
        </w:rPr>
        <w:t>Figure S</w:t>
      </w:r>
      <w:r w:rsidRPr="00D64227">
        <w:rPr>
          <w:i w:val="0"/>
          <w:color w:val="FF0000"/>
        </w:rPr>
        <w:fldChar w:fldCharType="begin"/>
      </w:r>
      <w:r w:rsidRPr="00D64227">
        <w:rPr>
          <w:i w:val="0"/>
          <w:color w:val="FF0000"/>
        </w:rPr>
        <w:instrText xml:space="preserve"> SEQ Figure \* ARABIC </w:instrText>
      </w:r>
      <w:r w:rsidRPr="00D64227">
        <w:rPr>
          <w:i w:val="0"/>
          <w:color w:val="FF0000"/>
        </w:rPr>
        <w:fldChar w:fldCharType="separate"/>
      </w:r>
      <w:r w:rsidRPr="00D64227">
        <w:rPr>
          <w:i w:val="0"/>
          <w:noProof/>
          <w:color w:val="FF0000"/>
        </w:rPr>
        <w:t>3</w:t>
      </w:r>
      <w:r w:rsidRPr="00D64227">
        <w:rPr>
          <w:i w:val="0"/>
          <w:color w:val="FF0000"/>
        </w:rPr>
        <w:fldChar w:fldCharType="end"/>
      </w:r>
      <w:r w:rsidRPr="00D64227">
        <w:rPr>
          <w:i w:val="0"/>
          <w:color w:val="FF0000"/>
        </w:rPr>
        <w:t xml:space="preserve"> : Chemical structure of </w:t>
      </w:r>
      <w:r w:rsidR="00D64227" w:rsidRPr="00D64227">
        <w:rPr>
          <w:i w:val="0"/>
          <w:color w:val="FF0000"/>
        </w:rPr>
        <w:t xml:space="preserve">single compounds </w:t>
      </w:r>
      <w:proofErr w:type="spellStart"/>
      <w:r w:rsidR="00D64227" w:rsidRPr="00D64227">
        <w:rPr>
          <w:i w:val="0"/>
          <w:color w:val="FF0000"/>
        </w:rPr>
        <w:t>investigated</w:t>
      </w:r>
      <w:proofErr w:type="spellEnd"/>
      <w:r w:rsidR="00D64227" w:rsidRPr="00D64227">
        <w:rPr>
          <w:i w:val="0"/>
          <w:color w:val="FF0000"/>
        </w:rPr>
        <w:t xml:space="preserve"> in the course of </w:t>
      </w:r>
      <w:proofErr w:type="spellStart"/>
      <w:r w:rsidR="00D64227" w:rsidRPr="00D64227">
        <w:rPr>
          <w:i w:val="0"/>
          <w:color w:val="FF0000"/>
        </w:rPr>
        <w:t>this</w:t>
      </w:r>
      <w:proofErr w:type="spellEnd"/>
      <w:r w:rsidR="00D64227" w:rsidRPr="00D64227">
        <w:rPr>
          <w:i w:val="0"/>
          <w:color w:val="FF0000"/>
        </w:rPr>
        <w:t xml:space="preserve"> </w:t>
      </w:r>
      <w:proofErr w:type="spellStart"/>
      <w:r w:rsidR="00D64227" w:rsidRPr="00D64227">
        <w:rPr>
          <w:i w:val="0"/>
          <w:color w:val="FF0000"/>
        </w:rPr>
        <w:t>study</w:t>
      </w:r>
      <w:proofErr w:type="spellEnd"/>
    </w:p>
    <w:p w:rsidR="001C371B" w:rsidRDefault="00C7562E">
      <w:pPr>
        <w:rPr>
          <w:b/>
          <w:lang w:val="en-US"/>
        </w:rPr>
      </w:pPr>
      <w:r>
        <w:rPr>
          <w:b/>
          <w:lang w:val="en-US"/>
        </w:rPr>
        <w:t>Settings of DART-MS analyses</w:t>
      </w:r>
    </w:p>
    <w:p w:rsidR="001C371B" w:rsidRDefault="00C7562E">
      <w:pPr>
        <w:jc w:val="both"/>
        <w:rPr>
          <w:lang w:val="en-US"/>
        </w:rPr>
      </w:pPr>
      <w:r>
        <w:rPr>
          <w:lang w:val="en-US"/>
        </w:rPr>
        <w:t>DART-HRMS analyses were performed using a JEOL JMS-T100CS (</w:t>
      </w:r>
      <w:proofErr w:type="spellStart"/>
      <w:r>
        <w:rPr>
          <w:lang w:val="en-US"/>
        </w:rPr>
        <w:t>AccuTOF</w:t>
      </w:r>
      <w:proofErr w:type="spellEnd"/>
      <w:r>
        <w:rPr>
          <w:lang w:val="en-US"/>
        </w:rPr>
        <w:t xml:space="preserve"> CS) orthogonal time-of flight (TOF) mass spectrometer (Peabody, MA) equipped with an </w:t>
      </w:r>
      <w:proofErr w:type="spellStart"/>
      <w:r>
        <w:rPr>
          <w:lang w:val="en-US"/>
        </w:rPr>
        <w:t>IonSense</w:t>
      </w:r>
      <w:proofErr w:type="spellEnd"/>
      <w:r>
        <w:rPr>
          <w:lang w:val="en-US"/>
        </w:rPr>
        <w:t xml:space="preserve"> DART Source (Danvers, MA). Ultra-high purity helium was used as reagent gas at a flow rate of 4 L min</w:t>
      </w:r>
      <w:r>
        <w:rPr>
          <w:vertAlign w:val="superscript"/>
          <w:lang w:val="en-US"/>
        </w:rPr>
        <w:t>-1</w:t>
      </w:r>
      <w:r>
        <w:rPr>
          <w:lang w:val="en-US"/>
        </w:rPr>
        <w:t xml:space="preserve"> and under a temperature value of 523 K. The following DART-needle, discharge electrode, and the grid electrode voltage values used were 3500, 150, and 250 V, respectively. The voltage values of orifice 1, orifice 2, and the ring lens were set at 15, 5, and 10 V, respectively. The orifice 1 temperature was kept at 353 K. The detector voltage was set at 2300 V. The mass spectra were recorded every second with a resolution of 6000 (</w:t>
      </w:r>
      <w:proofErr w:type="spellStart"/>
      <w:r>
        <w:rPr>
          <w:lang w:val="en-US"/>
        </w:rPr>
        <w:t>fwhm</w:t>
      </w:r>
      <w:proofErr w:type="spellEnd"/>
      <w:r>
        <w:rPr>
          <w:lang w:val="en-US"/>
        </w:rPr>
        <w:t xml:space="preserve"> definition). The mass scale was calibrated using the [M-H</w:t>
      </w:r>
      <w:proofErr w:type="gramStart"/>
      <w:r>
        <w:rPr>
          <w:lang w:val="en-US"/>
        </w:rPr>
        <w:t>]</w:t>
      </w:r>
      <w:r>
        <w:rPr>
          <w:vertAlign w:val="superscript"/>
          <w:lang w:val="en-US"/>
        </w:rPr>
        <w:t>-</w:t>
      </w:r>
      <w:proofErr w:type="gramEnd"/>
      <w:r>
        <w:rPr>
          <w:lang w:val="en-US"/>
        </w:rPr>
        <w:t xml:space="preserve"> ion series of a poly(</w:t>
      </w:r>
      <w:proofErr w:type="spellStart"/>
      <w:r>
        <w:rPr>
          <w:lang w:val="en-US"/>
        </w:rPr>
        <w:t>ethyleneglycol</w:t>
      </w:r>
      <w:proofErr w:type="spellEnd"/>
      <w:r>
        <w:rPr>
          <w:lang w:val="en-US"/>
        </w:rPr>
        <w:t>) sulfate diluted in a CH</w:t>
      </w:r>
      <w:r>
        <w:rPr>
          <w:vertAlign w:val="subscript"/>
          <w:lang w:val="en-US"/>
        </w:rPr>
        <w:t>2</w:t>
      </w:r>
      <w:r>
        <w:rPr>
          <w:lang w:val="en-US"/>
        </w:rPr>
        <w:t>Cl</w:t>
      </w:r>
      <w:r>
        <w:rPr>
          <w:vertAlign w:val="subscript"/>
          <w:lang w:val="en-US"/>
        </w:rPr>
        <w:t>2</w:t>
      </w:r>
      <w:r>
        <w:rPr>
          <w:lang w:val="en-US"/>
        </w:rPr>
        <w:t>/</w:t>
      </w:r>
      <w:proofErr w:type="spellStart"/>
      <w:r>
        <w:rPr>
          <w:lang w:val="en-US"/>
        </w:rPr>
        <w:t>MeOH</w:t>
      </w:r>
      <w:proofErr w:type="spellEnd"/>
      <w:r>
        <w:rPr>
          <w:lang w:val="en-US"/>
        </w:rPr>
        <w:t xml:space="preserve"> mixture (1:1</w:t>
      </w:r>
      <w:r w:rsidR="00D64227" w:rsidRPr="00D64227">
        <w:rPr>
          <w:color w:val="FF0000"/>
          <w:lang w:val="en-US"/>
        </w:rPr>
        <w:t>, v/v</w:t>
      </w:r>
      <w:r>
        <w:rPr>
          <w:lang w:val="en-US"/>
        </w:rPr>
        <w:t xml:space="preserve">). To perform accurate mass measurements, the mass drift compensation procedure available on the main program that controls the </w:t>
      </w:r>
      <w:proofErr w:type="spellStart"/>
      <w:r>
        <w:rPr>
          <w:lang w:val="en-US"/>
        </w:rPr>
        <w:t>AccuTOF</w:t>
      </w:r>
      <w:proofErr w:type="spellEnd"/>
      <w:r>
        <w:rPr>
          <w:lang w:val="en-US"/>
        </w:rPr>
        <w:t xml:space="preserve"> CS was used to compensate for the </w:t>
      </w:r>
      <w:r>
        <w:rPr>
          <w:i/>
          <w:lang w:val="en-US"/>
        </w:rPr>
        <w:t>m/z</w:t>
      </w:r>
      <w:r>
        <w:rPr>
          <w:lang w:val="en-US"/>
        </w:rPr>
        <w:t xml:space="preserve"> drift in the range of </w:t>
      </w:r>
      <w:r>
        <w:rPr>
          <w:i/>
          <w:lang w:val="en-US"/>
        </w:rPr>
        <w:t>m/z</w:t>
      </w:r>
      <w:r>
        <w:rPr>
          <w:lang w:val="en-US"/>
        </w:rPr>
        <w:t xml:space="preserve"> 100 to 500. DART-MS analysis of the intact pieces of </w:t>
      </w:r>
      <w:proofErr w:type="spellStart"/>
      <w:r>
        <w:rPr>
          <w:i/>
          <w:lang w:val="en-US"/>
        </w:rPr>
        <w:t>Usnea</w:t>
      </w:r>
      <w:proofErr w:type="spellEnd"/>
      <w:r>
        <w:rPr>
          <w:i/>
          <w:lang w:val="en-US"/>
        </w:rPr>
        <w:t xml:space="preserve"> </w:t>
      </w:r>
      <w:proofErr w:type="spellStart"/>
      <w:r>
        <w:rPr>
          <w:i/>
          <w:lang w:val="en-US"/>
        </w:rPr>
        <w:t>trachycarpa</w:t>
      </w:r>
      <w:proofErr w:type="spellEnd"/>
      <w:r>
        <w:rPr>
          <w:lang w:val="en-US"/>
        </w:rPr>
        <w:t xml:space="preserve"> were performed by holding unprocessed pieces of lichen between tweezers directly under the helium stream.</w:t>
      </w:r>
    </w:p>
    <w:p w:rsidR="001C371B" w:rsidRDefault="00C7562E">
      <w:pPr>
        <w:jc w:val="both"/>
        <w:rPr>
          <w:b/>
          <w:i/>
          <w:lang w:val="en-US"/>
        </w:rPr>
      </w:pPr>
      <w:r>
        <w:rPr>
          <w:b/>
          <w:lang w:val="en-US"/>
        </w:rPr>
        <w:t xml:space="preserve">DART-MS analysis of </w:t>
      </w:r>
      <w:proofErr w:type="spellStart"/>
      <w:r>
        <w:rPr>
          <w:b/>
          <w:i/>
          <w:lang w:val="en-US"/>
        </w:rPr>
        <w:t>Usnea</w:t>
      </w:r>
      <w:proofErr w:type="spellEnd"/>
      <w:r>
        <w:rPr>
          <w:b/>
          <w:i/>
          <w:lang w:val="en-US"/>
        </w:rPr>
        <w:t xml:space="preserve"> </w:t>
      </w:r>
      <w:proofErr w:type="spellStart"/>
      <w:r>
        <w:rPr>
          <w:b/>
          <w:i/>
          <w:lang w:val="en-US"/>
        </w:rPr>
        <w:t>trachycarpa</w:t>
      </w:r>
      <w:proofErr w:type="spellEnd"/>
    </w:p>
    <w:p w:rsidR="001C371B" w:rsidRDefault="00C7562E">
      <w:pPr>
        <w:jc w:val="both"/>
        <w:rPr>
          <w:lang w:val="en-US"/>
        </w:rPr>
      </w:pPr>
      <w:r>
        <w:rPr>
          <w:lang w:val="en-US"/>
        </w:rPr>
        <w:t xml:space="preserve">To retrieve the elemental composition of the unknown compound of </w:t>
      </w:r>
      <w:proofErr w:type="spellStart"/>
      <w:r>
        <w:rPr>
          <w:i/>
          <w:lang w:val="en-US"/>
        </w:rPr>
        <w:t>Usnea</w:t>
      </w:r>
      <w:proofErr w:type="spellEnd"/>
      <w:r>
        <w:rPr>
          <w:i/>
          <w:lang w:val="en-US"/>
        </w:rPr>
        <w:t xml:space="preserve"> </w:t>
      </w:r>
      <w:proofErr w:type="spellStart"/>
      <w:r>
        <w:rPr>
          <w:i/>
          <w:lang w:val="en-US"/>
        </w:rPr>
        <w:t>trachycarpa</w:t>
      </w:r>
      <w:proofErr w:type="spellEnd"/>
      <w:r>
        <w:rPr>
          <w:lang w:val="en-US"/>
        </w:rPr>
        <w:t xml:space="preserve">, a DART-HRMS analysis was attempted from the whole lichen. From an intact piece of </w:t>
      </w:r>
      <w:proofErr w:type="spellStart"/>
      <w:r>
        <w:rPr>
          <w:i/>
          <w:lang w:val="en-US"/>
        </w:rPr>
        <w:t>Usnea</w:t>
      </w:r>
      <w:proofErr w:type="spellEnd"/>
      <w:r>
        <w:rPr>
          <w:i/>
          <w:lang w:val="en-US"/>
        </w:rPr>
        <w:t xml:space="preserve"> </w:t>
      </w:r>
      <w:proofErr w:type="spellStart"/>
      <w:r>
        <w:rPr>
          <w:i/>
          <w:lang w:val="en-US"/>
        </w:rPr>
        <w:t>trachycarpa</w:t>
      </w:r>
      <w:proofErr w:type="spellEnd"/>
      <w:r>
        <w:rPr>
          <w:lang w:val="en-US"/>
        </w:rPr>
        <w:t xml:space="preserve">, negative-ion mode (NI) DART-MS displayed signals that could be attributed to all </w:t>
      </w:r>
      <w:proofErr w:type="spellStart"/>
      <w:r>
        <w:rPr>
          <w:lang w:val="en-US"/>
        </w:rPr>
        <w:t>paraconic</w:t>
      </w:r>
      <w:proofErr w:type="spellEnd"/>
      <w:r>
        <w:rPr>
          <w:lang w:val="en-US"/>
        </w:rPr>
        <w:t xml:space="preserve"> acids detected using the TLC-MS approach. The corresponding mass spectrum is presented in Figure S</w:t>
      </w:r>
      <w:r w:rsidR="005F0BA9">
        <w:rPr>
          <w:lang w:val="en-US"/>
        </w:rPr>
        <w:t xml:space="preserve">4 </w:t>
      </w:r>
      <w:r>
        <w:rPr>
          <w:lang w:val="en-US"/>
        </w:rPr>
        <w:t>and the associated exact mass measurements are collated in Table S1.</w:t>
      </w:r>
    </w:p>
    <w:p w:rsidR="001C371B" w:rsidRDefault="00C7562E">
      <w:pPr>
        <w:keepNext/>
        <w:jc w:val="both"/>
      </w:pPr>
      <w:r>
        <w:rPr>
          <w:noProof/>
          <w:lang w:eastAsia="fr-FR"/>
        </w:rPr>
        <w:lastRenderedPageBreak/>
        <w:drawing>
          <wp:inline distT="0" distB="0" distL="0" distR="0">
            <wp:extent cx="5760720" cy="145161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8"/>
                    <a:stretch>
                      <a:fillRect/>
                    </a:stretch>
                  </pic:blipFill>
                  <pic:spPr bwMode="auto">
                    <a:xfrm>
                      <a:off x="0" y="0"/>
                      <a:ext cx="5760720" cy="1451610"/>
                    </a:xfrm>
                    <a:prstGeom prst="rect">
                      <a:avLst/>
                    </a:prstGeom>
                  </pic:spPr>
                </pic:pic>
              </a:graphicData>
            </a:graphic>
          </wp:inline>
        </w:drawing>
      </w:r>
    </w:p>
    <w:p w:rsidR="001C371B" w:rsidRDefault="00C7562E">
      <w:pPr>
        <w:pStyle w:val="Lgende"/>
        <w:jc w:val="both"/>
        <w:rPr>
          <w:i w:val="0"/>
          <w:color w:val="000000" w:themeColor="text1"/>
          <w:sz w:val="22"/>
          <w:lang w:val="en-US"/>
        </w:rPr>
      </w:pPr>
      <w:r>
        <w:rPr>
          <w:i w:val="0"/>
          <w:color w:val="000000" w:themeColor="text1"/>
          <w:sz w:val="22"/>
          <w:lang w:val="en-US"/>
        </w:rPr>
        <w:t xml:space="preserve">Figure </w:t>
      </w:r>
      <w:proofErr w:type="gramStart"/>
      <w:r>
        <w:rPr>
          <w:i w:val="0"/>
          <w:color w:val="000000" w:themeColor="text1"/>
          <w:sz w:val="22"/>
          <w:lang w:val="en-US"/>
        </w:rPr>
        <w:t>S</w:t>
      </w:r>
      <w:r w:rsidR="005F0BA9">
        <w:rPr>
          <w:i w:val="0"/>
          <w:color w:val="000000" w:themeColor="text1"/>
          <w:sz w:val="22"/>
          <w:lang w:val="en-US"/>
        </w:rPr>
        <w:t>4</w:t>
      </w:r>
      <w:r>
        <w:rPr>
          <w:i w:val="0"/>
          <w:color w:val="000000" w:themeColor="text1"/>
          <w:sz w:val="22"/>
          <w:lang w:val="en-US"/>
        </w:rPr>
        <w:t> :</w:t>
      </w:r>
      <w:proofErr w:type="gramEnd"/>
      <w:r>
        <w:rPr>
          <w:i w:val="0"/>
          <w:color w:val="000000" w:themeColor="text1"/>
          <w:sz w:val="22"/>
          <w:lang w:val="en-US"/>
        </w:rPr>
        <w:t xml:space="preserve"> NI- DART mass spectrum of a solid piece of </w:t>
      </w:r>
      <w:proofErr w:type="spellStart"/>
      <w:r>
        <w:rPr>
          <w:color w:val="000000" w:themeColor="text1"/>
          <w:sz w:val="22"/>
          <w:lang w:val="en-US"/>
        </w:rPr>
        <w:t>Usnea</w:t>
      </w:r>
      <w:proofErr w:type="spellEnd"/>
      <w:r>
        <w:rPr>
          <w:color w:val="000000" w:themeColor="text1"/>
          <w:sz w:val="22"/>
          <w:lang w:val="en-US"/>
        </w:rPr>
        <w:t xml:space="preserve"> </w:t>
      </w:r>
      <w:proofErr w:type="spellStart"/>
      <w:r>
        <w:rPr>
          <w:color w:val="000000" w:themeColor="text1"/>
          <w:sz w:val="22"/>
          <w:lang w:val="en-US"/>
        </w:rPr>
        <w:t>trachycarpa</w:t>
      </w:r>
      <w:proofErr w:type="spellEnd"/>
      <w:r>
        <w:rPr>
          <w:i w:val="0"/>
          <w:color w:val="000000" w:themeColor="text1"/>
          <w:sz w:val="22"/>
          <w:lang w:val="en-US"/>
        </w:rPr>
        <w:t>.</w:t>
      </w:r>
    </w:p>
    <w:p w:rsidR="00C7562E" w:rsidRPr="00C7562E" w:rsidRDefault="00C7562E" w:rsidP="00C7562E">
      <w:pPr>
        <w:spacing w:after="0"/>
      </w:pPr>
      <w:r>
        <w:rPr>
          <w:lang w:val="en-US"/>
        </w:rPr>
        <w:t xml:space="preserve">Table S1: Results of exact mass measurements performed from the mass spectrum of the Fig. S3 related to the NI-DART-MS of a whole piece of </w:t>
      </w:r>
      <w:proofErr w:type="spellStart"/>
      <w:r>
        <w:rPr>
          <w:i/>
          <w:lang w:val="en-US"/>
        </w:rPr>
        <w:t>Usnea</w:t>
      </w:r>
      <w:proofErr w:type="spellEnd"/>
      <w:r>
        <w:rPr>
          <w:i/>
          <w:lang w:val="en-US"/>
        </w:rPr>
        <w:t xml:space="preserve"> </w:t>
      </w:r>
      <w:proofErr w:type="spellStart"/>
      <w:r>
        <w:rPr>
          <w:i/>
          <w:lang w:val="en-US"/>
        </w:rPr>
        <w:t>trachycarpa</w:t>
      </w:r>
      <w:proofErr w:type="spellEnd"/>
      <w:r>
        <w:rPr>
          <w:lang w:val="en-US"/>
        </w:rPr>
        <w:t>.</w:t>
      </w:r>
    </w:p>
    <w:tbl>
      <w:tblPr>
        <w:tblStyle w:val="Grilledutableau"/>
        <w:tblpPr w:leftFromText="141" w:rightFromText="141" w:vertAnchor="page" w:horzAnchor="margin" w:tblpY="5011"/>
        <w:tblW w:w="9072" w:type="dxa"/>
        <w:tblLook w:val="04A0" w:firstRow="1" w:lastRow="0" w:firstColumn="1" w:lastColumn="0" w:noHBand="0" w:noVBand="1"/>
      </w:tblPr>
      <w:tblGrid>
        <w:gridCol w:w="2359"/>
        <w:gridCol w:w="1066"/>
        <w:gridCol w:w="2155"/>
        <w:gridCol w:w="91"/>
        <w:gridCol w:w="3401"/>
      </w:tblGrid>
      <w:tr w:rsidR="00D64227" w:rsidTr="00D64227">
        <w:tc>
          <w:tcPr>
            <w:tcW w:w="2359" w:type="dxa"/>
            <w:tcBorders>
              <w:left w:val="nil"/>
              <w:right w:val="nil"/>
            </w:tcBorders>
            <w:shd w:val="clear" w:color="auto" w:fill="auto"/>
          </w:tcPr>
          <w:p w:rsidR="00D64227" w:rsidRDefault="00D64227" w:rsidP="00D64227">
            <w:pPr>
              <w:spacing w:after="0" w:line="240" w:lineRule="auto"/>
              <w:jc w:val="center"/>
            </w:pPr>
            <w:proofErr w:type="spellStart"/>
            <w:r>
              <w:t>Measured</w:t>
            </w:r>
            <w:proofErr w:type="spellEnd"/>
            <w:r>
              <w:t xml:space="preserve"> mass</w:t>
            </w:r>
          </w:p>
        </w:tc>
        <w:tc>
          <w:tcPr>
            <w:tcW w:w="1066" w:type="dxa"/>
            <w:tcBorders>
              <w:left w:val="nil"/>
              <w:right w:val="nil"/>
            </w:tcBorders>
            <w:shd w:val="clear" w:color="auto" w:fill="auto"/>
          </w:tcPr>
          <w:p w:rsidR="00D64227" w:rsidRDefault="00D64227" w:rsidP="00D64227">
            <w:pPr>
              <w:spacing w:after="0" w:line="240" w:lineRule="auto"/>
              <w:jc w:val="center"/>
            </w:pPr>
            <w:proofErr w:type="spellStart"/>
            <w:r>
              <w:t>Proposed</w:t>
            </w:r>
            <w:proofErr w:type="spellEnd"/>
            <w:r>
              <w:t xml:space="preserve"> </w:t>
            </w:r>
            <w:proofErr w:type="spellStart"/>
            <w:r>
              <w:t>formulae</w:t>
            </w:r>
            <w:proofErr w:type="spellEnd"/>
          </w:p>
        </w:tc>
        <w:tc>
          <w:tcPr>
            <w:tcW w:w="2155" w:type="dxa"/>
            <w:tcBorders>
              <w:left w:val="nil"/>
              <w:right w:val="nil"/>
            </w:tcBorders>
            <w:shd w:val="clear" w:color="auto" w:fill="auto"/>
          </w:tcPr>
          <w:p w:rsidR="00D64227" w:rsidRDefault="00D64227" w:rsidP="00D64227">
            <w:pPr>
              <w:spacing w:after="0" w:line="240" w:lineRule="auto"/>
              <w:jc w:val="center"/>
              <w:rPr>
                <w:lang w:val="en-US"/>
              </w:rPr>
            </w:pPr>
            <w:r>
              <w:rPr>
                <w:lang w:val="en-US"/>
              </w:rPr>
              <w:t>Calculated mass</w:t>
            </w:r>
          </w:p>
          <w:p w:rsidR="00D64227" w:rsidRDefault="00D64227" w:rsidP="00D64227">
            <w:pPr>
              <w:spacing w:after="0" w:line="240" w:lineRule="auto"/>
              <w:jc w:val="center"/>
              <w:rPr>
                <w:lang w:val="en-US"/>
              </w:rPr>
            </w:pPr>
            <w:r>
              <w:rPr>
                <w:lang w:val="en-US"/>
              </w:rPr>
              <w:t>(error in ppm)</w:t>
            </w:r>
          </w:p>
        </w:tc>
        <w:tc>
          <w:tcPr>
            <w:tcW w:w="3492" w:type="dxa"/>
            <w:gridSpan w:val="2"/>
            <w:tcBorders>
              <w:left w:val="nil"/>
              <w:right w:val="nil"/>
            </w:tcBorders>
            <w:shd w:val="clear" w:color="auto" w:fill="auto"/>
          </w:tcPr>
          <w:p w:rsidR="00D64227" w:rsidRDefault="00D64227" w:rsidP="00D64227">
            <w:pPr>
              <w:spacing w:after="0" w:line="240" w:lineRule="auto"/>
              <w:jc w:val="center"/>
              <w:rPr>
                <w:lang w:val="en-US"/>
              </w:rPr>
            </w:pPr>
            <w:r>
              <w:rPr>
                <w:lang w:val="en-US"/>
              </w:rPr>
              <w:t>Assignment</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pPr>
            <w:r>
              <w:t>255.23445</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16</w:t>
            </w:r>
            <w:r>
              <w:t>H</w:t>
            </w:r>
            <w:r>
              <w:rPr>
                <w:vertAlign w:val="subscript"/>
              </w:rPr>
              <w:t>31</w:t>
            </w:r>
            <w:r>
              <w:t>O</w:t>
            </w:r>
            <w:r>
              <w:rPr>
                <w:vertAlign w:val="subscript"/>
              </w:rPr>
              <w:t>2</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pPr>
            <w:r>
              <w:t>255.23240 (8.03)</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16:0</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pPr>
            <w:r>
              <w:t>279.23292</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18</w:t>
            </w:r>
            <w:r>
              <w:t>H</w:t>
            </w:r>
            <w:r>
              <w:rPr>
                <w:vertAlign w:val="subscript"/>
              </w:rPr>
              <w:t>31</w:t>
            </w:r>
            <w:r>
              <w:t>O</w:t>
            </w:r>
            <w:r>
              <w:rPr>
                <w:vertAlign w:val="subscript"/>
              </w:rPr>
              <w:t>2</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pPr>
            <w:r>
              <w:t>279.23240 (1.86)</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18:2</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pPr>
            <w:r>
              <w:t>281.24646</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18</w:t>
            </w:r>
            <w:r>
              <w:t>H</w:t>
            </w:r>
            <w:r>
              <w:rPr>
                <w:vertAlign w:val="subscript"/>
              </w:rPr>
              <w:t>33</w:t>
            </w:r>
            <w:r>
              <w:t>O</w:t>
            </w:r>
            <w:r>
              <w:rPr>
                <w:vertAlign w:val="subscript"/>
              </w:rPr>
              <w:t>2</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pPr>
            <w:r>
              <w:t>281.24805 (-5.66)</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18:1</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pPr>
            <w:r>
              <w:t>283.26363</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18</w:t>
            </w:r>
            <w:r>
              <w:t>H</w:t>
            </w:r>
            <w:r>
              <w:rPr>
                <w:vertAlign w:val="subscript"/>
              </w:rPr>
              <w:t>35</w:t>
            </w:r>
            <w:r>
              <w:t>O</w:t>
            </w:r>
            <w:r>
              <w:rPr>
                <w:vertAlign w:val="subscript"/>
              </w:rPr>
              <w:t>2</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pPr>
            <w:r>
              <w:t>283.26370 (-0.27)</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18:0</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pPr>
            <w:r>
              <w:t>329.06727</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pPr>
            <w:r>
              <w:t>C</w:t>
            </w:r>
            <w:r>
              <w:rPr>
                <w:vertAlign w:val="subscript"/>
              </w:rPr>
              <w:t>17</w:t>
            </w:r>
            <w:r>
              <w:t>H</w:t>
            </w:r>
            <w:r>
              <w:rPr>
                <w:vertAlign w:val="subscript"/>
              </w:rPr>
              <w:t>13</w:t>
            </w:r>
            <w:r>
              <w:t>O</w:t>
            </w:r>
            <w:r>
              <w:rPr>
                <w:vertAlign w:val="subscript"/>
              </w:rPr>
              <w:t>7</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329.06613 (3.47)</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 xml:space="preserve">Fragment of </w:t>
            </w:r>
            <w:proofErr w:type="spellStart"/>
            <w:r>
              <w:rPr>
                <w:lang w:val="en-US"/>
              </w:rPr>
              <w:t>usnic</w:t>
            </w:r>
            <w:proofErr w:type="spellEnd"/>
            <w:r>
              <w:rPr>
                <w:lang w:val="en-US"/>
              </w:rPr>
              <w:t xml:space="preserve"> acid</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339.21783</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rPr>
                <w:b/>
                <w:lang w:val="en-US"/>
              </w:rPr>
            </w:pPr>
            <w:r>
              <w:rPr>
                <w:b/>
                <w:lang w:val="en-US"/>
              </w:rPr>
              <w:t>C</w:t>
            </w:r>
            <w:r>
              <w:rPr>
                <w:b/>
                <w:vertAlign w:val="subscript"/>
                <w:lang w:val="en-US"/>
              </w:rPr>
              <w:t>19</w:t>
            </w:r>
            <w:r>
              <w:rPr>
                <w:b/>
                <w:lang w:val="en-US"/>
              </w:rPr>
              <w:t>H</w:t>
            </w:r>
            <w:r>
              <w:rPr>
                <w:b/>
                <w:vertAlign w:val="subscript"/>
                <w:lang w:val="en-US"/>
              </w:rPr>
              <w:t>31</w:t>
            </w:r>
            <w:r>
              <w:rPr>
                <w:b/>
                <w:lang w:val="en-US"/>
              </w:rPr>
              <w:t>O</w:t>
            </w:r>
            <w:r>
              <w:rPr>
                <w:b/>
                <w:vertAlign w:val="subscript"/>
                <w:lang w:val="en-US"/>
              </w:rPr>
              <w:t>5</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339.21715 (2.00)</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rPr>
                <w:b/>
                <w:lang w:val="en-US"/>
              </w:rPr>
            </w:pPr>
            <w:r>
              <w:rPr>
                <w:b/>
                <w:lang w:val="en-US"/>
              </w:rPr>
              <w:t>Unknown compound</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343.08175</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C</w:t>
            </w:r>
            <w:r>
              <w:rPr>
                <w:vertAlign w:val="subscript"/>
                <w:lang w:val="en-US"/>
              </w:rPr>
              <w:t>18</w:t>
            </w:r>
            <w:r>
              <w:rPr>
                <w:lang w:val="en-US"/>
              </w:rPr>
              <w:t>H</w:t>
            </w:r>
            <w:r>
              <w:rPr>
                <w:vertAlign w:val="subscript"/>
                <w:lang w:val="en-US"/>
              </w:rPr>
              <w:t>15</w:t>
            </w:r>
            <w:r>
              <w:rPr>
                <w:lang w:val="en-US"/>
              </w:rPr>
              <w:t>O</w:t>
            </w:r>
            <w:r>
              <w:rPr>
                <w:vertAlign w:val="subscript"/>
                <w:lang w:val="en-US"/>
              </w:rPr>
              <w:t>7</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343.08178 (-0.07)</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rPr>
                <w:lang w:val="en-US"/>
              </w:rPr>
            </w:pPr>
            <w:proofErr w:type="spellStart"/>
            <w:r>
              <w:rPr>
                <w:lang w:val="en-US"/>
              </w:rPr>
              <w:t>Usnic</w:t>
            </w:r>
            <w:proofErr w:type="spellEnd"/>
            <w:r>
              <w:rPr>
                <w:lang w:val="en-US"/>
              </w:rPr>
              <w:t xml:space="preserve"> acid</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365.23273</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C</w:t>
            </w:r>
            <w:r>
              <w:rPr>
                <w:vertAlign w:val="subscript"/>
                <w:lang w:val="en-US"/>
              </w:rPr>
              <w:t>21</w:t>
            </w:r>
            <w:r>
              <w:rPr>
                <w:lang w:val="en-US"/>
              </w:rPr>
              <w:t>H</w:t>
            </w:r>
            <w:r>
              <w:rPr>
                <w:vertAlign w:val="subscript"/>
                <w:lang w:val="en-US"/>
              </w:rPr>
              <w:t>33</w:t>
            </w:r>
            <w:r>
              <w:rPr>
                <w:lang w:val="en-US"/>
              </w:rPr>
              <w:t>O</w:t>
            </w:r>
            <w:r>
              <w:rPr>
                <w:vertAlign w:val="subscript"/>
                <w:lang w:val="en-US"/>
              </w:rPr>
              <w:t>5</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365.23280 (-0.17)</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rPr>
                <w:lang w:val="en-US"/>
              </w:rPr>
            </w:pPr>
            <w:proofErr w:type="spellStart"/>
            <w:r>
              <w:rPr>
                <w:lang w:val="en-US"/>
              </w:rPr>
              <w:t>Muronic</w:t>
            </w:r>
            <w:proofErr w:type="spellEnd"/>
            <w:r>
              <w:rPr>
                <w:lang w:val="en-US"/>
              </w:rPr>
              <w:t>/</w:t>
            </w:r>
            <w:proofErr w:type="spellStart"/>
            <w:r>
              <w:rPr>
                <w:lang w:val="en-US"/>
              </w:rPr>
              <w:t>Isomuronic</w:t>
            </w:r>
            <w:proofErr w:type="spellEnd"/>
            <w:r>
              <w:rPr>
                <w:lang w:val="en-US"/>
              </w:rPr>
              <w:t xml:space="preserve"> acid(s)</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367.24698</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C</w:t>
            </w:r>
            <w:r>
              <w:rPr>
                <w:vertAlign w:val="subscript"/>
                <w:lang w:val="en-US"/>
              </w:rPr>
              <w:t>21</w:t>
            </w:r>
            <w:r>
              <w:rPr>
                <w:lang w:val="en-US"/>
              </w:rPr>
              <w:t>H</w:t>
            </w:r>
            <w:r>
              <w:rPr>
                <w:vertAlign w:val="subscript"/>
                <w:lang w:val="en-US"/>
              </w:rPr>
              <w:t>35</w:t>
            </w:r>
            <w:r>
              <w:rPr>
                <w:lang w:val="en-US"/>
              </w:rPr>
              <w:t>O</w:t>
            </w:r>
            <w:r>
              <w:rPr>
                <w:vertAlign w:val="subscript"/>
                <w:lang w:val="en-US"/>
              </w:rPr>
              <w:t>5</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367.24845 (-4.00)</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rPr>
                <w:lang w:val="en-US"/>
              </w:rPr>
            </w:pPr>
            <w:proofErr w:type="spellStart"/>
            <w:r>
              <w:rPr>
                <w:lang w:val="en-US"/>
              </w:rPr>
              <w:t>Murolic</w:t>
            </w:r>
            <w:proofErr w:type="spellEnd"/>
            <w:r>
              <w:rPr>
                <w:lang w:val="en-US"/>
              </w:rPr>
              <w:t>/</w:t>
            </w:r>
            <w:proofErr w:type="spellStart"/>
            <w:r>
              <w:rPr>
                <w:lang w:val="en-US"/>
              </w:rPr>
              <w:t>Neuropogolic</w:t>
            </w:r>
            <w:proofErr w:type="spellEnd"/>
            <w:r>
              <w:rPr>
                <w:lang w:val="en-US"/>
              </w:rPr>
              <w:t xml:space="preserve"> acid(s)</w:t>
            </w:r>
          </w:p>
        </w:tc>
      </w:tr>
      <w:tr w:rsidR="00D64227" w:rsidTr="00D64227">
        <w:tc>
          <w:tcPr>
            <w:tcW w:w="2359"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381.22766</w:t>
            </w:r>
          </w:p>
        </w:tc>
        <w:tc>
          <w:tcPr>
            <w:tcW w:w="1066"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C</w:t>
            </w:r>
            <w:r>
              <w:rPr>
                <w:vertAlign w:val="subscript"/>
                <w:lang w:val="en-US"/>
              </w:rPr>
              <w:t>21</w:t>
            </w:r>
            <w:r>
              <w:rPr>
                <w:lang w:val="en-US"/>
              </w:rPr>
              <w:t>H</w:t>
            </w:r>
            <w:r>
              <w:rPr>
                <w:vertAlign w:val="subscript"/>
                <w:lang w:val="en-US"/>
              </w:rPr>
              <w:t>33</w:t>
            </w:r>
            <w:r>
              <w:rPr>
                <w:lang w:val="en-US"/>
              </w:rPr>
              <w:t>O</w:t>
            </w:r>
            <w:r>
              <w:rPr>
                <w:vertAlign w:val="subscript"/>
                <w:lang w:val="en-US"/>
              </w:rPr>
              <w:t>6</w:t>
            </w:r>
          </w:p>
        </w:tc>
        <w:tc>
          <w:tcPr>
            <w:tcW w:w="2246" w:type="dxa"/>
            <w:gridSpan w:val="2"/>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381.22771 (-0.15)</w:t>
            </w:r>
          </w:p>
        </w:tc>
        <w:tc>
          <w:tcPr>
            <w:tcW w:w="3401" w:type="dxa"/>
            <w:tcBorders>
              <w:top w:val="nil"/>
              <w:left w:val="nil"/>
              <w:bottom w:val="nil"/>
              <w:right w:val="nil"/>
            </w:tcBorders>
            <w:shd w:val="clear" w:color="auto" w:fill="auto"/>
          </w:tcPr>
          <w:p w:rsidR="00D64227" w:rsidRDefault="00D64227" w:rsidP="00D64227">
            <w:pPr>
              <w:spacing w:after="0" w:line="240" w:lineRule="auto"/>
              <w:jc w:val="center"/>
              <w:rPr>
                <w:lang w:val="en-US"/>
              </w:rPr>
            </w:pPr>
            <w:r>
              <w:rPr>
                <w:lang w:val="en-US"/>
              </w:rPr>
              <w:t>19-acetoxyprotolichesterinic/19-acetoxylichesterinic acid(s)</w:t>
            </w:r>
          </w:p>
        </w:tc>
      </w:tr>
    </w:tbl>
    <w:p w:rsidR="001C371B" w:rsidRDefault="001C371B">
      <w:pPr>
        <w:spacing w:after="0"/>
        <w:rPr>
          <w:lang w:val="en-US"/>
        </w:rPr>
      </w:pPr>
    </w:p>
    <w:p w:rsidR="001C371B" w:rsidRPr="00247D90" w:rsidRDefault="00247D90" w:rsidP="00247D90">
      <w:pPr>
        <w:jc w:val="both"/>
        <w:rPr>
          <w:b/>
          <w:i/>
          <w:lang w:val="en-US"/>
        </w:rPr>
      </w:pPr>
      <w:r>
        <w:rPr>
          <w:b/>
          <w:lang w:val="en-US"/>
        </w:rPr>
        <w:t>References</w:t>
      </w:r>
    </w:p>
    <w:p w:rsidR="00247D90" w:rsidRDefault="00247D90" w:rsidP="00247D90">
      <w:pPr>
        <w:pStyle w:val="Bibliographie"/>
        <w:rPr>
          <w:rFonts w:ascii="Calibri" w:hAnsi="Calibri"/>
          <w:lang w:val="en-US"/>
        </w:rPr>
      </w:pPr>
      <w:proofErr w:type="spellStart"/>
      <w:r>
        <w:rPr>
          <w:lang w:val="en-US"/>
        </w:rPr>
        <w:t>Luftmann</w:t>
      </w:r>
      <w:proofErr w:type="spellEnd"/>
      <w:r>
        <w:rPr>
          <w:lang w:val="en-US"/>
        </w:rPr>
        <w:t xml:space="preserve">, H. (2004) </w:t>
      </w:r>
      <w:proofErr w:type="gramStart"/>
      <w:r>
        <w:rPr>
          <w:lang w:val="en-US"/>
        </w:rPr>
        <w:t>A</w:t>
      </w:r>
      <w:proofErr w:type="gramEnd"/>
      <w:r>
        <w:rPr>
          <w:lang w:val="en-US"/>
        </w:rPr>
        <w:t xml:space="preserve"> simple device for the extraction of TLC spots: direct coupling with an electrospray mass spectrometer. </w:t>
      </w:r>
      <w:r>
        <w:rPr>
          <w:i/>
          <w:iCs/>
          <w:lang w:val="en-US"/>
        </w:rPr>
        <w:t>Analytical and bioanalytical chemistry</w:t>
      </w:r>
      <w:r>
        <w:rPr>
          <w:lang w:val="en-US"/>
        </w:rPr>
        <w:t xml:space="preserve"> </w:t>
      </w:r>
      <w:r>
        <w:rPr>
          <w:b/>
          <w:bCs/>
          <w:lang w:val="en-US"/>
        </w:rPr>
        <w:t>378</w:t>
      </w:r>
      <w:r>
        <w:rPr>
          <w:lang w:val="en-US"/>
        </w:rPr>
        <w:t>: 964–968.</w:t>
      </w:r>
    </w:p>
    <w:p w:rsidR="001C371B" w:rsidRDefault="00247D90" w:rsidP="00247D90">
      <w:pPr>
        <w:pStyle w:val="Bibliographie"/>
        <w:rPr>
          <w:lang w:val="en-US"/>
        </w:rPr>
      </w:pPr>
      <w:proofErr w:type="spellStart"/>
      <w:r>
        <w:rPr>
          <w:lang w:val="en-US"/>
        </w:rPr>
        <w:t>Luftmann</w:t>
      </w:r>
      <w:proofErr w:type="spellEnd"/>
      <w:r>
        <w:rPr>
          <w:lang w:val="en-US"/>
        </w:rPr>
        <w:t xml:space="preserve">, H., Aranda, M. &amp; </w:t>
      </w:r>
      <w:proofErr w:type="spellStart"/>
      <w:r>
        <w:rPr>
          <w:lang w:val="en-US"/>
        </w:rPr>
        <w:t>Morlock</w:t>
      </w:r>
      <w:proofErr w:type="spellEnd"/>
      <w:r>
        <w:rPr>
          <w:lang w:val="en-US"/>
        </w:rPr>
        <w:t xml:space="preserve">, G. E. (2007) Automated interface for hyphenation of planar chromatography with mass spectrometry. </w:t>
      </w:r>
      <w:r>
        <w:rPr>
          <w:i/>
          <w:iCs/>
          <w:lang w:val="en-US"/>
        </w:rPr>
        <w:t>Rapid Communications in Mass Spectrometry</w:t>
      </w:r>
      <w:r>
        <w:rPr>
          <w:lang w:val="en-US"/>
        </w:rPr>
        <w:t xml:space="preserve"> </w:t>
      </w:r>
      <w:r>
        <w:rPr>
          <w:b/>
          <w:bCs/>
          <w:lang w:val="en-US"/>
        </w:rPr>
        <w:t>21</w:t>
      </w:r>
      <w:r>
        <w:rPr>
          <w:lang w:val="en-US"/>
        </w:rPr>
        <w:t>: 3772–3776.</w:t>
      </w:r>
    </w:p>
    <w:p w:rsidR="00247D90" w:rsidRDefault="00247D90" w:rsidP="00247D90">
      <w:pPr>
        <w:pStyle w:val="Bibliographie"/>
        <w:rPr>
          <w:lang w:val="en-US"/>
        </w:rPr>
      </w:pPr>
      <w:proofErr w:type="spellStart"/>
      <w:r>
        <w:rPr>
          <w:lang w:val="en-US"/>
        </w:rPr>
        <w:t>Morlock</w:t>
      </w:r>
      <w:proofErr w:type="spellEnd"/>
      <w:r>
        <w:rPr>
          <w:lang w:val="en-US"/>
        </w:rPr>
        <w:t xml:space="preserve">, G. &amp; </w:t>
      </w:r>
      <w:proofErr w:type="spellStart"/>
      <w:r>
        <w:rPr>
          <w:lang w:val="en-US"/>
        </w:rPr>
        <w:t>Schwack</w:t>
      </w:r>
      <w:proofErr w:type="spellEnd"/>
      <w:r>
        <w:rPr>
          <w:lang w:val="en-US"/>
        </w:rPr>
        <w:t xml:space="preserve">, W. (2010) Coupling of planar chromatography to mass spectrometry. </w:t>
      </w:r>
      <w:proofErr w:type="spellStart"/>
      <w:r>
        <w:rPr>
          <w:i/>
          <w:iCs/>
          <w:lang w:val="en-US"/>
        </w:rPr>
        <w:t>TrAC</w:t>
      </w:r>
      <w:proofErr w:type="spellEnd"/>
      <w:r>
        <w:rPr>
          <w:i/>
          <w:iCs/>
          <w:lang w:val="en-US"/>
        </w:rPr>
        <w:t xml:space="preserve"> Trends in Analytical Chemistry</w:t>
      </w:r>
      <w:r>
        <w:rPr>
          <w:lang w:val="en-US"/>
        </w:rPr>
        <w:t xml:space="preserve"> </w:t>
      </w:r>
      <w:r>
        <w:rPr>
          <w:b/>
          <w:bCs/>
          <w:lang w:val="en-US"/>
        </w:rPr>
        <w:t>29</w:t>
      </w:r>
      <w:r>
        <w:rPr>
          <w:lang w:val="en-US"/>
        </w:rPr>
        <w:t>: 1157–1171.</w:t>
      </w:r>
    </w:p>
    <w:p w:rsidR="00247D90" w:rsidRDefault="00247D90" w:rsidP="00247D90">
      <w:pPr>
        <w:pStyle w:val="Bibliographie"/>
        <w:rPr>
          <w:rFonts w:ascii="Calibri" w:hAnsi="Calibri"/>
          <w:lang w:val="en-US"/>
        </w:rPr>
      </w:pPr>
      <w:proofErr w:type="spellStart"/>
      <w:r>
        <w:rPr>
          <w:lang w:val="en-US"/>
        </w:rPr>
        <w:t>Morlock</w:t>
      </w:r>
      <w:proofErr w:type="spellEnd"/>
      <w:r>
        <w:rPr>
          <w:lang w:val="en-US"/>
        </w:rPr>
        <w:t xml:space="preserve">, G. E. (2014) </w:t>
      </w:r>
      <w:proofErr w:type="spellStart"/>
      <w:r>
        <w:rPr>
          <w:lang w:val="en-US"/>
        </w:rPr>
        <w:t>Backgroung</w:t>
      </w:r>
      <w:proofErr w:type="spellEnd"/>
      <w:r>
        <w:rPr>
          <w:lang w:val="en-US"/>
        </w:rPr>
        <w:t xml:space="preserve"> mass signals in TLC/HPTLC–ESI-MS and practical advices for the use of the TLC-MS interface. </w:t>
      </w:r>
      <w:r>
        <w:rPr>
          <w:i/>
          <w:iCs/>
          <w:lang w:val="en-US"/>
        </w:rPr>
        <w:t>Journal of Liquid Chromatography &amp; Related Technologies</w:t>
      </w:r>
      <w:r>
        <w:rPr>
          <w:lang w:val="en-US"/>
        </w:rPr>
        <w:t xml:space="preserve"> </w:t>
      </w:r>
      <w:r>
        <w:rPr>
          <w:b/>
          <w:bCs/>
          <w:lang w:val="en-US"/>
        </w:rPr>
        <w:t>37</w:t>
      </w:r>
      <w:r>
        <w:rPr>
          <w:lang w:val="en-US"/>
        </w:rPr>
        <w:t>: 2892–2914.</w:t>
      </w:r>
    </w:p>
    <w:p w:rsidR="00247D90" w:rsidRPr="005936F9" w:rsidRDefault="00247D90" w:rsidP="00247D90">
      <w:pPr>
        <w:rPr>
          <w:lang w:val="en-US"/>
        </w:rPr>
      </w:pPr>
      <w:proofErr w:type="spellStart"/>
      <w:r>
        <w:rPr>
          <w:lang w:val="en-US"/>
        </w:rPr>
        <w:t>Taha</w:t>
      </w:r>
      <w:proofErr w:type="spellEnd"/>
      <w:r>
        <w:rPr>
          <w:lang w:val="en-US"/>
        </w:rPr>
        <w:t xml:space="preserve">, M.N., </w:t>
      </w:r>
      <w:proofErr w:type="spellStart"/>
      <w:r>
        <w:rPr>
          <w:lang w:val="en-US"/>
        </w:rPr>
        <w:t>Krawinkel</w:t>
      </w:r>
      <w:proofErr w:type="spellEnd"/>
      <w:r>
        <w:rPr>
          <w:lang w:val="en-US"/>
        </w:rPr>
        <w:t xml:space="preserve">, M. B. &amp; </w:t>
      </w:r>
      <w:proofErr w:type="spellStart"/>
      <w:r>
        <w:rPr>
          <w:lang w:val="en-US"/>
        </w:rPr>
        <w:t>Morlock</w:t>
      </w:r>
      <w:proofErr w:type="spellEnd"/>
      <w:r>
        <w:rPr>
          <w:lang w:val="en-US"/>
        </w:rPr>
        <w:t>, G. E. (2015) High-performance thin-layer chromatography linked with (bio</w:t>
      </w:r>
      <w:proofErr w:type="gramStart"/>
      <w:r>
        <w:rPr>
          <w:lang w:val="en-US"/>
        </w:rPr>
        <w:t>)assays</w:t>
      </w:r>
      <w:proofErr w:type="gramEnd"/>
      <w:r>
        <w:rPr>
          <w:lang w:val="en-US"/>
        </w:rPr>
        <w:t xml:space="preserve"> and mass spectrometry – A suited method for discovery and quantification of bioactive components ? Exemplarily shown for turmeric and milk thistle extracts. </w:t>
      </w:r>
      <w:r>
        <w:rPr>
          <w:i/>
          <w:lang w:val="en-US"/>
        </w:rPr>
        <w:t xml:space="preserve">Journal of Chromatography </w:t>
      </w:r>
      <w:proofErr w:type="gramStart"/>
      <w:r>
        <w:rPr>
          <w:i/>
          <w:lang w:val="en-US"/>
        </w:rPr>
        <w:t>A</w:t>
      </w:r>
      <w:proofErr w:type="gramEnd"/>
      <w:r>
        <w:rPr>
          <w:i/>
          <w:lang w:val="en-US"/>
        </w:rPr>
        <w:t xml:space="preserve"> </w:t>
      </w:r>
      <w:r w:rsidR="005936F9">
        <w:rPr>
          <w:b/>
          <w:lang w:val="en-US"/>
        </w:rPr>
        <w:t>1394</w:t>
      </w:r>
      <w:r w:rsidR="005936F9">
        <w:rPr>
          <w:lang w:val="en-US"/>
        </w:rPr>
        <w:t>: 137-147.</w:t>
      </w:r>
    </w:p>
    <w:p w:rsidR="001C371B" w:rsidRDefault="001C371B"/>
    <w:sectPr w:rsidR="001C371B">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1B"/>
    <w:rsid w:val="00075FC7"/>
    <w:rsid w:val="001630F9"/>
    <w:rsid w:val="001C371B"/>
    <w:rsid w:val="00247D90"/>
    <w:rsid w:val="005936F9"/>
    <w:rsid w:val="005F0BA9"/>
    <w:rsid w:val="00926136"/>
    <w:rsid w:val="009900C1"/>
    <w:rsid w:val="00AA060A"/>
    <w:rsid w:val="00AA5F62"/>
    <w:rsid w:val="00C7562E"/>
    <w:rsid w:val="00D64227"/>
    <w:rsid w:val="00D97535"/>
    <w:rsid w:val="00ED4C6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26CBE-FB29-486F-8901-D4CD8AF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777E0"/>
    <w:rPr>
      <w:rFonts w:ascii="Segoe UI" w:hAnsi="Segoe UI" w:cs="Segoe UI"/>
      <w:sz w:val="18"/>
      <w:szCs w:val="18"/>
    </w:rPr>
  </w:style>
  <w:style w:type="character" w:customStyle="1" w:styleId="LienInternet">
    <w:name w:val="Lien Internet"/>
    <w:basedOn w:val="Policepardfaut"/>
    <w:uiPriority w:val="99"/>
    <w:unhideWhenUsed/>
    <w:rsid w:val="001A2619"/>
    <w:rPr>
      <w:color w:val="0563C1"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next w:val="Normal"/>
    <w:uiPriority w:val="35"/>
    <w:unhideWhenUsed/>
    <w:qFormat/>
    <w:rsid w:val="005777E0"/>
    <w:pPr>
      <w:spacing w:after="200" w:line="240" w:lineRule="auto"/>
    </w:pPr>
    <w:rPr>
      <w:i/>
      <w:iCs/>
      <w:color w:val="44546A" w:themeColor="text2"/>
      <w:sz w:val="18"/>
      <w:szCs w:val="18"/>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5777E0"/>
    <w:pPr>
      <w:spacing w:after="0" w:line="240" w:lineRule="auto"/>
    </w:pPr>
    <w:rPr>
      <w:rFonts w:ascii="Segoe UI" w:hAnsi="Segoe UI" w:cs="Segoe UI"/>
      <w:sz w:val="18"/>
      <w:szCs w:val="18"/>
    </w:rPr>
  </w:style>
  <w:style w:type="table" w:styleId="Grilledutableau">
    <w:name w:val="Table Grid"/>
    <w:basedOn w:val="TableauNormal"/>
    <w:uiPriority w:val="39"/>
    <w:rsid w:val="00EF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24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copybook.com/pharmaceutical/companies/camag/articles/tlc-mass-spectrometr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2595</Words>
  <Characters>14277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PierreLP</dc:creator>
  <dc:description/>
  <cp:lastModifiedBy>Le Pogam-Alluard</cp:lastModifiedBy>
  <cp:revision>2</cp:revision>
  <cp:lastPrinted>2016-04-11T15:38:00Z</cp:lastPrinted>
  <dcterms:created xsi:type="dcterms:W3CDTF">2017-02-23T23:54:00Z</dcterms:created>
  <dcterms:modified xsi:type="dcterms:W3CDTF">2017-02-23T23:54:00Z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