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82" w:rsidRPr="004B4FCB" w:rsidRDefault="00D7775A" w:rsidP="00D7775A">
      <w:pPr>
        <w:jc w:val="center"/>
      </w:pPr>
      <w:proofErr w:type="gramStart"/>
      <w:r w:rsidRPr="00D7775A">
        <w:rPr>
          <w:b/>
        </w:rPr>
        <w:t xml:space="preserve">Appendix </w:t>
      </w:r>
      <w:r w:rsidR="00B25C82" w:rsidRPr="00D7775A">
        <w:rPr>
          <w:b/>
        </w:rPr>
        <w:t>I</w:t>
      </w:r>
      <w:r w:rsidR="00A06D09">
        <w:rPr>
          <w:b/>
        </w:rPr>
        <w:t>I</w:t>
      </w:r>
      <w:r w:rsidR="00B25C82">
        <w:t>.</w:t>
      </w:r>
      <w:proofErr w:type="gramEnd"/>
      <w:r w:rsidR="00B25C82">
        <w:t xml:space="preserve"> Parameters of the total length (</w:t>
      </w:r>
      <w:r w:rsidR="00B25C82" w:rsidRPr="009954A6">
        <w:rPr>
          <w:i/>
        </w:rPr>
        <w:t>L</w:t>
      </w:r>
      <w:r w:rsidR="00B25C82" w:rsidRPr="009954A6">
        <w:rPr>
          <w:vertAlign w:val="subscript"/>
        </w:rPr>
        <w:t>T</w:t>
      </w:r>
      <w:r w:rsidR="00B25C82">
        <w:t>), mm an</w:t>
      </w:r>
      <w:r w:rsidR="00B25C82" w:rsidRPr="004B4FCB">
        <w:t xml:space="preserve">d </w:t>
      </w:r>
      <w:r w:rsidR="006E4FD4" w:rsidRPr="004B4FCB">
        <w:t>weight</w:t>
      </w:r>
      <w:r w:rsidR="00B25C82" w:rsidRPr="004B4FCB">
        <w:t xml:space="preserve"> equation of </w:t>
      </w:r>
      <w:proofErr w:type="spellStart"/>
      <w:r w:rsidR="00B25C82" w:rsidRPr="004B4FCB">
        <w:rPr>
          <w:i/>
        </w:rPr>
        <w:t>Squalus</w:t>
      </w:r>
      <w:proofErr w:type="spellEnd"/>
      <w:r w:rsidR="00B25C82" w:rsidRPr="004B4FCB">
        <w:rPr>
          <w:i/>
        </w:rPr>
        <w:t xml:space="preserve"> </w:t>
      </w:r>
      <w:proofErr w:type="spellStart"/>
      <w:r w:rsidR="00B25C82" w:rsidRPr="004B4FCB">
        <w:rPr>
          <w:i/>
        </w:rPr>
        <w:t>blainville</w:t>
      </w:r>
      <w:proofErr w:type="spellEnd"/>
      <w:r w:rsidR="00B25C82" w:rsidRPr="004B4FCB">
        <w:t xml:space="preserve"> from the present and other studies</w:t>
      </w:r>
    </w:p>
    <w:tbl>
      <w:tblPr>
        <w:tblW w:w="0" w:type="auto"/>
        <w:tblInd w:w="-120" w:type="dxa"/>
        <w:tblBorders>
          <w:top w:val="single" w:sz="4" w:space="0" w:color="00000A"/>
          <w:bottom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905"/>
        <w:gridCol w:w="1740"/>
        <w:gridCol w:w="1080"/>
        <w:gridCol w:w="1620"/>
        <w:gridCol w:w="900"/>
        <w:gridCol w:w="1695"/>
        <w:gridCol w:w="840"/>
        <w:gridCol w:w="1815"/>
        <w:gridCol w:w="1485"/>
      </w:tblGrid>
      <w:tr w:rsidR="00A16A83" w:rsidTr="00544D1D">
        <w:tc>
          <w:tcPr>
            <w:tcW w:w="19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Area</w:t>
            </w:r>
          </w:p>
        </w:tc>
        <w:tc>
          <w:tcPr>
            <w:tcW w:w="17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Author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Sex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D1" w:rsidRPr="004B4FCB" w:rsidRDefault="00EE09D1" w:rsidP="00EE09D1">
            <w:pPr>
              <w:jc w:val="center"/>
              <w:rPr>
                <w:b/>
                <w:bCs/>
              </w:rPr>
            </w:pPr>
            <w:r w:rsidRPr="004B4FCB">
              <w:rPr>
                <w:b/>
                <w:bCs/>
              </w:rPr>
              <w:t>a</w:t>
            </w:r>
          </w:p>
          <w:p w:rsidR="00EE09D1" w:rsidRPr="004B4FCB" w:rsidRDefault="00EE09D1" w:rsidP="00EE09D1">
            <w:pPr>
              <w:jc w:val="center"/>
              <w:rPr>
                <w:b/>
                <w:bCs/>
              </w:rPr>
            </w:pPr>
            <w:r w:rsidRPr="004B4FCB">
              <w:rPr>
                <w:b/>
                <w:bCs/>
              </w:rPr>
              <w:t xml:space="preserve"> </w:t>
            </w:r>
          </w:p>
          <w:p w:rsidR="00693580" w:rsidRPr="004B4FCB" w:rsidRDefault="00693580" w:rsidP="00C03863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(SD)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693580" w:rsidP="00544D1D">
            <w:pPr>
              <w:spacing w:line="480" w:lineRule="auto"/>
              <w:jc w:val="center"/>
              <w:rPr>
                <w:b/>
                <w:bCs/>
                <w:i/>
                <w:iCs/>
              </w:rPr>
            </w:pPr>
            <w:r w:rsidRPr="004B4FCB">
              <w:rPr>
                <w:b/>
                <w:bCs/>
                <w:i/>
                <w:iCs/>
              </w:rPr>
              <w:t>b</w:t>
            </w:r>
          </w:p>
          <w:p w:rsidR="00693580" w:rsidRPr="004B4FCB" w:rsidRDefault="00693580" w:rsidP="00C03863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(SD)</w:t>
            </w:r>
          </w:p>
        </w:tc>
        <w:tc>
          <w:tcPr>
            <w:tcW w:w="16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 xml:space="preserve">95% confidence intervals of </w:t>
            </w:r>
            <w:r w:rsidRPr="004B4FCB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R</w:t>
            </w:r>
            <w:r w:rsidRPr="004B4FCB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N</w:t>
            </w:r>
          </w:p>
        </w:tc>
        <w:tc>
          <w:tcPr>
            <w:tcW w:w="1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4B4FCB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Size range</w:t>
            </w:r>
          </w:p>
          <w:p w:rsidR="00A16A83" w:rsidRDefault="00A16A83" w:rsidP="00544D1D">
            <w:pPr>
              <w:spacing w:line="480" w:lineRule="auto"/>
              <w:jc w:val="center"/>
            </w:pPr>
            <w:r w:rsidRPr="004B4FCB">
              <w:rPr>
                <w:b/>
                <w:bCs/>
              </w:rPr>
              <w:t>(mm)</w:t>
            </w:r>
          </w:p>
        </w:tc>
      </w:tr>
      <w:tr w:rsidR="00A16A83" w:rsidTr="00544D1D">
        <w:trPr>
          <w:cantSplit/>
        </w:trPr>
        <w:tc>
          <w:tcPr>
            <w:tcW w:w="190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E. Ionian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Present work</w:t>
            </w:r>
          </w:p>
        </w:tc>
        <w:tc>
          <w:tcPr>
            <w:tcW w:w="108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Total</w:t>
            </w:r>
          </w:p>
        </w:tc>
        <w:tc>
          <w:tcPr>
            <w:tcW w:w="162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0.00000119</w:t>
            </w:r>
          </w:p>
          <w:p w:rsidR="00693580" w:rsidRPr="00344288" w:rsidRDefault="00693580" w:rsidP="00C03863">
            <w:pPr>
              <w:spacing w:line="276" w:lineRule="auto"/>
              <w:jc w:val="center"/>
            </w:pPr>
            <w:r w:rsidRPr="00344288">
              <w:t>(</w:t>
            </w:r>
            <w:r w:rsidR="00344288" w:rsidRPr="00344288">
              <w:rPr>
                <w:bCs/>
              </w:rPr>
              <w:t>5.67)</w:t>
            </w:r>
          </w:p>
        </w:tc>
        <w:tc>
          <w:tcPr>
            <w:tcW w:w="90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3.223</w:t>
            </w:r>
          </w:p>
          <w:p w:rsidR="00693580" w:rsidRPr="00344288" w:rsidRDefault="00693580" w:rsidP="00C03863">
            <w:pPr>
              <w:spacing w:line="276" w:lineRule="auto"/>
              <w:jc w:val="center"/>
            </w:pPr>
            <w:r w:rsidRPr="00344288">
              <w:t>(</w:t>
            </w:r>
            <w:r w:rsidR="00344288" w:rsidRPr="00344288">
              <w:rPr>
                <w:bCs/>
              </w:rPr>
              <w:t>0.91)</w:t>
            </w:r>
          </w:p>
        </w:tc>
        <w:tc>
          <w:tcPr>
            <w:tcW w:w="169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3.191 - 3.254</w:t>
            </w:r>
          </w:p>
        </w:tc>
        <w:tc>
          <w:tcPr>
            <w:tcW w:w="84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0.98</w:t>
            </w:r>
          </w:p>
        </w:tc>
        <w:tc>
          <w:tcPr>
            <w:tcW w:w="181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148</w:t>
            </w:r>
          </w:p>
        </w:tc>
        <w:tc>
          <w:tcPr>
            <w:tcW w:w="148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197-930</w:t>
            </w:r>
          </w:p>
        </w:tc>
      </w:tr>
      <w:tr w:rsidR="00A16A83" w:rsidTr="00544D1D">
        <w:trPr>
          <w:cantSplit/>
        </w:trPr>
        <w:tc>
          <w:tcPr>
            <w:tcW w:w="190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Females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0.00000082</w:t>
            </w:r>
          </w:p>
          <w:p w:rsidR="00693580" w:rsidRPr="00693580" w:rsidRDefault="00693580" w:rsidP="00C03863">
            <w:pPr>
              <w:spacing w:line="276" w:lineRule="auto"/>
              <w:jc w:val="center"/>
            </w:pPr>
            <w:r w:rsidRPr="00693580">
              <w:t>(</w:t>
            </w:r>
            <w:r w:rsidRPr="00693580">
              <w:rPr>
                <w:bCs/>
              </w:rPr>
              <w:t>2.2</w:t>
            </w:r>
            <w:r>
              <w:rPr>
                <w:bCs/>
              </w:rPr>
              <w:t>1</w:t>
            </w:r>
            <w:r w:rsidRPr="00693580">
              <w:rPr>
                <w:bCs/>
              </w:rPr>
              <w:t>)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3.293</w:t>
            </w:r>
          </w:p>
          <w:p w:rsidR="00693580" w:rsidRPr="00693580" w:rsidRDefault="00693580" w:rsidP="00C03863">
            <w:pPr>
              <w:spacing w:line="276" w:lineRule="auto"/>
              <w:jc w:val="center"/>
            </w:pPr>
            <w:r w:rsidRPr="00693580">
              <w:t>(</w:t>
            </w:r>
            <w:r w:rsidRPr="00693580">
              <w:rPr>
                <w:bCs/>
              </w:rPr>
              <w:t>0.35)</w:t>
            </w:r>
          </w:p>
        </w:tc>
        <w:tc>
          <w:tcPr>
            <w:tcW w:w="1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3.239 – 3.346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0.99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1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230-930</w:t>
            </w:r>
          </w:p>
        </w:tc>
      </w:tr>
      <w:tr w:rsidR="00A16A83" w:rsidTr="00544D1D">
        <w:trPr>
          <w:cantSplit/>
        </w:trPr>
        <w:tc>
          <w:tcPr>
            <w:tcW w:w="190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0.00000218</w:t>
            </w:r>
          </w:p>
          <w:p w:rsidR="00693580" w:rsidRPr="00693580" w:rsidRDefault="00693580" w:rsidP="00C03863">
            <w:pPr>
              <w:spacing w:line="276" w:lineRule="auto"/>
              <w:jc w:val="center"/>
            </w:pPr>
            <w:r w:rsidRPr="00693580">
              <w:t>(</w:t>
            </w:r>
            <w:r w:rsidRPr="00693580">
              <w:rPr>
                <w:bCs/>
              </w:rPr>
              <w:t>2.0</w:t>
            </w:r>
            <w:r>
              <w:rPr>
                <w:bCs/>
              </w:rPr>
              <w:t>6)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>3.119</w:t>
            </w:r>
          </w:p>
          <w:p w:rsidR="00693580" w:rsidRPr="00693580" w:rsidRDefault="00693580" w:rsidP="00C03863">
            <w:pPr>
              <w:spacing w:line="276" w:lineRule="auto"/>
              <w:jc w:val="center"/>
            </w:pPr>
            <w:r w:rsidRPr="00693580">
              <w:t>(</w:t>
            </w:r>
            <w:r w:rsidRPr="00693580">
              <w:rPr>
                <w:bCs/>
              </w:rPr>
              <w:t>0.33)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276" w:lineRule="auto"/>
              <w:jc w:val="center"/>
            </w:pPr>
            <w:r>
              <w:t xml:space="preserve"> 3.087 – 3.152</w:t>
            </w: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0.99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103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197-850</w:t>
            </w:r>
          </w:p>
        </w:tc>
      </w:tr>
      <w:tr w:rsidR="00A16A83" w:rsidTr="00544D1D">
        <w:tc>
          <w:tcPr>
            <w:tcW w:w="190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Sicilian Channel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proofErr w:type="spellStart"/>
            <w:r>
              <w:t>Canizzaro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et al.</w:t>
            </w:r>
          </w:p>
          <w:p w:rsidR="00A16A83" w:rsidRDefault="00A16A83" w:rsidP="00EE09D1">
            <w:pPr>
              <w:spacing w:line="480" w:lineRule="auto"/>
              <w:jc w:val="center"/>
            </w:pPr>
            <w:r>
              <w:t>(1994)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0.0037*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3.0688</w:t>
            </w:r>
          </w:p>
        </w:tc>
        <w:tc>
          <w:tcPr>
            <w:tcW w:w="16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0.95</w:t>
            </w:r>
          </w:p>
        </w:tc>
        <w:tc>
          <w:tcPr>
            <w:tcW w:w="18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812</w:t>
            </w:r>
          </w:p>
        </w:tc>
        <w:tc>
          <w:tcPr>
            <w:tcW w:w="1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150-920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0.0033*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3.0919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0.97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1038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150-735</w:t>
            </w:r>
          </w:p>
        </w:tc>
      </w:tr>
      <w:tr w:rsidR="00A16A83" w:rsidTr="00544D1D">
        <w:tc>
          <w:tcPr>
            <w:tcW w:w="190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Times.New.Roman.Bold0150" w:cs="Times.New.Roman.Bold0150"/>
              </w:rPr>
              <w:t>Eastern  Mediterranean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proofErr w:type="spellStart"/>
            <w:r>
              <w:t>Sion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et al.</w:t>
            </w:r>
            <w:r>
              <w:t xml:space="preserve"> (2003)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Times.New.Roman083.313" w:cs="Times.New.Roman083.313"/>
              </w:rPr>
              <w:t>0.000001018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3.25</w:t>
            </w:r>
          </w:p>
        </w:tc>
        <w:tc>
          <w:tcPr>
            <w:tcW w:w="16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0.99</w:t>
            </w:r>
          </w:p>
        </w:tc>
        <w:tc>
          <w:tcPr>
            <w:tcW w:w="18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112</w:t>
            </w:r>
          </w:p>
        </w:tc>
        <w:tc>
          <w:tcPr>
            <w:tcW w:w="1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580-785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0.000001746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3.16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0.99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67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450-664</w:t>
            </w:r>
          </w:p>
        </w:tc>
      </w:tr>
      <w:tr w:rsidR="00A16A83" w:rsidTr="00544D1D">
        <w:tc>
          <w:tcPr>
            <w:tcW w:w="190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8038E7" w:rsidRDefault="00A16A83" w:rsidP="00EE09D1">
            <w:pPr>
              <w:spacing w:line="480" w:lineRule="auto"/>
              <w:jc w:val="center"/>
            </w:pPr>
            <w:proofErr w:type="spellStart"/>
            <w:r>
              <w:rPr>
                <w:rFonts w:eastAsia="Times.New.Roman.Bold0150" w:cs="Times.New.Roman.Bold0150"/>
              </w:rPr>
              <w:t>Saros</w:t>
            </w:r>
            <w:proofErr w:type="spellEnd"/>
            <w:r>
              <w:rPr>
                <w:rFonts w:eastAsia="Times.New.Roman.Bold0150" w:cs="Times.New.Roman.Bold0150"/>
              </w:rPr>
              <w:t xml:space="preserve"> Bay (North Aegean Sea)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proofErr w:type="spellStart"/>
            <w:r>
              <w:rPr>
                <w:rFonts w:eastAsia="Times.New.Roman.Bold0150" w:cs="Times.New.Roman.Bold0150"/>
              </w:rPr>
              <w:t>Ismen</w:t>
            </w:r>
            <w:proofErr w:type="spellEnd"/>
            <w:r>
              <w:rPr>
                <w:rFonts w:eastAsia="Times.New.Roman.Bold0150" w:cs="Times.New.Roman.Bold0150"/>
              </w:rPr>
              <w:t xml:space="preserve"> </w:t>
            </w:r>
            <w:r w:rsidRPr="00157205">
              <w:rPr>
                <w:rFonts w:eastAsia="Times.New.Roman.Bold0150" w:cs="Times.New.Roman.Bold0150"/>
                <w:i/>
              </w:rPr>
              <w:t>et al</w:t>
            </w:r>
            <w:r>
              <w:rPr>
                <w:rFonts w:eastAsia="Times.New.Roman.Bold0150" w:cs="Times.New.Roman.Bold0150"/>
              </w:rPr>
              <w:t>. (2009)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0.0030*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3.0700</w:t>
            </w:r>
          </w:p>
        </w:tc>
        <w:tc>
          <w:tcPr>
            <w:tcW w:w="16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2.9391–3.2009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0.989</w:t>
            </w:r>
          </w:p>
        </w:tc>
        <w:tc>
          <w:tcPr>
            <w:tcW w:w="18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27</w:t>
            </w:r>
          </w:p>
        </w:tc>
        <w:tc>
          <w:tcPr>
            <w:tcW w:w="1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305-1216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0.0016*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3.2146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3.0905–3.3388</w:t>
            </w: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0.994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305-1175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0.0145*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2.6816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2.3990–2.9641</w:t>
            </w: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0.989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EE09D1">
            <w:pPr>
              <w:spacing w:line="480" w:lineRule="auto"/>
              <w:jc w:val="center"/>
            </w:pPr>
            <w:r>
              <w:t>320-1216</w:t>
            </w:r>
          </w:p>
        </w:tc>
      </w:tr>
      <w:tr w:rsidR="00A16A83" w:rsidTr="00544D1D">
        <w:tc>
          <w:tcPr>
            <w:tcW w:w="190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-b" w:cs="AdvTimes-b"/>
              </w:rPr>
              <w:lastRenderedPageBreak/>
              <w:t>Antalya Bay, (eastern Mediterranean)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Pr="00C939B4" w:rsidRDefault="00A16A83" w:rsidP="00F03317">
            <w:pPr>
              <w:spacing w:line="480" w:lineRule="auto"/>
              <w:jc w:val="center"/>
            </w:pPr>
            <w:proofErr w:type="spellStart"/>
            <w:r w:rsidRPr="00C939B4">
              <w:rPr>
                <w:rFonts w:eastAsia="AdvTimes"/>
              </w:rPr>
              <w:t>Guven</w:t>
            </w:r>
            <w:proofErr w:type="spellEnd"/>
            <w:r w:rsidRPr="00C939B4">
              <w:rPr>
                <w:rFonts w:eastAsia="AdvTimes"/>
              </w:rPr>
              <w:t xml:space="preserve"> </w:t>
            </w:r>
            <w:r w:rsidRPr="000D723F">
              <w:rPr>
                <w:rFonts w:eastAsia="AdvTimes"/>
                <w:i/>
              </w:rPr>
              <w:t>et al.</w:t>
            </w:r>
            <w:r w:rsidRPr="00C939B4">
              <w:rPr>
                <w:rFonts w:eastAsia="AdvTimes"/>
              </w:rPr>
              <w:t xml:space="preserve"> (201</w:t>
            </w:r>
            <w:r w:rsidR="00F03317">
              <w:rPr>
                <w:rFonts w:eastAsia="AdvTimes"/>
              </w:rPr>
              <w:t>2</w:t>
            </w:r>
            <w:r w:rsidRPr="00C939B4">
              <w:rPr>
                <w:rFonts w:eastAsia="AdvTimes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6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0.0033*</w:t>
            </w:r>
          </w:p>
        </w:tc>
        <w:tc>
          <w:tcPr>
            <w:tcW w:w="9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3.06</w:t>
            </w:r>
          </w:p>
        </w:tc>
        <w:tc>
          <w:tcPr>
            <w:tcW w:w="16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3.03–3.10</w:t>
            </w:r>
          </w:p>
        </w:tc>
        <w:tc>
          <w:tcPr>
            <w:tcW w:w="8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0.994</w:t>
            </w:r>
          </w:p>
        </w:tc>
        <w:tc>
          <w:tcPr>
            <w:tcW w:w="18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177</w:t>
            </w:r>
          </w:p>
        </w:tc>
        <w:tc>
          <w:tcPr>
            <w:tcW w:w="148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160-754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0.0029*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3.10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3.05–3.16</w:t>
            </w: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0.995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85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160-710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0.0035*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3.03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" w:cs="AdvTimes"/>
              </w:rPr>
              <w:t>2.99–3.08</w:t>
            </w: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0.994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92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162-754</w:t>
            </w:r>
          </w:p>
        </w:tc>
      </w:tr>
      <w:tr w:rsidR="00A16A83" w:rsidTr="00544D1D">
        <w:tc>
          <w:tcPr>
            <w:tcW w:w="190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 xml:space="preserve">Balearic Islands </w:t>
            </w:r>
            <w:r>
              <w:rPr>
                <w:rFonts w:eastAsia="AdvTimes-b" w:cs="AdvTimes-b"/>
              </w:rPr>
              <w:t>(western Mediterranean)</w:t>
            </w:r>
          </w:p>
        </w:tc>
        <w:tc>
          <w:tcPr>
            <w:tcW w:w="17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proofErr w:type="spellStart"/>
            <w:r>
              <w:t>Merella</w:t>
            </w:r>
            <w:proofErr w:type="spellEnd"/>
            <w:r>
              <w:t xml:space="preserve"> </w:t>
            </w:r>
            <w:r w:rsidRPr="000D723F">
              <w:rPr>
                <w:i/>
              </w:rPr>
              <w:t>et al.</w:t>
            </w:r>
            <w:r>
              <w:t xml:space="preserve"> </w:t>
            </w:r>
            <w:r w:rsidRPr="00C939B4">
              <w:t>(1997)</w:t>
            </w: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0.0012*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3.37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0.988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27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195-350</w:t>
            </w:r>
          </w:p>
        </w:tc>
      </w:tr>
      <w:tr w:rsidR="00A16A83" w:rsidTr="00544D1D">
        <w:tc>
          <w:tcPr>
            <w:tcW w:w="190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Times-Bold" w:cs="Times-Bold"/>
              </w:rPr>
              <w:t>Eastern Adriatic Sea</w:t>
            </w:r>
          </w:p>
        </w:tc>
        <w:tc>
          <w:tcPr>
            <w:tcW w:w="17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proofErr w:type="spellStart"/>
            <w:r>
              <w:t>Pallaoro</w:t>
            </w:r>
            <w:proofErr w:type="spellEnd"/>
            <w:r>
              <w:t xml:space="preserve"> </w:t>
            </w:r>
            <w:r w:rsidRPr="000D723F">
              <w:rPr>
                <w:i/>
              </w:rPr>
              <w:t>et al.</w:t>
            </w:r>
            <w:r>
              <w:t xml:space="preserve"> (2005)</w:t>
            </w: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0.0035*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3.062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0.964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88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230-794</w:t>
            </w:r>
          </w:p>
        </w:tc>
      </w:tr>
      <w:tr w:rsidR="00A16A83" w:rsidTr="00544D1D">
        <w:tc>
          <w:tcPr>
            <w:tcW w:w="1905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rPr>
                <w:rFonts w:eastAsia="AdvTimes-b" w:cs="AdvTimes-b"/>
              </w:rPr>
              <w:t>Eastern Mediterranean</w:t>
            </w:r>
          </w:p>
        </w:tc>
        <w:tc>
          <w:tcPr>
            <w:tcW w:w="1740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3B008C">
            <w:pPr>
              <w:spacing w:line="480" w:lineRule="auto"/>
              <w:jc w:val="center"/>
            </w:pPr>
            <w:proofErr w:type="spellStart"/>
            <w:r>
              <w:t>Kousteni</w:t>
            </w:r>
            <w:proofErr w:type="spellEnd"/>
            <w:r>
              <w:t xml:space="preserve"> </w:t>
            </w:r>
            <w:r w:rsidR="003B008C">
              <w:t>&amp;</w:t>
            </w:r>
            <w:r>
              <w:t xml:space="preserve"> </w:t>
            </w:r>
            <w:proofErr w:type="spellStart"/>
            <w:r>
              <w:t>Megalofonou</w:t>
            </w:r>
            <w:proofErr w:type="spellEnd"/>
            <w:r>
              <w:t xml:space="preserve"> (2011)</w:t>
            </w: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Females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0.0000008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3.30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0.99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292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182-779</w:t>
            </w:r>
          </w:p>
        </w:tc>
      </w:tr>
      <w:tr w:rsidR="00A16A83" w:rsidTr="00544D1D">
        <w:tc>
          <w:tcPr>
            <w:tcW w:w="1905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740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Males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0.0000002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3.16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0.97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232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180-799</w:t>
            </w:r>
          </w:p>
        </w:tc>
      </w:tr>
      <w:tr w:rsidR="00A16A83" w:rsidTr="00544D1D">
        <w:tc>
          <w:tcPr>
            <w:tcW w:w="190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autoSpaceDE w:val="0"/>
              <w:spacing w:line="480" w:lineRule="auto"/>
            </w:pPr>
            <w:r>
              <w:rPr>
                <w:rFonts w:eastAsia="Times New Roman;Times New Roman" w:cs="Times New Roman;Times New Roman"/>
                <w:color w:val="000000"/>
              </w:rPr>
              <w:t>Southern Aegean Sea (Turkey)</w:t>
            </w:r>
          </w:p>
        </w:tc>
        <w:tc>
          <w:tcPr>
            <w:tcW w:w="17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2F48EA">
            <w:pPr>
              <w:spacing w:line="480" w:lineRule="auto"/>
              <w:jc w:val="center"/>
            </w:pPr>
            <w:r>
              <w:t xml:space="preserve">Bilge </w:t>
            </w:r>
            <w:r w:rsidRPr="000D723F">
              <w:rPr>
                <w:i/>
              </w:rPr>
              <w:t>et al.</w:t>
            </w:r>
            <w:r>
              <w:t xml:space="preserve"> (2014)</w:t>
            </w:r>
          </w:p>
        </w:tc>
        <w:tc>
          <w:tcPr>
            <w:tcW w:w="108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Total</w:t>
            </w:r>
          </w:p>
        </w:tc>
        <w:tc>
          <w:tcPr>
            <w:tcW w:w="162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0.052*</w:t>
            </w:r>
          </w:p>
        </w:tc>
        <w:tc>
          <w:tcPr>
            <w:tcW w:w="9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2.96</w:t>
            </w:r>
          </w:p>
        </w:tc>
        <w:tc>
          <w:tcPr>
            <w:tcW w:w="169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2.91-3.02</w:t>
            </w:r>
          </w:p>
        </w:tc>
        <w:tc>
          <w:tcPr>
            <w:tcW w:w="84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0.991</w:t>
            </w:r>
          </w:p>
        </w:tc>
        <w:tc>
          <w:tcPr>
            <w:tcW w:w="181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A83" w:rsidRDefault="00A16A83" w:rsidP="00544D1D">
            <w:pPr>
              <w:spacing w:line="480" w:lineRule="auto"/>
              <w:jc w:val="center"/>
            </w:pPr>
            <w:r>
              <w:t>177-629</w:t>
            </w:r>
          </w:p>
        </w:tc>
      </w:tr>
    </w:tbl>
    <w:p w:rsidR="00A16A83" w:rsidRDefault="00A16A83" w:rsidP="00A16A83">
      <w:r>
        <w:t>*Estimation of parameters with size in cm</w:t>
      </w:r>
    </w:p>
    <w:p w:rsidR="00490C56" w:rsidRDefault="00490C56"/>
    <w:sectPr w:rsidR="00490C56" w:rsidSect="00A16A83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.New.Roman.Bold015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.New.Roman083.31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Time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Times-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20"/>
  <w:characterSpacingControl w:val="doNotCompress"/>
  <w:compat/>
  <w:rsids>
    <w:rsidRoot w:val="00A16A83"/>
    <w:rsid w:val="000479BE"/>
    <w:rsid w:val="0016005F"/>
    <w:rsid w:val="00194983"/>
    <w:rsid w:val="0027268F"/>
    <w:rsid w:val="0027688B"/>
    <w:rsid w:val="002F48EA"/>
    <w:rsid w:val="00344288"/>
    <w:rsid w:val="003875F4"/>
    <w:rsid w:val="003B008C"/>
    <w:rsid w:val="00414020"/>
    <w:rsid w:val="00481C26"/>
    <w:rsid w:val="00490C56"/>
    <w:rsid w:val="00490D3C"/>
    <w:rsid w:val="004B4FCB"/>
    <w:rsid w:val="005E5162"/>
    <w:rsid w:val="0060421C"/>
    <w:rsid w:val="00693580"/>
    <w:rsid w:val="006E4FD4"/>
    <w:rsid w:val="00944C77"/>
    <w:rsid w:val="009D28E6"/>
    <w:rsid w:val="00A06D09"/>
    <w:rsid w:val="00A16A83"/>
    <w:rsid w:val="00A53B67"/>
    <w:rsid w:val="00A755CC"/>
    <w:rsid w:val="00AE0A52"/>
    <w:rsid w:val="00B25C82"/>
    <w:rsid w:val="00BF0789"/>
    <w:rsid w:val="00BF16A5"/>
    <w:rsid w:val="00C03863"/>
    <w:rsid w:val="00D6216A"/>
    <w:rsid w:val="00D7775A"/>
    <w:rsid w:val="00EE09D1"/>
    <w:rsid w:val="00F0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A8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7</cp:revision>
  <dcterms:created xsi:type="dcterms:W3CDTF">2016-08-18T13:30:00Z</dcterms:created>
  <dcterms:modified xsi:type="dcterms:W3CDTF">2016-09-06T12:52:00Z</dcterms:modified>
</cp:coreProperties>
</file>