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B5" w:rsidRPr="00E71FD1" w:rsidRDefault="00E71FD1" w:rsidP="00BC09B5">
      <w:pPr>
        <w:spacing w:after="300" w:line="240" w:lineRule="auto"/>
        <w:ind w:left="-709"/>
        <w:jc w:val="both"/>
        <w:rPr>
          <w:rFonts w:ascii="Arial" w:hAnsi="Arial" w:cs="Arial"/>
          <w:lang w:val="en-US"/>
        </w:rPr>
      </w:pPr>
      <w:r w:rsidRPr="00E71FD1">
        <w:rPr>
          <w:rFonts w:ascii="Arial" w:hAnsi="Arial" w:cs="Arial"/>
          <w:lang w:val="en-US"/>
        </w:rPr>
        <w:t>SUPPLEMENTARY MATTERIAL</w:t>
      </w:r>
    </w:p>
    <w:p w:rsidR="00BC09B5" w:rsidRDefault="009D4AB8" w:rsidP="00F443DE">
      <w:pPr>
        <w:spacing w:after="120" w:line="240" w:lineRule="auto"/>
        <w:ind w:left="-349"/>
        <w:jc w:val="both"/>
        <w:rPr>
          <w:rFonts w:ascii="Arial" w:hAnsi="Arial" w:cs="Arial"/>
          <w:b/>
          <w:lang w:val="en-US"/>
        </w:rPr>
      </w:pPr>
      <w:r w:rsidRPr="00F443DE">
        <w:rPr>
          <w:rFonts w:ascii="Arial" w:hAnsi="Arial" w:cs="Arial"/>
          <w:b/>
          <w:lang w:val="en-US"/>
        </w:rPr>
        <w:t>Environmental variables</w:t>
      </w:r>
    </w:p>
    <w:p w:rsidR="00F443DE" w:rsidRPr="00F443DE" w:rsidRDefault="00F443DE" w:rsidP="00F443DE">
      <w:pPr>
        <w:spacing w:after="120" w:line="240" w:lineRule="auto"/>
        <w:ind w:left="-349"/>
        <w:jc w:val="both"/>
        <w:rPr>
          <w:rFonts w:ascii="Arial" w:hAnsi="Arial" w:cs="Arial"/>
          <w:b/>
          <w:lang w:val="en-US"/>
        </w:rPr>
      </w:pPr>
    </w:p>
    <w:p w:rsidR="00BC09B5" w:rsidRPr="00BC09B5" w:rsidRDefault="00B62370" w:rsidP="00B62370">
      <w:pPr>
        <w:spacing w:after="240" w:line="240" w:lineRule="auto"/>
        <w:ind w:left="-142"/>
        <w:jc w:val="center"/>
        <w:rPr>
          <w:rFonts w:ascii="Arial" w:hAnsi="Arial" w:cs="Arial"/>
          <w:lang w:val="en-US"/>
        </w:rPr>
      </w:pPr>
      <w:r>
        <w:rPr>
          <w:lang w:val="en-US"/>
        </w:rPr>
        <w:t>T</w:t>
      </w:r>
      <w:r w:rsidR="00BC09B5" w:rsidRPr="00BC09B5">
        <w:rPr>
          <w:rFonts w:ascii="Arial" w:hAnsi="Arial" w:cs="Arial"/>
          <w:lang w:val="en-US"/>
        </w:rPr>
        <w:t>he original data of the sampling cruises are availab</w:t>
      </w:r>
      <w:r w:rsidR="00F637CC">
        <w:rPr>
          <w:rFonts w:ascii="Arial" w:hAnsi="Arial" w:cs="Arial"/>
          <w:lang w:val="en-US"/>
        </w:rPr>
        <w:t xml:space="preserve">le online through the </w:t>
      </w:r>
      <w:proofErr w:type="spellStart"/>
      <w:r w:rsidR="00F637CC">
        <w:rPr>
          <w:rFonts w:ascii="Arial" w:hAnsi="Arial" w:cs="Arial"/>
          <w:lang w:val="en-US"/>
        </w:rPr>
        <w:t>LifeWatch</w:t>
      </w:r>
      <w:r w:rsidR="00BC09B5" w:rsidRPr="00BC09B5">
        <w:rPr>
          <w:rFonts w:ascii="Arial" w:hAnsi="Arial" w:cs="Arial"/>
          <w:lang w:val="en-US"/>
        </w:rPr>
        <w:t>Greece</w:t>
      </w:r>
      <w:proofErr w:type="spellEnd"/>
      <w:r w:rsidR="00BC09B5" w:rsidRPr="00BC09B5">
        <w:rPr>
          <w:rFonts w:ascii="Arial" w:hAnsi="Arial" w:cs="Arial"/>
          <w:lang w:val="en-US"/>
        </w:rPr>
        <w:t xml:space="preserve"> platform, using the following link: </w:t>
      </w:r>
    </w:p>
    <w:p w:rsidR="00FA7212" w:rsidRPr="00FA7212" w:rsidRDefault="00D714ED" w:rsidP="00BC09B5">
      <w:pPr>
        <w:jc w:val="both"/>
        <w:rPr>
          <w:rFonts w:ascii="Arial" w:hAnsi="Arial" w:cs="Arial"/>
          <w:lang w:val="en-US"/>
        </w:rPr>
      </w:pPr>
      <w:r w:rsidRPr="00D714ED">
        <w:rPr>
          <w:rFonts w:ascii="Arial" w:hAnsi="Arial" w:cs="Arial"/>
          <w:lang w:val="en-US"/>
        </w:rPr>
        <w:t>http://ipt.medobis.eu/resource?r=zoobenthos_in_amvrakikos_wetl﻿ands﻿﻿</w:t>
      </w:r>
      <w:r w:rsidR="00FA7212">
        <w:rPr>
          <w:rFonts w:ascii="Arial" w:hAnsi="Arial" w:cs="Arial"/>
          <w:lang w:val="en-US"/>
        </w:rPr>
        <w:br w:type="page"/>
      </w:r>
    </w:p>
    <w:p w:rsidR="009D4AB8" w:rsidRPr="008D4ABB" w:rsidRDefault="009D4AB8" w:rsidP="008D4ABB">
      <w:pPr>
        <w:spacing w:after="0"/>
        <w:ind w:left="-349"/>
        <w:jc w:val="both"/>
        <w:rPr>
          <w:rFonts w:ascii="Arial" w:eastAsia="Times New Roman" w:hAnsi="Arial" w:cs="Arial"/>
          <w:b/>
          <w:lang w:val="en-US"/>
        </w:rPr>
      </w:pPr>
      <w:r w:rsidRPr="008D4ABB">
        <w:rPr>
          <w:rFonts w:ascii="Arial" w:eastAsia="Times New Roman" w:hAnsi="Arial" w:cs="Arial"/>
          <w:b/>
          <w:lang w:val="en-US"/>
        </w:rPr>
        <w:lastRenderedPageBreak/>
        <w:t>Results of the restricted dataset genetic analysis</w:t>
      </w:r>
    </w:p>
    <w:p w:rsidR="005B596E" w:rsidRDefault="005B596E" w:rsidP="005B596E">
      <w:pPr>
        <w:spacing w:after="0"/>
        <w:jc w:val="both"/>
        <w:rPr>
          <w:rFonts w:ascii="Arial" w:eastAsia="Times New Roman" w:hAnsi="Arial" w:cs="Arial"/>
          <w:u w:val="single"/>
          <w:lang w:val="en-US"/>
        </w:rPr>
      </w:pPr>
    </w:p>
    <w:p w:rsidR="00F6103C" w:rsidRDefault="00454962" w:rsidP="00F6103C">
      <w:pPr>
        <w:spacing w:after="0"/>
        <w:ind w:firstLine="426"/>
        <w:jc w:val="both"/>
        <w:rPr>
          <w:rFonts w:ascii="Arial" w:eastAsia="Times New Roman" w:hAnsi="Arial" w:cs="Arial"/>
          <w:lang w:val="en-US"/>
        </w:rPr>
      </w:pPr>
      <w:r>
        <w:rPr>
          <w:rFonts w:ascii="Arial" w:eastAsia="Times New Roman" w:hAnsi="Arial" w:cs="Arial"/>
          <w:lang w:val="en-US"/>
        </w:rPr>
        <w:t xml:space="preserve">The section includes results of analysis performed using restricted dataset of longer sequences (~610bp). </w:t>
      </w:r>
      <w:r w:rsidR="004B0B45">
        <w:rPr>
          <w:rFonts w:ascii="Arial" w:eastAsia="Times New Roman" w:hAnsi="Arial" w:cs="Arial"/>
          <w:lang w:val="en-US"/>
        </w:rPr>
        <w:t xml:space="preserve">The restricted dataset included 115 sequences. </w:t>
      </w:r>
      <w:r>
        <w:rPr>
          <w:rFonts w:ascii="Arial" w:eastAsia="Times New Roman" w:hAnsi="Arial" w:cs="Arial"/>
          <w:lang w:val="en-US"/>
        </w:rPr>
        <w:t xml:space="preserve">The results of the analysis </w:t>
      </w:r>
      <w:r w:rsidR="00121B94" w:rsidRPr="00121B94">
        <w:rPr>
          <w:rFonts w:ascii="Arial" w:eastAsia="Times New Roman" w:hAnsi="Arial" w:cs="Arial"/>
          <w:lang w:val="en-US"/>
        </w:rPr>
        <w:t xml:space="preserve">did not show outstanding differences </w:t>
      </w:r>
      <w:r>
        <w:rPr>
          <w:rFonts w:ascii="Arial" w:eastAsia="Times New Roman" w:hAnsi="Arial" w:cs="Arial"/>
          <w:lang w:val="en-US"/>
        </w:rPr>
        <w:t xml:space="preserve">compared to the ones of the larger dataset with the shorter sequences used in the paper. </w:t>
      </w:r>
    </w:p>
    <w:p w:rsidR="00454962" w:rsidRPr="00CD14B9" w:rsidRDefault="00F6103C" w:rsidP="00F6103C">
      <w:pPr>
        <w:spacing w:after="0"/>
        <w:ind w:firstLine="426"/>
        <w:jc w:val="both"/>
        <w:rPr>
          <w:rFonts w:ascii="Arial" w:eastAsia="Times New Roman" w:hAnsi="Arial" w:cs="Arial"/>
          <w:lang w:val="en-US"/>
        </w:rPr>
      </w:pPr>
      <w:r>
        <w:rPr>
          <w:rFonts w:ascii="Arial" w:eastAsia="Times New Roman" w:hAnsi="Arial" w:cs="Arial"/>
          <w:lang w:val="en-US"/>
        </w:rPr>
        <w:t>T</w:t>
      </w:r>
      <w:r w:rsidR="00454962">
        <w:rPr>
          <w:rFonts w:ascii="Arial" w:eastAsia="Times New Roman" w:hAnsi="Arial" w:cs="Arial"/>
          <w:lang w:val="en-US"/>
        </w:rPr>
        <w:t xml:space="preserve">he analysis performed to test whether the </w:t>
      </w:r>
      <w:r w:rsidR="00454962" w:rsidRPr="00454962">
        <w:rPr>
          <w:rFonts w:ascii="Arial" w:eastAsia="Times New Roman" w:hAnsi="Arial" w:cs="Arial"/>
          <w:i/>
          <w:lang w:val="en-US"/>
        </w:rPr>
        <w:t xml:space="preserve">N. </w:t>
      </w:r>
      <w:proofErr w:type="spellStart"/>
      <w:r w:rsidR="00454962" w:rsidRPr="00454962">
        <w:rPr>
          <w:rFonts w:ascii="Arial" w:eastAsia="Times New Roman" w:hAnsi="Arial" w:cs="Arial"/>
          <w:i/>
          <w:lang w:val="en-US"/>
        </w:rPr>
        <w:t>hombergii</w:t>
      </w:r>
      <w:proofErr w:type="spellEnd"/>
      <w:r w:rsidR="00454962">
        <w:rPr>
          <w:rFonts w:ascii="Arial" w:eastAsia="Times New Roman" w:hAnsi="Arial" w:cs="Arial"/>
          <w:lang w:val="en-US"/>
        </w:rPr>
        <w:t xml:space="preserve"> is represented by cryptic species, included calculation of the </w:t>
      </w:r>
      <w:proofErr w:type="spellStart"/>
      <w:r w:rsidR="00454962">
        <w:rPr>
          <w:rFonts w:ascii="Arial" w:eastAsia="Times New Roman" w:hAnsi="Arial" w:cs="Arial"/>
          <w:lang w:val="en-US"/>
        </w:rPr>
        <w:t>pairwise</w:t>
      </w:r>
      <w:proofErr w:type="spellEnd"/>
      <w:r w:rsidR="00454962">
        <w:rPr>
          <w:rFonts w:ascii="Arial" w:eastAsia="Times New Roman" w:hAnsi="Arial" w:cs="Arial"/>
          <w:lang w:val="en-US"/>
        </w:rPr>
        <w:t xml:space="preserve"> distances (Table </w:t>
      </w:r>
      <w:r w:rsidR="00504052">
        <w:rPr>
          <w:rFonts w:ascii="Arial" w:eastAsia="Times New Roman" w:hAnsi="Arial" w:cs="Arial"/>
          <w:lang w:val="en-US"/>
        </w:rPr>
        <w:t>S</w:t>
      </w:r>
      <w:r w:rsidR="00454962">
        <w:rPr>
          <w:rFonts w:ascii="Arial" w:eastAsia="Times New Roman" w:hAnsi="Arial" w:cs="Arial"/>
          <w:lang w:val="en-US"/>
        </w:rPr>
        <w:t>1), estimation of groups through the ABGD method (Figure 3) and calculation of the K/</w:t>
      </w:r>
      <w:r w:rsidR="00454962">
        <w:rPr>
          <w:rFonts w:ascii="Arial" w:eastAsia="Times New Roman" w:hAnsi="Arial" w:cs="Arial"/>
        </w:rPr>
        <w:t>θ</w:t>
      </w:r>
      <w:r w:rsidR="00454962">
        <w:rPr>
          <w:rFonts w:ascii="Arial" w:eastAsia="Times New Roman" w:hAnsi="Arial" w:cs="Arial"/>
          <w:lang w:val="en-US"/>
        </w:rPr>
        <w:t xml:space="preserve"> index.  The index was found to be 0.96 (&lt;4). Results by all three methods do not support cryptic speciation in </w:t>
      </w:r>
      <w:r w:rsidR="00454962" w:rsidRPr="00454962">
        <w:rPr>
          <w:rFonts w:ascii="Arial" w:eastAsia="Times New Roman" w:hAnsi="Arial" w:cs="Arial"/>
          <w:i/>
          <w:lang w:val="en-US"/>
        </w:rPr>
        <w:t xml:space="preserve">N. </w:t>
      </w:r>
      <w:proofErr w:type="spellStart"/>
      <w:r w:rsidR="00454962" w:rsidRPr="00454962">
        <w:rPr>
          <w:rFonts w:ascii="Arial" w:eastAsia="Times New Roman" w:hAnsi="Arial" w:cs="Arial"/>
          <w:i/>
          <w:lang w:val="en-US"/>
        </w:rPr>
        <w:t>hombergii</w:t>
      </w:r>
      <w:proofErr w:type="spellEnd"/>
      <w:r w:rsidR="00454962">
        <w:rPr>
          <w:rFonts w:ascii="Arial" w:eastAsia="Times New Roman" w:hAnsi="Arial" w:cs="Arial"/>
          <w:lang w:val="en-US"/>
        </w:rPr>
        <w:t xml:space="preserve">. </w:t>
      </w:r>
    </w:p>
    <w:p w:rsidR="005B596E" w:rsidRDefault="005B596E" w:rsidP="009D4AB8">
      <w:pPr>
        <w:spacing w:after="0"/>
        <w:jc w:val="both"/>
        <w:rPr>
          <w:rFonts w:ascii="Arial" w:eastAsia="Times New Roman" w:hAnsi="Arial" w:cs="Arial"/>
          <w:b/>
          <w:lang w:val="en-US"/>
        </w:rPr>
      </w:pPr>
    </w:p>
    <w:p w:rsidR="00504052" w:rsidRDefault="00504052">
      <w:pPr>
        <w:spacing w:after="0" w:line="240" w:lineRule="auto"/>
        <w:rPr>
          <w:rFonts w:ascii="Arial" w:eastAsia="Times New Roman" w:hAnsi="Arial" w:cs="Arial"/>
          <w:b/>
          <w:lang w:val="en-US"/>
        </w:rPr>
      </w:pPr>
      <w:r>
        <w:rPr>
          <w:rFonts w:ascii="Arial" w:eastAsia="Times New Roman" w:hAnsi="Arial" w:cs="Arial"/>
          <w:b/>
          <w:lang w:val="en-US"/>
        </w:rPr>
        <w:br w:type="page"/>
      </w:r>
    </w:p>
    <w:p w:rsidR="00F6103C" w:rsidRPr="00F6103C" w:rsidRDefault="00F6103C" w:rsidP="00F6103C">
      <w:pPr>
        <w:spacing w:after="0"/>
        <w:jc w:val="both"/>
        <w:rPr>
          <w:rFonts w:ascii="Arial" w:eastAsia="Times New Roman" w:hAnsi="Arial" w:cs="Arial"/>
          <w:u w:val="single"/>
          <w:lang w:val="en-US"/>
        </w:rPr>
      </w:pPr>
      <w:r w:rsidRPr="00F6103C">
        <w:rPr>
          <w:rFonts w:ascii="Arial" w:eastAsia="Times New Roman" w:hAnsi="Arial" w:cs="Arial"/>
          <w:u w:val="single"/>
          <w:lang w:val="en-US"/>
        </w:rPr>
        <w:lastRenderedPageBreak/>
        <w:t>Figure legends</w:t>
      </w:r>
    </w:p>
    <w:p w:rsidR="00F6103C" w:rsidRDefault="00F6103C" w:rsidP="00F6103C">
      <w:pPr>
        <w:spacing w:after="0"/>
        <w:jc w:val="both"/>
        <w:rPr>
          <w:rFonts w:ascii="Arial" w:eastAsia="Times New Roman" w:hAnsi="Arial" w:cs="Arial"/>
          <w:b/>
          <w:lang w:val="en-US"/>
        </w:rPr>
      </w:pPr>
    </w:p>
    <w:p w:rsidR="00F6103C" w:rsidRDefault="00F6103C" w:rsidP="00F6103C">
      <w:pPr>
        <w:spacing w:after="0"/>
        <w:jc w:val="both"/>
        <w:rPr>
          <w:rFonts w:ascii="Arial" w:eastAsia="Times New Roman" w:hAnsi="Arial" w:cs="Arial"/>
          <w:lang w:val="en-US"/>
        </w:rPr>
      </w:pPr>
      <w:r>
        <w:rPr>
          <w:rFonts w:ascii="Arial" w:eastAsia="Times New Roman" w:hAnsi="Arial" w:cs="Arial"/>
          <w:b/>
          <w:lang w:val="en-US"/>
        </w:rPr>
        <w:t>Fig.</w:t>
      </w:r>
      <w:r w:rsidRPr="00E200CA">
        <w:rPr>
          <w:rFonts w:ascii="Arial" w:eastAsia="Times New Roman" w:hAnsi="Arial" w:cs="Arial"/>
          <w:b/>
          <w:lang w:val="en-US"/>
        </w:rPr>
        <w:t xml:space="preserve"> </w:t>
      </w:r>
      <w:r>
        <w:rPr>
          <w:rFonts w:ascii="Arial" w:eastAsia="Times New Roman" w:hAnsi="Arial" w:cs="Arial"/>
          <w:b/>
          <w:lang w:val="en-US"/>
        </w:rPr>
        <w:t>S</w:t>
      </w:r>
      <w:r w:rsidRPr="00E200CA">
        <w:rPr>
          <w:rFonts w:ascii="Arial" w:eastAsia="Times New Roman" w:hAnsi="Arial" w:cs="Arial"/>
          <w:b/>
          <w:lang w:val="en-US"/>
        </w:rPr>
        <w:t>1</w:t>
      </w:r>
      <w:r>
        <w:rPr>
          <w:rFonts w:ascii="Arial" w:eastAsia="Times New Roman" w:hAnsi="Arial" w:cs="Arial"/>
          <w:b/>
          <w:lang w:val="en-US"/>
        </w:rPr>
        <w:t>.</w:t>
      </w:r>
      <w:r>
        <w:rPr>
          <w:rFonts w:ascii="Arial" w:eastAsia="Times New Roman" w:hAnsi="Arial" w:cs="Arial"/>
          <w:lang w:val="en-US"/>
        </w:rPr>
        <w:t xml:space="preserve"> The </w:t>
      </w:r>
      <w:proofErr w:type="spellStart"/>
      <w:r>
        <w:rPr>
          <w:rFonts w:ascii="Arial" w:eastAsia="Times New Roman" w:hAnsi="Arial" w:cs="Arial"/>
          <w:lang w:val="en-US"/>
        </w:rPr>
        <w:t>phylogenetic</w:t>
      </w:r>
      <w:proofErr w:type="spellEnd"/>
      <w:r>
        <w:rPr>
          <w:rFonts w:ascii="Arial" w:eastAsia="Times New Roman" w:hAnsi="Arial" w:cs="Arial"/>
          <w:lang w:val="en-US"/>
        </w:rPr>
        <w:t xml:space="preserve"> network formed by the restricted dataset of the longer sequences. Colors on the pies of the networks represent the different lagoons of the study. Numbers represent the different haplotypes. </w:t>
      </w:r>
    </w:p>
    <w:p w:rsidR="00F6103C" w:rsidRDefault="00F6103C" w:rsidP="00F6103C">
      <w:pPr>
        <w:spacing w:after="0"/>
        <w:jc w:val="both"/>
        <w:rPr>
          <w:rFonts w:ascii="Arial" w:eastAsia="Times New Roman" w:hAnsi="Arial" w:cs="Arial"/>
          <w:lang w:val="en-US"/>
        </w:rPr>
      </w:pPr>
    </w:p>
    <w:p w:rsidR="00F6103C" w:rsidRDefault="00F6103C" w:rsidP="00F6103C">
      <w:pPr>
        <w:spacing w:after="0"/>
        <w:jc w:val="both"/>
        <w:rPr>
          <w:rFonts w:ascii="Arial" w:eastAsia="Times New Roman" w:hAnsi="Arial" w:cs="Arial"/>
          <w:lang w:val="en-US"/>
        </w:rPr>
      </w:pPr>
      <w:r>
        <w:rPr>
          <w:rFonts w:ascii="Arial" w:eastAsia="Times New Roman" w:hAnsi="Arial" w:cs="Arial"/>
          <w:b/>
          <w:lang w:val="en-US"/>
        </w:rPr>
        <w:t>Fig.</w:t>
      </w:r>
      <w:r w:rsidRPr="00E200CA">
        <w:rPr>
          <w:rFonts w:ascii="Arial" w:eastAsia="Times New Roman" w:hAnsi="Arial" w:cs="Arial"/>
          <w:b/>
          <w:lang w:val="en-US"/>
        </w:rPr>
        <w:t xml:space="preserve"> </w:t>
      </w:r>
      <w:r>
        <w:rPr>
          <w:rFonts w:ascii="Arial" w:eastAsia="Times New Roman" w:hAnsi="Arial" w:cs="Arial"/>
          <w:b/>
          <w:lang w:val="en-US"/>
        </w:rPr>
        <w:t>S</w:t>
      </w:r>
      <w:r w:rsidRPr="00E200CA">
        <w:rPr>
          <w:rFonts w:ascii="Arial" w:eastAsia="Times New Roman" w:hAnsi="Arial" w:cs="Arial"/>
          <w:b/>
          <w:lang w:val="en-US"/>
        </w:rPr>
        <w:t>2</w:t>
      </w:r>
      <w:r>
        <w:rPr>
          <w:rFonts w:ascii="Arial" w:eastAsia="Times New Roman" w:hAnsi="Arial" w:cs="Arial"/>
          <w:b/>
          <w:lang w:val="en-US"/>
        </w:rPr>
        <w:t>.</w:t>
      </w:r>
      <w:r>
        <w:rPr>
          <w:rFonts w:ascii="Arial" w:eastAsia="Times New Roman" w:hAnsi="Arial" w:cs="Arial"/>
          <w:lang w:val="en-US"/>
        </w:rPr>
        <w:t xml:space="preserve"> The </w:t>
      </w:r>
      <w:proofErr w:type="spellStart"/>
      <w:r>
        <w:rPr>
          <w:rFonts w:ascii="Arial" w:eastAsia="Times New Roman" w:hAnsi="Arial" w:cs="Arial"/>
          <w:lang w:val="en-US"/>
        </w:rPr>
        <w:t>phylogenetic</w:t>
      </w:r>
      <w:proofErr w:type="spellEnd"/>
      <w:r>
        <w:rPr>
          <w:rFonts w:ascii="Arial" w:eastAsia="Times New Roman" w:hAnsi="Arial" w:cs="Arial"/>
          <w:lang w:val="en-US"/>
        </w:rPr>
        <w:t xml:space="preserve"> network formed by the restricted dataset of the longer sequences. Colors on the pies of the networks represent the different sampling seasons.  Numbers represent the different haplotypes (numbering is the same as in Figure S1).</w:t>
      </w:r>
    </w:p>
    <w:p w:rsidR="00F6103C" w:rsidRDefault="00F6103C" w:rsidP="00F6103C">
      <w:pPr>
        <w:spacing w:after="0"/>
        <w:jc w:val="both"/>
        <w:rPr>
          <w:rFonts w:ascii="Arial" w:eastAsia="Times New Roman" w:hAnsi="Arial" w:cs="Arial"/>
          <w:lang w:val="en-US"/>
        </w:rPr>
      </w:pPr>
    </w:p>
    <w:p w:rsidR="00F6103C" w:rsidRDefault="00F6103C" w:rsidP="00F6103C">
      <w:pPr>
        <w:spacing w:after="0"/>
        <w:jc w:val="both"/>
        <w:rPr>
          <w:rFonts w:ascii="Arial" w:eastAsia="Times New Roman" w:hAnsi="Arial" w:cs="Arial"/>
          <w:lang w:val="en-US"/>
        </w:rPr>
      </w:pPr>
      <w:r>
        <w:rPr>
          <w:rFonts w:ascii="Arial" w:eastAsia="Times New Roman" w:hAnsi="Arial" w:cs="Arial"/>
          <w:b/>
          <w:lang w:val="en-US"/>
        </w:rPr>
        <w:t>Fig.</w:t>
      </w:r>
      <w:r w:rsidRPr="00E200CA">
        <w:rPr>
          <w:rFonts w:ascii="Arial" w:eastAsia="Times New Roman" w:hAnsi="Arial" w:cs="Arial"/>
          <w:b/>
          <w:lang w:val="en-US"/>
        </w:rPr>
        <w:t xml:space="preserve"> </w:t>
      </w:r>
      <w:r>
        <w:rPr>
          <w:rFonts w:ascii="Arial" w:eastAsia="Times New Roman" w:hAnsi="Arial" w:cs="Arial"/>
          <w:b/>
          <w:lang w:val="en-US"/>
        </w:rPr>
        <w:t xml:space="preserve">S3. </w:t>
      </w:r>
      <w:r w:rsidRPr="0035003B">
        <w:rPr>
          <w:rFonts w:ascii="Arial" w:hAnsi="Arial" w:cs="Arial"/>
          <w:lang w:val="en-US"/>
        </w:rPr>
        <w:t xml:space="preserve">Neighbor-Joining tree obtained by the ABGD method. Dashed lines show the different groups as defined by the analysis. All the haplotypes of </w:t>
      </w:r>
      <w:r w:rsidRPr="0035003B">
        <w:rPr>
          <w:rFonts w:ascii="Arial" w:hAnsi="Arial" w:cs="Arial"/>
          <w:i/>
          <w:lang w:val="en-US"/>
        </w:rPr>
        <w:t xml:space="preserve">N. </w:t>
      </w:r>
      <w:proofErr w:type="spellStart"/>
      <w:r w:rsidRPr="0035003B">
        <w:rPr>
          <w:rFonts w:ascii="Arial" w:hAnsi="Arial" w:cs="Arial"/>
          <w:i/>
          <w:lang w:val="en-US"/>
        </w:rPr>
        <w:t>hombergii</w:t>
      </w:r>
      <w:proofErr w:type="spellEnd"/>
      <w:r w:rsidRPr="0035003B">
        <w:rPr>
          <w:rFonts w:ascii="Arial" w:hAnsi="Arial" w:cs="Arial"/>
          <w:lang w:val="en-US"/>
        </w:rPr>
        <w:t xml:space="preserve"> were assembled in one group.</w:t>
      </w:r>
    </w:p>
    <w:p w:rsidR="008C3BB9" w:rsidRPr="00FA7212" w:rsidRDefault="008C3BB9" w:rsidP="009D4AB8">
      <w:pPr>
        <w:spacing w:after="0"/>
        <w:jc w:val="both"/>
        <w:rPr>
          <w:rFonts w:ascii="Arial" w:hAnsi="Arial" w:cs="Arial"/>
          <w:lang w:val="en-US"/>
        </w:rPr>
      </w:pPr>
    </w:p>
    <w:sectPr w:rsidR="008C3BB9" w:rsidRPr="00FA7212" w:rsidSect="00173857">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113"/>
    <w:multiLevelType w:val="hybridMultilevel"/>
    <w:tmpl w:val="E1B2E820"/>
    <w:lvl w:ilvl="0" w:tplc="04080013">
      <w:start w:val="1"/>
      <w:numFmt w:val="upperRoman"/>
      <w:lvlText w:val="%1."/>
      <w:lvlJc w:val="righ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
    <w:nsid w:val="4DD64D4C"/>
    <w:multiLevelType w:val="hybridMultilevel"/>
    <w:tmpl w:val="2DAA367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0602"/>
    <w:rsid w:val="000A600C"/>
    <w:rsid w:val="00121B94"/>
    <w:rsid w:val="001710C1"/>
    <w:rsid w:val="00173857"/>
    <w:rsid w:val="00174379"/>
    <w:rsid w:val="0035003B"/>
    <w:rsid w:val="003E5AE3"/>
    <w:rsid w:val="00432221"/>
    <w:rsid w:val="00454962"/>
    <w:rsid w:val="004605FD"/>
    <w:rsid w:val="00487908"/>
    <w:rsid w:val="004B0B45"/>
    <w:rsid w:val="004D6F0B"/>
    <w:rsid w:val="00504052"/>
    <w:rsid w:val="00520EB0"/>
    <w:rsid w:val="0054026A"/>
    <w:rsid w:val="00591813"/>
    <w:rsid w:val="00595C78"/>
    <w:rsid w:val="005B337F"/>
    <w:rsid w:val="005B596E"/>
    <w:rsid w:val="005E73E2"/>
    <w:rsid w:val="0068128C"/>
    <w:rsid w:val="006C1432"/>
    <w:rsid w:val="00713B46"/>
    <w:rsid w:val="007A5CF9"/>
    <w:rsid w:val="0080100F"/>
    <w:rsid w:val="00832F5B"/>
    <w:rsid w:val="00833861"/>
    <w:rsid w:val="00866F54"/>
    <w:rsid w:val="008724EB"/>
    <w:rsid w:val="008C3BB9"/>
    <w:rsid w:val="008D4ABB"/>
    <w:rsid w:val="009306DD"/>
    <w:rsid w:val="00940602"/>
    <w:rsid w:val="009D4AB8"/>
    <w:rsid w:val="00A7501D"/>
    <w:rsid w:val="00AA25EB"/>
    <w:rsid w:val="00AA7735"/>
    <w:rsid w:val="00AF27BF"/>
    <w:rsid w:val="00B62370"/>
    <w:rsid w:val="00B6692F"/>
    <w:rsid w:val="00BC09B5"/>
    <w:rsid w:val="00BC6D93"/>
    <w:rsid w:val="00CD14B9"/>
    <w:rsid w:val="00D714ED"/>
    <w:rsid w:val="00DC52BE"/>
    <w:rsid w:val="00DD6C33"/>
    <w:rsid w:val="00E200CA"/>
    <w:rsid w:val="00E4495E"/>
    <w:rsid w:val="00E71FD1"/>
    <w:rsid w:val="00EC203E"/>
    <w:rsid w:val="00F443DE"/>
    <w:rsid w:val="00F6103C"/>
    <w:rsid w:val="00F637CC"/>
    <w:rsid w:val="00FA7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BC09B5"/>
    <w:rPr>
      <w:color w:val="0000FF"/>
      <w:u w:val="single"/>
    </w:rPr>
  </w:style>
  <w:style w:type="paragraph" w:styleId="a3">
    <w:name w:val="List Paragraph"/>
    <w:basedOn w:val="a"/>
    <w:uiPriority w:val="34"/>
    <w:qFormat/>
    <w:rsid w:val="009D4AB8"/>
    <w:pPr>
      <w:ind w:left="720"/>
      <w:contextualSpacing/>
    </w:pPr>
  </w:style>
  <w:style w:type="paragraph" w:styleId="a4">
    <w:name w:val="Balloon Text"/>
    <w:basedOn w:val="a"/>
    <w:link w:val="Char"/>
    <w:uiPriority w:val="99"/>
    <w:semiHidden/>
    <w:unhideWhenUsed/>
    <w:rsid w:val="005B596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B596E"/>
    <w:rPr>
      <w:rFonts w:ascii="Tahoma" w:hAnsi="Tahoma" w:cs="Tahoma"/>
      <w:sz w:val="16"/>
      <w:szCs w:val="16"/>
      <w:lang w:eastAsia="en-US"/>
    </w:rPr>
  </w:style>
  <w:style w:type="table" w:styleId="a5">
    <w:name w:val="Table Grid"/>
    <w:basedOn w:val="a1"/>
    <w:uiPriority w:val="59"/>
    <w:rsid w:val="005B5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170719">
      <w:bodyDiv w:val="1"/>
      <w:marLeft w:val="0"/>
      <w:marRight w:val="0"/>
      <w:marTop w:val="0"/>
      <w:marBottom w:val="0"/>
      <w:divBdr>
        <w:top w:val="none" w:sz="0" w:space="0" w:color="auto"/>
        <w:left w:val="none" w:sz="0" w:space="0" w:color="auto"/>
        <w:bottom w:val="none" w:sz="0" w:space="0" w:color="auto"/>
        <w:right w:val="none" w:sz="0" w:space="0" w:color="auto"/>
      </w:divBdr>
    </w:div>
    <w:div w:id="1041588495">
      <w:bodyDiv w:val="1"/>
      <w:marLeft w:val="0"/>
      <w:marRight w:val="0"/>
      <w:marTop w:val="0"/>
      <w:marBottom w:val="0"/>
      <w:divBdr>
        <w:top w:val="none" w:sz="0" w:space="0" w:color="auto"/>
        <w:left w:val="none" w:sz="0" w:space="0" w:color="auto"/>
        <w:bottom w:val="none" w:sz="0" w:space="0" w:color="auto"/>
        <w:right w:val="none" w:sz="0" w:space="0" w:color="auto"/>
      </w:divBdr>
    </w:div>
    <w:div w:id="1080834157">
      <w:bodyDiv w:val="1"/>
      <w:marLeft w:val="0"/>
      <w:marRight w:val="0"/>
      <w:marTop w:val="0"/>
      <w:marBottom w:val="0"/>
      <w:divBdr>
        <w:top w:val="none" w:sz="0" w:space="0" w:color="auto"/>
        <w:left w:val="none" w:sz="0" w:space="0" w:color="auto"/>
        <w:bottom w:val="none" w:sz="0" w:space="0" w:color="auto"/>
        <w:right w:val="none" w:sz="0" w:space="0" w:color="auto"/>
      </w:divBdr>
    </w:div>
    <w:div w:id="1095975289">
      <w:bodyDiv w:val="1"/>
      <w:marLeft w:val="0"/>
      <w:marRight w:val="0"/>
      <w:marTop w:val="0"/>
      <w:marBottom w:val="0"/>
      <w:divBdr>
        <w:top w:val="none" w:sz="0" w:space="0" w:color="auto"/>
        <w:left w:val="none" w:sz="0" w:space="0" w:color="auto"/>
        <w:bottom w:val="none" w:sz="0" w:space="0" w:color="auto"/>
        <w:right w:val="none" w:sz="0" w:space="0" w:color="auto"/>
      </w:divBdr>
    </w:div>
    <w:div w:id="1111507426">
      <w:bodyDiv w:val="1"/>
      <w:marLeft w:val="0"/>
      <w:marRight w:val="0"/>
      <w:marTop w:val="0"/>
      <w:marBottom w:val="0"/>
      <w:divBdr>
        <w:top w:val="none" w:sz="0" w:space="0" w:color="auto"/>
        <w:left w:val="none" w:sz="0" w:space="0" w:color="auto"/>
        <w:bottom w:val="none" w:sz="0" w:space="0" w:color="auto"/>
        <w:right w:val="none" w:sz="0" w:space="0" w:color="auto"/>
      </w:divBdr>
    </w:div>
    <w:div w:id="1333724502">
      <w:bodyDiv w:val="1"/>
      <w:marLeft w:val="0"/>
      <w:marRight w:val="0"/>
      <w:marTop w:val="0"/>
      <w:marBottom w:val="0"/>
      <w:divBdr>
        <w:top w:val="none" w:sz="0" w:space="0" w:color="auto"/>
        <w:left w:val="none" w:sz="0" w:space="0" w:color="auto"/>
        <w:bottom w:val="none" w:sz="0" w:space="0" w:color="auto"/>
        <w:right w:val="none" w:sz="0" w:space="0" w:color="auto"/>
      </w:divBdr>
    </w:div>
    <w:div w:id="1401053264">
      <w:bodyDiv w:val="1"/>
      <w:marLeft w:val="0"/>
      <w:marRight w:val="0"/>
      <w:marTop w:val="0"/>
      <w:marBottom w:val="0"/>
      <w:divBdr>
        <w:top w:val="none" w:sz="0" w:space="0" w:color="auto"/>
        <w:left w:val="none" w:sz="0" w:space="0" w:color="auto"/>
        <w:bottom w:val="none" w:sz="0" w:space="0" w:color="auto"/>
        <w:right w:val="none" w:sz="0" w:space="0" w:color="auto"/>
      </w:divBdr>
    </w:div>
    <w:div w:id="1530607753">
      <w:bodyDiv w:val="1"/>
      <w:marLeft w:val="0"/>
      <w:marRight w:val="0"/>
      <w:marTop w:val="0"/>
      <w:marBottom w:val="0"/>
      <w:divBdr>
        <w:top w:val="none" w:sz="0" w:space="0" w:color="auto"/>
        <w:left w:val="none" w:sz="0" w:space="0" w:color="auto"/>
        <w:bottom w:val="none" w:sz="0" w:space="0" w:color="auto"/>
        <w:right w:val="none" w:sz="0" w:space="0" w:color="auto"/>
      </w:divBdr>
    </w:div>
    <w:div w:id="18162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1394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1649</CharactersWithSpaces>
  <SharedDoc>false</SharedDoc>
  <HLinks>
    <vt:vector size="6" baseType="variant">
      <vt:variant>
        <vt:i4>6619152</vt:i4>
      </vt:variant>
      <vt:variant>
        <vt:i4>0</vt:i4>
      </vt:variant>
      <vt:variant>
        <vt:i4>0</vt:i4>
      </vt:variant>
      <vt:variant>
        <vt:i4>5</vt:i4>
      </vt:variant>
      <vt:variant>
        <vt:lpwstr>http://lifewww-00.her.hcmr.gr:8080/medobis/resource.do?r=zoobenthos_in_amvrakikos_wetlands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2</cp:revision>
  <dcterms:created xsi:type="dcterms:W3CDTF">2016-09-21T11:53:00Z</dcterms:created>
  <dcterms:modified xsi:type="dcterms:W3CDTF">2016-09-21T11:53:00Z</dcterms:modified>
</cp:coreProperties>
</file>