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Supplementary Table S2: Accession numbers of comparison sequences use in phylogenetic analysis to determine placement and identification of Burrows Bay octopus.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center"/>
        <w:tblInd w:w="0" w:type="dxa"/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3835"/>
        <w:gridCol w:w="2396"/>
        <w:gridCol w:w="1728"/>
        <w:gridCol w:w="2012"/>
      </w:tblGrid>
      <w:tr>
        <w:trPr>
          <w:tblHeader w:val="true"/>
        </w:trPr>
        <w:tc>
          <w:tcPr>
            <w:tcW w:w="383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Heading"/>
              <w:widowControl w:val="false"/>
              <w:bidi w:val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Taxon</w:t>
            </w:r>
          </w:p>
        </w:tc>
        <w:tc>
          <w:tcPr>
            <w:tcW w:w="239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Heading"/>
              <w:widowControl w:val="false"/>
              <w:bidi w:val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12S accession</w:t>
            </w:r>
          </w:p>
        </w:tc>
        <w:tc>
          <w:tcPr>
            <w:tcW w:w="17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Heading"/>
              <w:widowControl w:val="false"/>
              <w:bidi w:val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COIII accession</w:t>
            </w:r>
          </w:p>
        </w:tc>
        <w:tc>
          <w:tcPr>
            <w:tcW w:w="201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Heading"/>
              <w:widowControl w:val="false"/>
              <w:bidi w:val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CytB accession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Octopus vulgaris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AB191119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AJ616311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EF423031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Octopus rubescens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AY545084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X83101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Octopus bimaculoides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AY545086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KF225012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MG999670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Octopus cyanea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AB191129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AJ628221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KX024747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Amphioctopus aegina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AB191125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AJ628214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AJ628178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Hapalochlaena maculosa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AY545085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AJ628212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AJ628176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Abdopus aculeatus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HM104234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AJ628213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AJ628177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Octopus tetricus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KJ605225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KJ605301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KJ605331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Octopus berrima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AY545082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AJ628218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AJ628182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Macroctopus maorum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HM104239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AJ628231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AJ628194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Muusoctopus leioderma </w:t>
            </w:r>
            <w:r>
              <w:rPr>
                <w:i w:val="false"/>
                <w:iCs w:val="false"/>
                <w:sz w:val="18"/>
                <w:szCs w:val="18"/>
              </w:rPr>
              <w:t>(CASIZ 31213)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MH361295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MH363733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MH363737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i w:val="false"/>
                <w:iCs w:val="false"/>
                <w:sz w:val="18"/>
                <w:szCs w:val="18"/>
              </w:rPr>
              <w:t>Burrows Bay octo</w:t>
            </w:r>
            <w:r>
              <w:rPr>
                <w:rFonts w:ascii="Times New Roman" w:hAnsi="Times New Roman"/>
                <w:i w:val="false"/>
                <w:iCs w:val="false"/>
                <w:sz w:val="18"/>
                <w:szCs w:val="18"/>
              </w:rPr>
              <w:t xml:space="preserve">pus </w:t>
            </w:r>
            <w:r>
              <w:rPr>
                <w:rFonts w:ascii="Times New Roman" w:hAnsi="Times New Roman"/>
                <w:i w:val="false"/>
                <w:iCs w:val="false"/>
                <w:sz w:val="18"/>
                <w:szCs w:val="18"/>
                <w:shd w:fill="auto" w:val="clear"/>
              </w:rPr>
              <w:t>(CASIZ 236693-</w:t>
            </w:r>
            <w:r>
              <w:rPr>
                <w:rFonts w:ascii="Times New Roman" w:hAnsi="Times New Roman"/>
                <w:i w:val="false"/>
                <w:iCs w:val="false"/>
                <w:sz w:val="18"/>
                <w:szCs w:val="18"/>
                <w:shd w:fill="auto" w:val="clear"/>
              </w:rPr>
              <w:t>B</w:t>
            </w:r>
            <w:r>
              <w:rPr>
                <w:rFonts w:ascii="Times New Roman" w:hAnsi="Times New Roman"/>
                <w:i w:val="false"/>
                <w:iCs w:val="false"/>
                <w:sz w:val="18"/>
                <w:szCs w:val="18"/>
                <w:shd w:fill="auto" w:val="clear"/>
              </w:rPr>
              <w:t>)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MH361296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MH363734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MH363738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Muusoctopus leioderma </w:t>
            </w:r>
            <w:r>
              <w:rPr>
                <w:i w:val="false"/>
                <w:iCs w:val="false"/>
                <w:sz w:val="18"/>
                <w:szCs w:val="18"/>
              </w:rPr>
              <w:t>neotype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 w:val="false"/>
                <w:iCs w:val="false"/>
                <w:sz w:val="18"/>
                <w:szCs w:val="18"/>
              </w:rPr>
              <w:t>(</w:t>
            </w:r>
            <w:r>
              <w:rPr>
                <w:i w:val="false"/>
                <w:iCs w:val="false"/>
                <w:sz w:val="18"/>
                <w:szCs w:val="18"/>
              </w:rPr>
              <w:t>CASIZ 031369)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MH361297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MH363735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MH363739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Muusoctopus eureka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HM572145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HM572190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HM572204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Muusoctopus oregonensis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FJ603545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FJ603538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FJ603518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Muusoctopus yaquinae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FJ603550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FJ603532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FJ603519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Muusoctopus longibrachus longibrachus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HM572146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HM572192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HM572206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Muusoctopus rigbyae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FJ428006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FJ603528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FJ603527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Muusoctopus normani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EF016354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EF016327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FJ603526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Muusoctopus longibrachus akambei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HM572152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HM572195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HM572205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Muusoctopus johnsonianus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EF016351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EF016324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FJ603517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Muusoctopus sp. A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FJ603551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FJ603535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FJ603521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Muusoctopus cf. profundorum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FJ603548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FJ603537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FJ603524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Muusoctopus sp. B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FJ603552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HM572189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FJ603525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Octopus californicus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HM572142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HM572187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HM572209</w:t>
            </w:r>
          </w:p>
        </w:tc>
      </w:tr>
      <w:tr>
        <w:trPr/>
        <w:tc>
          <w:tcPr>
            <w:tcW w:w="383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Enteroctopus dofleini</w:t>
            </w:r>
          </w:p>
        </w:tc>
        <w:tc>
          <w:tcPr>
            <w:tcW w:w="239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AB191121</w:t>
            </w:r>
          </w:p>
        </w:tc>
        <w:tc>
          <w:tcPr>
            <w:tcW w:w="172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FJ603531</w:t>
            </w:r>
          </w:p>
        </w:tc>
        <w:tc>
          <w:tcPr>
            <w:tcW w:w="201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FJ603522</w:t>
            </w:r>
          </w:p>
        </w:tc>
      </w:tr>
      <w:tr>
        <w:trPr/>
        <w:tc>
          <w:tcPr>
            <w:tcW w:w="3835" w:type="dxa"/>
            <w:tcBorders>
              <w:bottom w:val="single" w:sz="1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Enteroctopus megalocyathus</w:t>
            </w:r>
          </w:p>
        </w:tc>
        <w:tc>
          <w:tcPr>
            <w:tcW w:w="2396" w:type="dxa"/>
            <w:tcBorders>
              <w:bottom w:val="single" w:sz="1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GQ226030</w:t>
            </w:r>
          </w:p>
        </w:tc>
        <w:tc>
          <w:tcPr>
            <w:tcW w:w="1728" w:type="dxa"/>
            <w:tcBorders>
              <w:bottom w:val="single" w:sz="1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GQ226027</w:t>
            </w:r>
          </w:p>
        </w:tc>
        <w:tc>
          <w:tcPr>
            <w:tcW w:w="2012" w:type="dxa"/>
            <w:tcBorders>
              <w:bottom w:val="single" w:sz="1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MG999665</w:t>
            </w:r>
          </w:p>
        </w:tc>
      </w:tr>
    </w:tbl>
    <w:p>
      <w:pPr>
        <w:pStyle w:val="Normal"/>
        <w:bidi w:val="0"/>
        <w:jc w:val="lef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  <w:sz w:val="22"/>
          <w:szCs w:val="22"/>
          <w:vertAlign w:val="superscript"/>
        </w:rPr>
        <w:t>a</w:t>
      </w: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 xml:space="preserve">(Strugnell et al., 2011), </w:t>
      </w:r>
      <w:r>
        <w:rPr>
          <w:b w:val="false"/>
          <w:bCs w:val="false"/>
          <w:sz w:val="22"/>
          <w:szCs w:val="22"/>
          <w:vertAlign w:val="superscript"/>
        </w:rPr>
        <w:t>b</w:t>
      </w: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 xml:space="preserve">(Gleadall et al. 2010), </w:t>
      </w:r>
      <w:r>
        <w:rPr>
          <w:b w:val="false"/>
          <w:bCs w:val="false"/>
          <w:sz w:val="22"/>
          <w:szCs w:val="22"/>
          <w:vertAlign w:val="superscript"/>
        </w:rPr>
        <w:t>c</w:t>
      </w: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 xml:space="preserve">(Strugnell et al., 2009), </w:t>
      </w:r>
      <w:r>
        <w:rPr>
          <w:b w:val="false"/>
          <w:bCs w:val="false"/>
          <w:sz w:val="22"/>
          <w:szCs w:val="22"/>
          <w:vertAlign w:val="superscript"/>
        </w:rPr>
        <w:t>d</w:t>
      </w: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 xml:space="preserve">(Allcock et al., 2006), </w:t>
      </w:r>
      <w:r>
        <w:rPr>
          <w:b w:val="false"/>
          <w:bCs w:val="false"/>
          <w:sz w:val="22"/>
          <w:szCs w:val="22"/>
          <w:vertAlign w:val="superscript"/>
        </w:rPr>
        <w:t>e</w:t>
      </w: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 xml:space="preserve">Unpublished, </w:t>
      </w:r>
      <w:r>
        <w:rPr>
          <w:b w:val="false"/>
          <w:bCs w:val="false"/>
          <w:sz w:val="22"/>
          <w:szCs w:val="22"/>
          <w:vertAlign w:val="superscript"/>
        </w:rPr>
        <w:t>f</w:t>
      </w:r>
      <w:r>
        <w:rPr>
          <w:b w:val="false"/>
          <w:bCs w:val="false"/>
          <w:i w:val="false"/>
          <w:caps w:val="false"/>
          <w:smallCaps w:val="false"/>
          <w:position w:val="0"/>
          <w:sz w:val="22"/>
          <w:sz w:val="22"/>
          <w:szCs w:val="22"/>
          <w:u w:val="none"/>
          <w:vertAlign w:val="baseline"/>
        </w:rPr>
        <w:t>(Espiñeira et al., 2010)</w:t>
      </w: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 xml:space="preserve">, </w:t>
      </w:r>
      <w:r>
        <w:rPr>
          <w:b w:val="false"/>
          <w:bCs w:val="false"/>
          <w:sz w:val="22"/>
          <w:szCs w:val="22"/>
          <w:vertAlign w:val="superscript"/>
        </w:rPr>
        <w:t>g</w:t>
      </w: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 xml:space="preserve">(Kaneko et al., 2011), </w:t>
      </w:r>
      <w:r>
        <w:rPr>
          <w:b w:val="false"/>
          <w:bCs w:val="false"/>
          <w:sz w:val="22"/>
          <w:szCs w:val="22"/>
          <w:vertAlign w:val="superscript"/>
        </w:rPr>
        <w:t>h</w:t>
      </w: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 xml:space="preserve">(Strugnell et al., 2004), </w:t>
      </w:r>
      <w:r>
        <w:rPr>
          <w:b w:val="false"/>
          <w:bCs w:val="false"/>
          <w:sz w:val="22"/>
          <w:szCs w:val="22"/>
          <w:vertAlign w:val="superscript"/>
        </w:rPr>
        <w:t>i</w:t>
      </w: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 xml:space="preserve">(Barriga Sosa et al., 1995), </w:t>
      </w:r>
      <w:r>
        <w:rPr>
          <w:b w:val="false"/>
          <w:bCs w:val="false"/>
          <w:sz w:val="22"/>
          <w:szCs w:val="22"/>
          <w:vertAlign w:val="superscript"/>
        </w:rPr>
        <w:t>j</w:t>
      </w: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 xml:space="preserve">(Amor et al., 2014), </w:t>
      </w:r>
      <w:r>
        <w:rPr>
          <w:b w:val="false"/>
          <w:bCs w:val="false"/>
          <w:sz w:val="22"/>
          <w:szCs w:val="22"/>
          <w:vertAlign w:val="superscript"/>
        </w:rPr>
        <w:t>k</w:t>
      </w: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 xml:space="preserve">(Strugnell et al., 2013), </w:t>
      </w:r>
      <w:r>
        <w:rPr>
          <w:b w:val="false"/>
          <w:bCs w:val="false"/>
          <w:sz w:val="22"/>
          <w:szCs w:val="22"/>
          <w:vertAlign w:val="superscript"/>
        </w:rPr>
        <w:t>l</w:t>
      </w: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 xml:space="preserve">(J M Strugnell et al., 2008), </w:t>
      </w:r>
      <w:r>
        <w:rPr>
          <w:b w:val="false"/>
          <w:bCs w:val="false"/>
          <w:sz w:val="22"/>
          <w:szCs w:val="22"/>
          <w:vertAlign w:val="superscript"/>
        </w:rPr>
        <w:t>m</w:t>
      </w:r>
      <w:r>
        <w:rPr>
          <w:b w:val="false"/>
          <w:bCs w:val="false"/>
          <w:i w:val="false"/>
          <w:caps w:val="false"/>
          <w:smallCaps w:val="false"/>
          <w:position w:val="0"/>
          <w:sz w:val="22"/>
          <w:sz w:val="22"/>
          <w:szCs w:val="22"/>
          <w:u w:val="none"/>
          <w:vertAlign w:val="baseline"/>
        </w:rPr>
        <w:t xml:space="preserve">(Ibáñez et al., 2014), </w:t>
      </w:r>
      <w:r>
        <w:rPr>
          <w:b w:val="false"/>
          <w:bCs w:val="false"/>
          <w:i w:val="false"/>
          <w:caps w:val="false"/>
          <w:smallCaps w:val="false"/>
          <w:sz w:val="22"/>
          <w:szCs w:val="22"/>
          <w:u w:val="none"/>
          <w:vertAlign w:val="superscript"/>
        </w:rPr>
        <w:t>n</w:t>
      </w:r>
      <w:r>
        <w:rPr>
          <w:b w:val="false"/>
          <w:bCs w:val="false"/>
          <w:i w:val="false"/>
          <w:caps w:val="false"/>
          <w:smallCaps w:val="false"/>
          <w:position w:val="0"/>
          <w:sz w:val="22"/>
          <w:sz w:val="22"/>
          <w:szCs w:val="22"/>
          <w:u w:val="none"/>
          <w:vertAlign w:val="baseline"/>
        </w:rPr>
        <w:t>This study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Arial" w:hAnsi="Arial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ohit Devanagari"/>
      <w:lang w:val="zxx" w:eastAsia="zxx" w:bidi="zxx"/>
    </w:rPr>
  </w:style>
  <w:style w:type="paragraph" w:styleId="Compact">
    <w:name w:val="Compact"/>
    <w:basedOn w:val="TextBody"/>
    <w:qFormat/>
    <w:pPr>
      <w:spacing w:before="36" w:after="36"/>
    </w:pPr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LibreOffice/7.3.7.2$Linux_X86_64 LibreOffice_project/30$Build-2</Application>
  <AppVersion>15.0000</AppVersion>
  <Pages>1</Pages>
  <Words>230</Words>
  <Characters>1680</Characters>
  <CharactersWithSpaces>1796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2023-01-06T09:55:24Z</dcterms:created>
  <dc:creator>Kirt Onthank</dc:creator>
  <dc:description/>
  <dc:language>en-US</dc:language>
  <cp:lastModifiedBy>Kirt Onthank</cp:lastModifiedBy>
  <dcterms:modified xsi:type="dcterms:W3CDTF">2023-08-28T16:22:23Z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