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D1" w:rsidRPr="00750BD1" w:rsidRDefault="00750BD1" w:rsidP="00750BD1">
      <w:pPr>
        <w:jc w:val="both"/>
        <w:rPr>
          <w:rFonts w:ascii="Times New Roman" w:hAnsi="Times New Roman"/>
          <w:b/>
          <w:sz w:val="28"/>
          <w:szCs w:val="28"/>
        </w:rPr>
      </w:pPr>
      <w:r w:rsidRPr="00750BD1">
        <w:rPr>
          <w:rFonts w:ascii="Times New Roman" w:hAnsi="Times New Roman"/>
          <w:b/>
          <w:sz w:val="28"/>
          <w:szCs w:val="28"/>
        </w:rPr>
        <w:t>Supplementary Material</w:t>
      </w:r>
    </w:p>
    <w:p w:rsidR="00750BD1" w:rsidRPr="00750BD1" w:rsidRDefault="00750BD1" w:rsidP="00750BD1">
      <w:pPr>
        <w:jc w:val="both"/>
        <w:rPr>
          <w:rFonts w:ascii="Times New Roman" w:hAnsi="Times New Roman"/>
          <w:sz w:val="20"/>
          <w:szCs w:val="20"/>
        </w:rPr>
      </w:pPr>
    </w:p>
    <w:p w:rsidR="00750BD1" w:rsidRPr="00750BD1" w:rsidRDefault="00750BD1" w:rsidP="00750BD1">
      <w:pPr>
        <w:spacing w:line="480" w:lineRule="auto"/>
        <w:rPr>
          <w:rFonts w:ascii="Times New Roman" w:hAnsi="Times New Roman"/>
          <w:b/>
          <w:sz w:val="20"/>
          <w:szCs w:val="20"/>
        </w:rPr>
      </w:pPr>
      <w:r w:rsidRPr="00750BD1">
        <w:rPr>
          <w:rFonts w:ascii="Times New Roman" w:hAnsi="Times New Roman"/>
          <w:b/>
          <w:sz w:val="20"/>
          <w:szCs w:val="20"/>
        </w:rPr>
        <w:t>Indium and selenium distribution in the Neves-</w:t>
      </w:r>
      <w:proofErr w:type="spellStart"/>
      <w:r w:rsidRPr="00750BD1">
        <w:rPr>
          <w:rFonts w:ascii="Times New Roman" w:hAnsi="Times New Roman"/>
          <w:b/>
          <w:sz w:val="20"/>
          <w:szCs w:val="20"/>
        </w:rPr>
        <w:t>Corvo</w:t>
      </w:r>
      <w:proofErr w:type="spellEnd"/>
      <w:r w:rsidRPr="00750BD1">
        <w:rPr>
          <w:rFonts w:ascii="Times New Roman" w:hAnsi="Times New Roman"/>
          <w:b/>
          <w:sz w:val="20"/>
          <w:szCs w:val="20"/>
        </w:rPr>
        <w:t xml:space="preserve"> deposit, Iberian Pyrite Belt, Portugal</w:t>
      </w:r>
    </w:p>
    <w:p w:rsidR="00750BD1" w:rsidRPr="00750BD1" w:rsidRDefault="00750BD1" w:rsidP="00750BD1">
      <w:pPr>
        <w:spacing w:line="480" w:lineRule="auto"/>
        <w:rPr>
          <w:rFonts w:ascii="Times New Roman" w:hAnsi="Times New Roman"/>
          <w:sz w:val="20"/>
          <w:szCs w:val="20"/>
          <w:lang w:val="pt-PT"/>
        </w:rPr>
      </w:pPr>
      <w:r w:rsidRPr="00750BD1">
        <w:rPr>
          <w:rFonts w:ascii="Times New Roman" w:hAnsi="Times New Roman"/>
          <w:sz w:val="20"/>
          <w:szCs w:val="20"/>
          <w:lang w:val="pt-PT"/>
        </w:rPr>
        <w:t>Carvalho JRS, Relvas JMRS, Pinto AMM, Frenzel, M, Krause, J, Gutzmer, J, Pacheco N, Fonseca R, Santos S, Caetano P, Reis T &amp; Gonçalves M</w:t>
      </w:r>
    </w:p>
    <w:p w:rsidR="00750BD1" w:rsidRPr="00750BD1" w:rsidRDefault="00750BD1" w:rsidP="00750BD1">
      <w:pPr>
        <w:jc w:val="both"/>
        <w:rPr>
          <w:rFonts w:ascii="Arial" w:hAnsi="Arial" w:cs="Arial"/>
        </w:rPr>
      </w:pPr>
      <w:r w:rsidRPr="00750BD1">
        <w:rPr>
          <w:rFonts w:ascii="Arial" w:hAnsi="Arial" w:cs="Arial"/>
        </w:rPr>
        <w:t xml:space="preserve">Table S1. </w:t>
      </w:r>
      <w:r w:rsidRPr="00750BD1">
        <w:rPr>
          <w:rFonts w:ascii="Arial" w:hAnsi="Arial" w:cs="Arial"/>
        </w:rPr>
        <w:t xml:space="preserve">Representative EPMA analysis of the different lead-bismuth mineral phases found in the copper stockwork ore (FC; </w:t>
      </w:r>
      <w:proofErr w:type="spellStart"/>
      <w:r w:rsidRPr="00750BD1">
        <w:rPr>
          <w:rFonts w:ascii="Arial" w:hAnsi="Arial" w:cs="Arial"/>
        </w:rPr>
        <w:t>bdl</w:t>
      </w:r>
      <w:proofErr w:type="spellEnd"/>
      <w:r w:rsidRPr="00750BD1">
        <w:rPr>
          <w:rFonts w:ascii="Arial" w:hAnsi="Arial" w:cs="Arial"/>
        </w:rPr>
        <w:t xml:space="preserve"> – below detection limit).</w:t>
      </w:r>
    </w:p>
    <w:p w:rsidR="00750BD1" w:rsidRDefault="00750BD1" w:rsidP="00750BD1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4DBB9C70" wp14:editId="0CA998FA">
            <wp:extent cx="6814083" cy="3854824"/>
            <wp:effectExtent l="0" t="0" r="635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0" cy="385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BD1" w:rsidRDefault="00750BD1" w:rsidP="00750BD1">
      <w:pPr>
        <w:jc w:val="both"/>
        <w:rPr>
          <w:rFonts w:ascii="Arial" w:hAnsi="Arial" w:cs="Arial"/>
          <w:sz w:val="22"/>
          <w:szCs w:val="22"/>
        </w:rPr>
      </w:pPr>
    </w:p>
    <w:p w:rsidR="00750BD1" w:rsidRDefault="00750BD1" w:rsidP="00750BD1">
      <w:pPr>
        <w:jc w:val="both"/>
        <w:rPr>
          <w:rFonts w:ascii="Arial" w:hAnsi="Arial" w:cs="Arial"/>
          <w:sz w:val="22"/>
          <w:szCs w:val="22"/>
        </w:rPr>
      </w:pPr>
    </w:p>
    <w:p w:rsidR="00750BD1" w:rsidRDefault="00750BD1" w:rsidP="00750BD1">
      <w:pPr>
        <w:jc w:val="both"/>
        <w:rPr>
          <w:rFonts w:ascii="Arial" w:hAnsi="Arial" w:cs="Arial"/>
          <w:sz w:val="22"/>
          <w:szCs w:val="22"/>
        </w:rPr>
      </w:pPr>
    </w:p>
    <w:p w:rsidR="00750BD1" w:rsidRDefault="00750BD1" w:rsidP="00750BD1">
      <w:pPr>
        <w:jc w:val="both"/>
        <w:rPr>
          <w:rFonts w:ascii="Arial" w:hAnsi="Arial" w:cs="Arial"/>
          <w:sz w:val="22"/>
          <w:szCs w:val="22"/>
        </w:rPr>
      </w:pPr>
    </w:p>
    <w:p w:rsidR="00750BD1" w:rsidRDefault="00750BD1" w:rsidP="00750BD1">
      <w:pPr>
        <w:jc w:val="both"/>
        <w:rPr>
          <w:rFonts w:ascii="Arial" w:hAnsi="Arial" w:cs="Arial"/>
          <w:sz w:val="22"/>
          <w:szCs w:val="22"/>
        </w:rPr>
      </w:pPr>
    </w:p>
    <w:p w:rsidR="00750BD1" w:rsidRPr="00750BD1" w:rsidRDefault="00750BD1" w:rsidP="00750BD1">
      <w:pPr>
        <w:jc w:val="both"/>
        <w:rPr>
          <w:rFonts w:ascii="Times New Roman" w:hAnsi="Times New Roman"/>
        </w:rPr>
      </w:pPr>
      <w:r w:rsidRPr="00750BD1">
        <w:rPr>
          <w:rFonts w:ascii="Times New Roman" w:hAnsi="Times New Roman"/>
        </w:rPr>
        <w:t xml:space="preserve">Table </w:t>
      </w:r>
      <w:r w:rsidRPr="00750BD1">
        <w:rPr>
          <w:rFonts w:ascii="Times New Roman" w:hAnsi="Times New Roman"/>
        </w:rPr>
        <w:t>S2</w:t>
      </w:r>
      <w:r w:rsidRPr="00750BD1">
        <w:rPr>
          <w:rFonts w:ascii="Times New Roman" w:hAnsi="Times New Roman"/>
        </w:rPr>
        <w:t xml:space="preserve"> Representative SEM-EDS semi-quantitative analysis of the complex bismuth-selenium and lead-bismuth mineral phases found in the massive copper-zinc ore (MCZ). </w:t>
      </w:r>
    </w:p>
    <w:p w:rsidR="00750BD1" w:rsidRDefault="00750BD1" w:rsidP="00750BD1">
      <w:pPr>
        <w:jc w:val="both"/>
        <w:rPr>
          <w:rFonts w:ascii="Arial" w:hAnsi="Arial" w:cs="Arial"/>
          <w:sz w:val="22"/>
          <w:szCs w:val="22"/>
        </w:rPr>
      </w:pPr>
    </w:p>
    <w:p w:rsidR="00750BD1" w:rsidRDefault="00750BD1" w:rsidP="00750BD1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316D617C" wp14:editId="42B991D3">
            <wp:extent cx="8229600" cy="3238500"/>
            <wp:effectExtent l="0" t="0" r="0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34AC" w:rsidRDefault="003534AC"/>
    <w:sectPr w:rsidR="003534AC" w:rsidSect="00750B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D1"/>
    <w:rsid w:val="000435C6"/>
    <w:rsid w:val="001252F8"/>
    <w:rsid w:val="003534AC"/>
    <w:rsid w:val="00363376"/>
    <w:rsid w:val="00420B34"/>
    <w:rsid w:val="00750BD1"/>
    <w:rsid w:val="008B7898"/>
    <w:rsid w:val="00A3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F9A6E-C789-4385-8AC5-01A0B31E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BD1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9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Kerbey</dc:creator>
  <cp:keywords/>
  <dc:description/>
  <cp:lastModifiedBy>Helen Kerbey</cp:lastModifiedBy>
  <cp:revision>1</cp:revision>
  <dcterms:created xsi:type="dcterms:W3CDTF">2018-01-24T13:40:00Z</dcterms:created>
  <dcterms:modified xsi:type="dcterms:W3CDTF">2018-01-24T13:43:00Z</dcterms:modified>
</cp:coreProperties>
</file>