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44A3C" w14:textId="77777777" w:rsidR="007B7C47" w:rsidRPr="00F44EB0" w:rsidRDefault="007B7C47" w:rsidP="00F44EB0">
      <w:pPr>
        <w:jc w:val="center"/>
        <w:rPr>
          <w:b/>
          <w:bCs/>
        </w:rPr>
      </w:pPr>
      <w:r w:rsidRPr="00F44EB0">
        <w:rPr>
          <w:b/>
          <w:bCs/>
        </w:rPr>
        <w:t>Supplementary material</w:t>
      </w:r>
    </w:p>
    <w:p w14:paraId="6A3091EC" w14:textId="3EDA4B33" w:rsidR="00DE065D" w:rsidRPr="00F44EB0" w:rsidRDefault="00F44EB0" w:rsidP="00F44EB0">
      <w:pPr>
        <w:jc w:val="center"/>
        <w:rPr>
          <w:b/>
          <w:bCs/>
        </w:rPr>
      </w:pPr>
      <w:r w:rsidRPr="00F44EB0">
        <w:rPr>
          <w:b/>
          <w:bCs/>
        </w:rPr>
        <w:t>Beryllium and hydrogen incorporation in corundum</w:t>
      </w:r>
    </w:p>
    <w:p w14:paraId="645AF86D" w14:textId="77777777" w:rsidR="007B7C47" w:rsidRDefault="007B7C47" w:rsidP="007B7C47">
      <w:pPr>
        <w:jc w:val="center"/>
      </w:pPr>
    </w:p>
    <w:p w14:paraId="10F96ACE" w14:textId="49EA2453" w:rsidR="007B7C47" w:rsidRPr="00B15CAA" w:rsidRDefault="007B7C47" w:rsidP="007B7C47">
      <w:pPr>
        <w:rPr>
          <w:i/>
        </w:rPr>
      </w:pPr>
      <w:r w:rsidRPr="00B15CAA">
        <w:rPr>
          <w:i/>
        </w:rPr>
        <w:t xml:space="preserve">Be concentrations in Be-diffused and natural </w:t>
      </w:r>
      <w:r w:rsidR="00F44EB0">
        <w:rPr>
          <w:i/>
        </w:rPr>
        <w:t>corundum</w:t>
      </w:r>
      <w:r w:rsidRPr="00B15CAA">
        <w:rPr>
          <w:i/>
        </w:rPr>
        <w:t xml:space="preserve"> crystals</w:t>
      </w:r>
    </w:p>
    <w:p w14:paraId="4B832851" w14:textId="47990B39" w:rsidR="007B7C47" w:rsidRDefault="007B7C47" w:rsidP="007B7C47">
      <w:r>
        <w:t xml:space="preserve">In the main text it was stated that the normal Be concentrations in natural </w:t>
      </w:r>
      <w:r w:rsidR="00F44EB0">
        <w:t>corundum</w:t>
      </w:r>
      <w:r>
        <w:t xml:space="preserve"> were generally below </w:t>
      </w:r>
      <w:r w:rsidR="007F2FF9">
        <w:t>2</w:t>
      </w:r>
      <w:r>
        <w:t xml:space="preserve"> </w:t>
      </w:r>
      <w:r w:rsidR="007F2FF9">
        <w:t>a</w:t>
      </w:r>
      <w:r>
        <w:t xml:space="preserve">t. ppm, and the range for Be concentration in Be-diffused crystals </w:t>
      </w:r>
      <w:r w:rsidR="00DF7834">
        <w:t xml:space="preserve">is generally a few </w:t>
      </w:r>
      <w:r w:rsidR="007F2FF9">
        <w:t>a</w:t>
      </w:r>
      <w:r w:rsidR="00DF7834">
        <w:t>t. ppm to</w:t>
      </w:r>
      <w:r>
        <w:t xml:space="preserve"> 10s </w:t>
      </w:r>
      <w:r w:rsidR="007F2FF9">
        <w:t>a</w:t>
      </w:r>
      <w:r>
        <w:t>t. ppm. These values are drawn from</w:t>
      </w:r>
      <w:r w:rsidR="00DF7834">
        <w:t xml:space="preserve"> an evaluation of</w:t>
      </w:r>
      <w:r>
        <w:t xml:space="preserve"> </w:t>
      </w:r>
      <w:r w:rsidR="00DF7834">
        <w:t>100,000 LA-ICP-MS analyses</w:t>
      </w:r>
      <w:r w:rsidR="00F44EB0">
        <w:t xml:space="preserve"> of corundum </w:t>
      </w:r>
      <w:r w:rsidR="00DF7834">
        <w:t>conducted at laboratories of the Gemological Institute of America</w:t>
      </w:r>
      <w:r w:rsidR="00602BD8">
        <w:t xml:space="preserve"> (GIA)</w:t>
      </w:r>
      <w:r w:rsidR="00DF7834">
        <w:t xml:space="preserve"> drawn from a larger database. Histograms showing the distribution of Be concentrations in </w:t>
      </w:r>
      <w:r w:rsidR="00F44EB0">
        <w:t>corundum</w:t>
      </w:r>
      <w:r w:rsidR="00DF7834">
        <w:t xml:space="preserve"> crystals determined as Be diffused, and determined as not Be-diffused, are presented in the following figure. Data where </w:t>
      </w:r>
      <w:proofErr w:type="spellStart"/>
      <w:r w:rsidR="00DF7834">
        <w:t>Be</w:t>
      </w:r>
      <w:proofErr w:type="spellEnd"/>
      <w:r w:rsidR="00DF7834">
        <w:t xml:space="preserve"> was below the detection limit of analysis is also included in the not-Be-diffused population</w:t>
      </w:r>
      <w:r w:rsidR="0024063B">
        <w:t xml:space="preserve"> for the purpose of determining percentiles</w:t>
      </w:r>
      <w:r w:rsidR="00DF7834">
        <w:t xml:space="preserve"> – in these data, the Be concentration is assigned an arbitrary value of 0.5 x detection limit. 9</w:t>
      </w:r>
      <w:r w:rsidR="00923FB8">
        <w:t>0</w:t>
      </w:r>
      <w:r w:rsidR="00DF7834">
        <w:t xml:space="preserve">% of not-Be-diffused crystals have Be concentrations &lt; </w:t>
      </w:r>
      <w:r w:rsidR="0058586E">
        <w:t>1.6</w:t>
      </w:r>
      <w:r w:rsidR="00923FB8">
        <w:t xml:space="preserve"> </w:t>
      </w:r>
      <w:r w:rsidR="0058586E">
        <w:t>a</w:t>
      </w:r>
      <w:r w:rsidR="00923FB8">
        <w:t>t. ppm, 9</w:t>
      </w:r>
      <w:r w:rsidR="00DF7834">
        <w:t xml:space="preserve">5% have Be &lt; </w:t>
      </w:r>
      <w:r w:rsidR="0058586E">
        <w:t>3.2</w:t>
      </w:r>
      <w:r w:rsidR="00DF7834">
        <w:t xml:space="preserve"> </w:t>
      </w:r>
      <w:r w:rsidR="0058586E">
        <w:t>a</w:t>
      </w:r>
      <w:r w:rsidR="00DF7834">
        <w:t xml:space="preserve">t. ppm. </w:t>
      </w:r>
      <w:r w:rsidR="0063262A">
        <w:t>For the Be-diffused samples, the 5</w:t>
      </w:r>
      <w:r w:rsidR="0063262A" w:rsidRPr="0063262A">
        <w:rPr>
          <w:vertAlign w:val="superscript"/>
        </w:rPr>
        <w:t>th</w:t>
      </w:r>
      <w:r w:rsidR="0063262A">
        <w:t xml:space="preserve"> and 95</w:t>
      </w:r>
      <w:r w:rsidR="0063262A" w:rsidRPr="0063262A">
        <w:rPr>
          <w:vertAlign w:val="superscript"/>
        </w:rPr>
        <w:t>th</w:t>
      </w:r>
      <w:r w:rsidR="0063262A">
        <w:t xml:space="preserve"> percentiles are </w:t>
      </w:r>
      <w:r w:rsidR="0058586E">
        <w:t>4.5</w:t>
      </w:r>
      <w:r w:rsidR="0063262A">
        <w:t xml:space="preserve"> and </w:t>
      </w:r>
      <w:r w:rsidR="0058586E">
        <w:t>133</w:t>
      </w:r>
      <w:r w:rsidR="0063262A">
        <w:t xml:space="preserve"> </w:t>
      </w:r>
      <w:r w:rsidR="0058586E">
        <w:t>a</w:t>
      </w:r>
      <w:r w:rsidR="0063262A">
        <w:t>t. ppm, respectively.</w:t>
      </w:r>
    </w:p>
    <w:p w14:paraId="01AE9035" w14:textId="278C7E8C" w:rsidR="00DF7834" w:rsidRDefault="004A07D1" w:rsidP="00F44EB0">
      <w:pPr>
        <w:jc w:val="center"/>
      </w:pPr>
      <w:r>
        <w:rPr>
          <w:noProof/>
        </w:rPr>
        <w:drawing>
          <wp:inline distT="0" distB="0" distL="0" distR="0" wp14:anchorId="53DF8AAA" wp14:editId="014BA5D2">
            <wp:extent cx="5118100" cy="23622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810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F007F" w14:textId="572E6282" w:rsidR="00DF7834" w:rsidRDefault="00DF7834" w:rsidP="007B7C47">
      <w:pPr>
        <w:rPr>
          <w:i/>
          <w:iCs/>
        </w:rPr>
      </w:pPr>
    </w:p>
    <w:p w14:paraId="2985FD57" w14:textId="0DD375D6" w:rsidR="004B1829" w:rsidRDefault="004B1829" w:rsidP="007B7C47">
      <w:pPr>
        <w:rPr>
          <w:i/>
          <w:iCs/>
        </w:rPr>
      </w:pPr>
      <w:r>
        <w:rPr>
          <w:i/>
          <w:iCs/>
        </w:rPr>
        <w:t>Spectra and metadata from the 1000 crystal dataset</w:t>
      </w:r>
    </w:p>
    <w:p w14:paraId="13902A76" w14:textId="0E77E11B" w:rsidR="004B1829" w:rsidRPr="004B1829" w:rsidRDefault="004B1829" w:rsidP="007B7C47">
      <w:r>
        <w:t>These are provided in the accompanying online dataset.</w:t>
      </w:r>
      <w:r w:rsidR="00996AD8">
        <w:t xml:space="preserve"> In each file, the top rows contain metadata, including path length, </w:t>
      </w:r>
      <w:proofErr w:type="gramStart"/>
      <w:r w:rsidR="00996AD8">
        <w:t>Be</w:t>
      </w:r>
      <w:proofErr w:type="gramEnd"/>
      <w:r w:rsidR="00996AD8">
        <w:t xml:space="preserve"> concentration ranges and </w:t>
      </w:r>
      <w:proofErr w:type="spellStart"/>
      <w:r w:rsidR="00996AD8">
        <w:t>colour</w:t>
      </w:r>
      <w:proofErr w:type="spellEnd"/>
      <w:r w:rsidR="00996AD8">
        <w:t>, and the remaining rows contain the spectral data (wavenumber and absorbance). In many cases, spectra are affected by considerable noise in the &gt;3500 cm</w:t>
      </w:r>
      <w:r w:rsidR="00996AD8" w:rsidRPr="00996AD8">
        <w:rPr>
          <w:vertAlign w:val="superscript"/>
        </w:rPr>
        <w:t>-1</w:t>
      </w:r>
      <w:r w:rsidR="00996AD8">
        <w:t xml:space="preserve"> region from water.</w:t>
      </w:r>
    </w:p>
    <w:p w14:paraId="651B0BB3" w14:textId="77777777" w:rsidR="004B1829" w:rsidRPr="00602BD8" w:rsidRDefault="004B1829" w:rsidP="007B7C47">
      <w:pPr>
        <w:rPr>
          <w:i/>
          <w:iCs/>
        </w:rPr>
      </w:pPr>
    </w:p>
    <w:p w14:paraId="0C97BA35" w14:textId="58BB47BE" w:rsidR="00602BD8" w:rsidRDefault="00602BD8" w:rsidP="007B7C47">
      <w:pPr>
        <w:rPr>
          <w:i/>
          <w:iCs/>
        </w:rPr>
      </w:pPr>
      <w:r w:rsidRPr="00602BD8">
        <w:rPr>
          <w:i/>
          <w:iCs/>
        </w:rPr>
        <w:t>Preparation and analyses of a Be-diffused corundum crystal</w:t>
      </w:r>
    </w:p>
    <w:p w14:paraId="23BC29A1" w14:textId="5485230B" w:rsidR="00602BD8" w:rsidRDefault="00602BD8" w:rsidP="007B7C47">
      <w:r>
        <w:t xml:space="preserve">As described in the text, one </w:t>
      </w:r>
      <w:r w:rsidR="00E80A3F">
        <w:t xml:space="preserve">Be-diffused </w:t>
      </w:r>
      <w:r>
        <w:t xml:space="preserve">crystal was selected from the research collection of the GIA for </w:t>
      </w:r>
      <w:r w:rsidR="00E80A3F">
        <w:t xml:space="preserve">analysis. The following figure shows the initial faceted crystal and the slab cut and polished from the </w:t>
      </w:r>
      <w:proofErr w:type="spellStart"/>
      <w:r w:rsidR="00E80A3F">
        <w:t>centre</w:t>
      </w:r>
      <w:proofErr w:type="spellEnd"/>
      <w:r w:rsidR="00E80A3F">
        <w:t xml:space="preserve">. </w:t>
      </w:r>
      <w:r w:rsidR="001D003B" w:rsidRPr="009A3E42">
        <w:rPr>
          <w:lang w:val="en-GB"/>
        </w:rPr>
        <w:t>The position at which polarised spectra were acquired is shown (“pol”)</w:t>
      </w:r>
      <w:r w:rsidR="001D003B">
        <w:rPr>
          <w:lang w:val="en-GB"/>
        </w:rPr>
        <w:t>, as well as the [0001] direction.</w:t>
      </w:r>
      <w:r w:rsidR="00D904D4">
        <w:rPr>
          <w:lang w:val="en-GB"/>
        </w:rPr>
        <w:t xml:space="preserve"> The LA-ICP-MS </w:t>
      </w:r>
      <w:r w:rsidR="00D661B2">
        <w:rPr>
          <w:lang w:val="en-GB"/>
        </w:rPr>
        <w:t>spot locations are also shown (“LA”).</w:t>
      </w:r>
    </w:p>
    <w:p w14:paraId="482A2926" w14:textId="3244ADEC" w:rsidR="00F22873" w:rsidRDefault="00F22873" w:rsidP="007B7C47">
      <w:r>
        <w:t>Also shown are the mapped intensities of the two unresolved bands (2490 and 3062 cm</w:t>
      </w:r>
      <w:r w:rsidRPr="00F22873">
        <w:rPr>
          <w:vertAlign w:val="superscript"/>
        </w:rPr>
        <w:t>-1</w:t>
      </w:r>
      <w:r>
        <w:t>)</w:t>
      </w:r>
      <w:r w:rsidR="002611D0">
        <w:t xml:space="preserve"> mapped by FTIR spectroscopy, as described in the main text, </w:t>
      </w:r>
      <w:r>
        <w:t xml:space="preserve">and the organic bands. </w:t>
      </w:r>
      <w:r w:rsidR="001D003B">
        <w:t xml:space="preserve">The intensities of the two unresolved bands are corrected to 1 cm thickness and to total absorbance using polarization factors presented in the main text. </w:t>
      </w:r>
      <w:r>
        <w:t xml:space="preserve">The absorbance of both unresolved bands corresponds to the crystal </w:t>
      </w:r>
      <w:proofErr w:type="spellStart"/>
      <w:r>
        <w:t>colour</w:t>
      </w:r>
      <w:proofErr w:type="spellEnd"/>
      <w:r>
        <w:t xml:space="preserve">, with the stronger yellow </w:t>
      </w:r>
      <w:proofErr w:type="spellStart"/>
      <w:r>
        <w:t>colour</w:t>
      </w:r>
      <w:proofErr w:type="spellEnd"/>
      <w:r>
        <w:t xml:space="preserve"> associated with higher absorbance. The organic bands are patchy and not correlated with the unresolved 2490 and 3062 cm</w:t>
      </w:r>
      <w:r w:rsidRPr="00F22873">
        <w:rPr>
          <w:vertAlign w:val="superscript"/>
        </w:rPr>
        <w:t>-1</w:t>
      </w:r>
      <w:r>
        <w:t xml:space="preserve"> bands.</w:t>
      </w:r>
    </w:p>
    <w:p w14:paraId="59EB871F" w14:textId="56711B84" w:rsidR="001D003B" w:rsidRDefault="00D661B2" w:rsidP="007B7C47">
      <w:r>
        <w:rPr>
          <w:noProof/>
        </w:rPr>
        <w:drawing>
          <wp:inline distT="0" distB="0" distL="0" distR="0" wp14:anchorId="4C397C55" wp14:editId="0C04AE6D">
            <wp:extent cx="5676900" cy="36068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360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F48110" w14:textId="77777777" w:rsidR="001D003B" w:rsidRPr="00602BD8" w:rsidRDefault="001D003B" w:rsidP="007B7C47"/>
    <w:p w14:paraId="2622C74E" w14:textId="3708AF96" w:rsidR="00DF7834" w:rsidRDefault="00F22873" w:rsidP="007B7C47">
      <w:r>
        <w:t>Laser ablation inductively coupled plasma mass spectrometry analyses were conducted at the laboratory of the GIA in New York, USA</w:t>
      </w:r>
      <w:r w:rsidR="00697330">
        <w:t xml:space="preserve">, using </w:t>
      </w:r>
      <w:proofErr w:type="gramStart"/>
      <w:r w:rsidR="00697330">
        <w:t>a</w:t>
      </w:r>
      <w:proofErr w:type="gramEnd"/>
      <w:r w:rsidR="00697330">
        <w:t xml:space="preserve"> ESI 213 nm laser coupled to a Thermo </w:t>
      </w:r>
      <w:proofErr w:type="spellStart"/>
      <w:r w:rsidR="00697330">
        <w:t>iCAP</w:t>
      </w:r>
      <w:proofErr w:type="spellEnd"/>
      <w:r w:rsidR="00697330">
        <w:t xml:space="preserve">-Q quadrupole mass spectrometer. The laser conditions were: </w:t>
      </w:r>
      <w:r w:rsidR="00045811">
        <w:t>55 µm diameter circular spot, 20 Hz, 10-11 Jcm</w:t>
      </w:r>
      <w:r w:rsidR="00045811" w:rsidRPr="00045811">
        <w:rPr>
          <w:vertAlign w:val="superscript"/>
        </w:rPr>
        <w:t>-2</w:t>
      </w:r>
      <w:r w:rsidR="00697330">
        <w:t>.</w:t>
      </w:r>
      <w:r w:rsidR="00A0067C">
        <w:t xml:space="preserve"> The counted </w:t>
      </w:r>
      <w:r w:rsidR="00A0067C">
        <w:lastRenderedPageBreak/>
        <w:t>isotopes and time-per-sweep are presented in the following table</w:t>
      </w:r>
      <w:r w:rsidR="00697330">
        <w:t>. The data were processed using an in-house spreadsheet. The internal standard was Al, and the external standards were in-house trace element-doped corundum crystals and NIST 610 and 612 glasses</w:t>
      </w:r>
      <w:r w:rsidR="00A0067C">
        <w:t xml:space="preserve">, with </w:t>
      </w:r>
      <w:r w:rsidR="00B040CB">
        <w:t xml:space="preserve">analyte </w:t>
      </w:r>
      <w:r w:rsidR="00A0067C">
        <w:t>concentrations</w:t>
      </w:r>
      <w:r w:rsidR="00F11186">
        <w:t xml:space="preserve"> for the Be diffused crystal</w:t>
      </w:r>
      <w:r w:rsidR="00A0067C">
        <w:t xml:space="preserve"> in the following table.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"/>
        <w:gridCol w:w="1566"/>
        <w:gridCol w:w="1951"/>
        <w:gridCol w:w="2099"/>
        <w:gridCol w:w="2417"/>
      </w:tblGrid>
      <w:tr w:rsidR="00F26C41" w14:paraId="0224997A" w14:textId="782236F1" w:rsidTr="00272BB8">
        <w:tc>
          <w:tcPr>
            <w:tcW w:w="1317" w:type="dxa"/>
          </w:tcPr>
          <w:p w14:paraId="5F96D81F" w14:textId="2410D5D6" w:rsidR="00F26C41" w:rsidRPr="001C6D62" w:rsidRDefault="00F26C41" w:rsidP="001C6D62">
            <w:pPr>
              <w:spacing w:line="240" w:lineRule="auto"/>
              <w:rPr>
                <w:sz w:val="20"/>
                <w:szCs w:val="20"/>
              </w:rPr>
            </w:pPr>
            <w:r w:rsidRPr="001C6D62">
              <w:rPr>
                <w:sz w:val="20"/>
                <w:szCs w:val="20"/>
              </w:rPr>
              <w:t>Element</w:t>
            </w:r>
          </w:p>
        </w:tc>
        <w:tc>
          <w:tcPr>
            <w:tcW w:w="1566" w:type="dxa"/>
          </w:tcPr>
          <w:p w14:paraId="38EE11B3" w14:textId="47E68E14" w:rsidR="00F26C41" w:rsidRPr="001C6D62" w:rsidRDefault="00F26C41" w:rsidP="001C6D62">
            <w:pPr>
              <w:spacing w:line="240" w:lineRule="auto"/>
              <w:rPr>
                <w:sz w:val="20"/>
                <w:szCs w:val="20"/>
              </w:rPr>
            </w:pPr>
            <w:r w:rsidRPr="001C6D62">
              <w:rPr>
                <w:sz w:val="20"/>
                <w:szCs w:val="20"/>
              </w:rPr>
              <w:t>Isotope(s)</w:t>
            </w:r>
          </w:p>
        </w:tc>
        <w:tc>
          <w:tcPr>
            <w:tcW w:w="1951" w:type="dxa"/>
          </w:tcPr>
          <w:p w14:paraId="1BBC4EC8" w14:textId="0D679886" w:rsidR="00F26C41" w:rsidRPr="001C6D62" w:rsidRDefault="00F26C41" w:rsidP="001C6D6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 per sweep (s)</w:t>
            </w:r>
          </w:p>
        </w:tc>
        <w:tc>
          <w:tcPr>
            <w:tcW w:w="2099" w:type="dxa"/>
          </w:tcPr>
          <w:p w14:paraId="2029E435" w14:textId="7E2E84F2" w:rsidR="00F26C41" w:rsidRPr="001C6D62" w:rsidRDefault="00F26C41" w:rsidP="001C6D62">
            <w:pPr>
              <w:spacing w:line="240" w:lineRule="auto"/>
              <w:rPr>
                <w:sz w:val="20"/>
                <w:szCs w:val="20"/>
              </w:rPr>
            </w:pPr>
            <w:r w:rsidRPr="001C6D62">
              <w:rPr>
                <w:sz w:val="20"/>
                <w:szCs w:val="20"/>
              </w:rPr>
              <w:t>Concentration (</w:t>
            </w:r>
            <w:r w:rsidR="00E80158">
              <w:rPr>
                <w:sz w:val="20"/>
                <w:szCs w:val="20"/>
              </w:rPr>
              <w:t>a</w:t>
            </w:r>
            <w:r w:rsidRPr="001C6D62">
              <w:rPr>
                <w:sz w:val="20"/>
                <w:szCs w:val="20"/>
              </w:rPr>
              <w:t>t. ppm)</w:t>
            </w:r>
          </w:p>
        </w:tc>
        <w:tc>
          <w:tcPr>
            <w:tcW w:w="2417" w:type="dxa"/>
          </w:tcPr>
          <w:p w14:paraId="53A2C56B" w14:textId="330E3CF4" w:rsidR="00F26C41" w:rsidRPr="001C6D62" w:rsidRDefault="00F26C41" w:rsidP="001C6D62">
            <w:pPr>
              <w:spacing w:line="240" w:lineRule="auto"/>
              <w:rPr>
                <w:sz w:val="20"/>
                <w:szCs w:val="20"/>
              </w:rPr>
            </w:pPr>
            <w:r w:rsidRPr="001C6D62">
              <w:rPr>
                <w:sz w:val="20"/>
                <w:szCs w:val="20"/>
              </w:rPr>
              <w:t>Concentration (</w:t>
            </w:r>
            <w:r w:rsidR="00E80158">
              <w:rPr>
                <w:sz w:val="20"/>
                <w:szCs w:val="20"/>
              </w:rPr>
              <w:t>w</w:t>
            </w:r>
            <w:r w:rsidRPr="001C6D62">
              <w:rPr>
                <w:sz w:val="20"/>
                <w:szCs w:val="20"/>
              </w:rPr>
              <w:t>t. ppm)</w:t>
            </w:r>
          </w:p>
        </w:tc>
      </w:tr>
      <w:tr w:rsidR="00B13688" w14:paraId="5D9038EA" w14:textId="267C7C1B" w:rsidTr="00D668BF">
        <w:tc>
          <w:tcPr>
            <w:tcW w:w="1317" w:type="dxa"/>
          </w:tcPr>
          <w:p w14:paraId="51209717" w14:textId="11E2FBEB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</w:t>
            </w:r>
          </w:p>
        </w:tc>
        <w:tc>
          <w:tcPr>
            <w:tcW w:w="1566" w:type="dxa"/>
          </w:tcPr>
          <w:p w14:paraId="6A5128EB" w14:textId="34E656F7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1" w:type="dxa"/>
          </w:tcPr>
          <w:p w14:paraId="4DD460A9" w14:textId="167A7125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</w:t>
            </w:r>
          </w:p>
        </w:tc>
        <w:tc>
          <w:tcPr>
            <w:tcW w:w="2099" w:type="dxa"/>
            <w:vAlign w:val="bottom"/>
          </w:tcPr>
          <w:p w14:paraId="469BAEDD" w14:textId="2414DE81" w:rsidR="00B13688" w:rsidRPr="00B13688" w:rsidRDefault="00B13688" w:rsidP="00B1368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13688">
              <w:rPr>
                <w:rFonts w:cs="Times New Roman"/>
                <w:color w:val="000000"/>
                <w:sz w:val="20"/>
                <w:szCs w:val="20"/>
              </w:rPr>
              <w:t>29.9 (0.6)</w:t>
            </w:r>
          </w:p>
        </w:tc>
        <w:tc>
          <w:tcPr>
            <w:tcW w:w="2417" w:type="dxa"/>
            <w:vAlign w:val="bottom"/>
          </w:tcPr>
          <w:p w14:paraId="10B1D04F" w14:textId="4FA8B754" w:rsidR="00B13688" w:rsidRPr="00B13688" w:rsidRDefault="00B13688" w:rsidP="00B1368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13688">
              <w:rPr>
                <w:rFonts w:cs="Times New Roman"/>
                <w:color w:val="000000"/>
                <w:sz w:val="20"/>
                <w:szCs w:val="20"/>
              </w:rPr>
              <w:t>13.2 (0.3)</w:t>
            </w:r>
          </w:p>
        </w:tc>
      </w:tr>
      <w:tr w:rsidR="00B13688" w14:paraId="4AB6CFD3" w14:textId="0AA04652" w:rsidTr="00D668BF">
        <w:tc>
          <w:tcPr>
            <w:tcW w:w="1317" w:type="dxa"/>
          </w:tcPr>
          <w:p w14:paraId="1D08DB73" w14:textId="08B6A3FE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</w:t>
            </w:r>
          </w:p>
        </w:tc>
        <w:tc>
          <w:tcPr>
            <w:tcW w:w="1566" w:type="dxa"/>
          </w:tcPr>
          <w:p w14:paraId="77D77E7A" w14:textId="3BC05007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951" w:type="dxa"/>
          </w:tcPr>
          <w:p w14:paraId="53636832" w14:textId="31DE2197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</w:t>
            </w:r>
          </w:p>
        </w:tc>
        <w:tc>
          <w:tcPr>
            <w:tcW w:w="2099" w:type="dxa"/>
            <w:vAlign w:val="bottom"/>
          </w:tcPr>
          <w:p w14:paraId="211C0349" w14:textId="168E01C3" w:rsidR="00B13688" w:rsidRPr="00B13688" w:rsidRDefault="00B13688" w:rsidP="00B1368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13688">
              <w:rPr>
                <w:rFonts w:cs="Times New Roman"/>
                <w:color w:val="000000"/>
                <w:sz w:val="20"/>
                <w:szCs w:val="20"/>
              </w:rPr>
              <w:t>10.4 (0.9)</w:t>
            </w:r>
          </w:p>
        </w:tc>
        <w:tc>
          <w:tcPr>
            <w:tcW w:w="2417" w:type="dxa"/>
            <w:vAlign w:val="bottom"/>
          </w:tcPr>
          <w:p w14:paraId="41B67CCC" w14:textId="60E64D0F" w:rsidR="00B13688" w:rsidRPr="00B13688" w:rsidRDefault="00B13688" w:rsidP="00B1368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13688">
              <w:rPr>
                <w:rFonts w:cs="Times New Roman"/>
                <w:color w:val="000000"/>
                <w:sz w:val="20"/>
                <w:szCs w:val="20"/>
              </w:rPr>
              <w:t>4.6 (0.4)</w:t>
            </w:r>
          </w:p>
        </w:tc>
      </w:tr>
      <w:tr w:rsidR="00B13688" w14:paraId="1EC97277" w14:textId="10DE831E" w:rsidTr="00D668BF">
        <w:tc>
          <w:tcPr>
            <w:tcW w:w="1317" w:type="dxa"/>
          </w:tcPr>
          <w:p w14:paraId="624FB65B" w14:textId="4F1B9700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</w:t>
            </w:r>
          </w:p>
        </w:tc>
        <w:tc>
          <w:tcPr>
            <w:tcW w:w="1566" w:type="dxa"/>
          </w:tcPr>
          <w:p w14:paraId="27139FB2" w14:textId="4FE13855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951" w:type="dxa"/>
          </w:tcPr>
          <w:p w14:paraId="6BB753A3" w14:textId="56A35776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0.005</w:t>
            </w:r>
          </w:p>
        </w:tc>
        <w:tc>
          <w:tcPr>
            <w:tcW w:w="2099" w:type="dxa"/>
            <w:vAlign w:val="bottom"/>
          </w:tcPr>
          <w:p w14:paraId="36E232F3" w14:textId="7E2733A1" w:rsidR="00B13688" w:rsidRPr="00B13688" w:rsidRDefault="00B13688" w:rsidP="00B1368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13688">
              <w:rPr>
                <w:rFonts w:cs="Times New Roman"/>
                <w:color w:val="000000"/>
                <w:sz w:val="20"/>
                <w:szCs w:val="20"/>
              </w:rPr>
              <w:t>103.2 (26.9)</w:t>
            </w:r>
          </w:p>
        </w:tc>
        <w:tc>
          <w:tcPr>
            <w:tcW w:w="2417" w:type="dxa"/>
            <w:vAlign w:val="bottom"/>
          </w:tcPr>
          <w:p w14:paraId="4358C3AE" w14:textId="40F49901" w:rsidR="00B13688" w:rsidRPr="00B13688" w:rsidRDefault="00B13688" w:rsidP="00B1368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13688">
              <w:rPr>
                <w:rFonts w:cs="Times New Roman"/>
                <w:color w:val="000000"/>
                <w:sz w:val="20"/>
                <w:szCs w:val="20"/>
              </w:rPr>
              <w:t>45.7 (11.9)</w:t>
            </w:r>
          </w:p>
        </w:tc>
      </w:tr>
      <w:tr w:rsidR="00B13688" w14:paraId="6833534B" w14:textId="31E8F46C" w:rsidTr="00D668BF">
        <w:tc>
          <w:tcPr>
            <w:tcW w:w="1317" w:type="dxa"/>
          </w:tcPr>
          <w:p w14:paraId="07E59AC3" w14:textId="19FEE501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Ti</w:t>
            </w:r>
            <w:proofErr w:type="spellEnd"/>
          </w:p>
        </w:tc>
        <w:tc>
          <w:tcPr>
            <w:tcW w:w="1566" w:type="dxa"/>
          </w:tcPr>
          <w:p w14:paraId="0E6EE823" w14:textId="16529DD6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951" w:type="dxa"/>
          </w:tcPr>
          <w:p w14:paraId="03512D60" w14:textId="397A9D4B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</w:t>
            </w:r>
          </w:p>
        </w:tc>
        <w:tc>
          <w:tcPr>
            <w:tcW w:w="2099" w:type="dxa"/>
            <w:vAlign w:val="bottom"/>
          </w:tcPr>
          <w:p w14:paraId="4FCC35A8" w14:textId="029E9C66" w:rsidR="00B13688" w:rsidRPr="00B13688" w:rsidRDefault="00B13688" w:rsidP="00B1368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13688">
              <w:rPr>
                <w:rFonts w:cs="Times New Roman"/>
                <w:color w:val="000000"/>
                <w:sz w:val="20"/>
                <w:szCs w:val="20"/>
              </w:rPr>
              <w:t>17.7 (1.2)</w:t>
            </w:r>
          </w:p>
        </w:tc>
        <w:tc>
          <w:tcPr>
            <w:tcW w:w="2417" w:type="dxa"/>
            <w:vAlign w:val="bottom"/>
          </w:tcPr>
          <w:p w14:paraId="50F596BE" w14:textId="19E2B126" w:rsidR="00B13688" w:rsidRPr="00B13688" w:rsidRDefault="00B13688" w:rsidP="00B1368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13688">
              <w:rPr>
                <w:rFonts w:cs="Times New Roman"/>
                <w:color w:val="000000"/>
                <w:sz w:val="20"/>
                <w:szCs w:val="20"/>
              </w:rPr>
              <w:t>7.8 (0.5)</w:t>
            </w:r>
          </w:p>
        </w:tc>
      </w:tr>
      <w:tr w:rsidR="00B13688" w14:paraId="58A6D86D" w14:textId="78A4EA1C" w:rsidTr="00D668BF">
        <w:tc>
          <w:tcPr>
            <w:tcW w:w="1317" w:type="dxa"/>
          </w:tcPr>
          <w:p w14:paraId="140F63ED" w14:textId="62A423DD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1566" w:type="dxa"/>
          </w:tcPr>
          <w:p w14:paraId="2D79425B" w14:textId="65356FA9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951" w:type="dxa"/>
          </w:tcPr>
          <w:p w14:paraId="16E26D96" w14:textId="5F7BA4C0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0.05</w:t>
            </w:r>
          </w:p>
        </w:tc>
        <w:tc>
          <w:tcPr>
            <w:tcW w:w="2099" w:type="dxa"/>
            <w:vAlign w:val="bottom"/>
          </w:tcPr>
          <w:p w14:paraId="1FF36CEF" w14:textId="28B2CC36" w:rsidR="00B13688" w:rsidRPr="00B13688" w:rsidRDefault="00B13688" w:rsidP="00B1368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13688">
              <w:rPr>
                <w:rFonts w:cs="Times New Roman"/>
                <w:color w:val="000000"/>
                <w:sz w:val="20"/>
                <w:szCs w:val="20"/>
              </w:rPr>
              <w:t>4.6 (0.2)</w:t>
            </w:r>
          </w:p>
        </w:tc>
        <w:tc>
          <w:tcPr>
            <w:tcW w:w="2417" w:type="dxa"/>
            <w:vAlign w:val="bottom"/>
          </w:tcPr>
          <w:p w14:paraId="69B6345F" w14:textId="6E50F015" w:rsidR="00B13688" w:rsidRPr="00B13688" w:rsidRDefault="00B13688" w:rsidP="00B1368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13688">
              <w:rPr>
                <w:rFonts w:cs="Times New Roman"/>
                <w:color w:val="000000"/>
                <w:sz w:val="20"/>
                <w:szCs w:val="20"/>
              </w:rPr>
              <w:t>2.1 (0.1)</w:t>
            </w:r>
          </w:p>
        </w:tc>
      </w:tr>
      <w:tr w:rsidR="00B13688" w14:paraId="56452D60" w14:textId="0E0418A0" w:rsidTr="00D668BF">
        <w:tc>
          <w:tcPr>
            <w:tcW w:w="1317" w:type="dxa"/>
          </w:tcPr>
          <w:p w14:paraId="13C9B201" w14:textId="0DE8F22B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</w:t>
            </w:r>
          </w:p>
        </w:tc>
        <w:tc>
          <w:tcPr>
            <w:tcW w:w="1566" w:type="dxa"/>
          </w:tcPr>
          <w:p w14:paraId="3BBE9320" w14:textId="6D494A2F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951" w:type="dxa"/>
          </w:tcPr>
          <w:p w14:paraId="25C81FAE" w14:textId="4E91911A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0.05</w:t>
            </w:r>
          </w:p>
        </w:tc>
        <w:tc>
          <w:tcPr>
            <w:tcW w:w="2099" w:type="dxa"/>
            <w:vAlign w:val="bottom"/>
          </w:tcPr>
          <w:p w14:paraId="191F0666" w14:textId="321745DF" w:rsidR="00B13688" w:rsidRPr="00B13688" w:rsidRDefault="00B13688" w:rsidP="00B1368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13688">
              <w:rPr>
                <w:rFonts w:cs="Times New Roman"/>
                <w:color w:val="000000"/>
                <w:sz w:val="20"/>
                <w:szCs w:val="20"/>
              </w:rPr>
              <w:t>3.5 (0.4)</w:t>
            </w:r>
          </w:p>
        </w:tc>
        <w:tc>
          <w:tcPr>
            <w:tcW w:w="2417" w:type="dxa"/>
            <w:vAlign w:val="bottom"/>
          </w:tcPr>
          <w:p w14:paraId="4E316C1E" w14:textId="41E059BF" w:rsidR="00B13688" w:rsidRPr="00B13688" w:rsidRDefault="00B13688" w:rsidP="00B1368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13688">
              <w:rPr>
                <w:rFonts w:cs="Times New Roman"/>
                <w:color w:val="000000"/>
                <w:sz w:val="20"/>
                <w:szCs w:val="20"/>
              </w:rPr>
              <w:t>1.5 (0.2)</w:t>
            </w:r>
          </w:p>
        </w:tc>
      </w:tr>
      <w:tr w:rsidR="00B13688" w14:paraId="33C8B7C1" w14:textId="590DAB5D" w:rsidTr="00D668BF">
        <w:tc>
          <w:tcPr>
            <w:tcW w:w="1317" w:type="dxa"/>
          </w:tcPr>
          <w:p w14:paraId="36EAB02A" w14:textId="3CD6A678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</w:t>
            </w:r>
          </w:p>
        </w:tc>
        <w:tc>
          <w:tcPr>
            <w:tcW w:w="1566" w:type="dxa"/>
          </w:tcPr>
          <w:p w14:paraId="64751180" w14:textId="380B7705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951" w:type="dxa"/>
          </w:tcPr>
          <w:p w14:paraId="47254E42" w14:textId="0F9EAEC2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</w:t>
            </w:r>
          </w:p>
        </w:tc>
        <w:tc>
          <w:tcPr>
            <w:tcW w:w="2099" w:type="dxa"/>
            <w:vAlign w:val="bottom"/>
          </w:tcPr>
          <w:p w14:paraId="7A2D37F5" w14:textId="56DFD724" w:rsidR="00B13688" w:rsidRPr="00B13688" w:rsidRDefault="00B13688" w:rsidP="00B1368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13688">
              <w:rPr>
                <w:rFonts w:cs="Times New Roman"/>
                <w:color w:val="000000"/>
                <w:sz w:val="20"/>
                <w:szCs w:val="20"/>
              </w:rPr>
              <w:t>1.8 (0.3)</w:t>
            </w:r>
          </w:p>
        </w:tc>
        <w:tc>
          <w:tcPr>
            <w:tcW w:w="2417" w:type="dxa"/>
            <w:vAlign w:val="bottom"/>
          </w:tcPr>
          <w:p w14:paraId="7C740146" w14:textId="644D695A" w:rsidR="00B13688" w:rsidRPr="00B13688" w:rsidRDefault="00B13688" w:rsidP="00B1368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13688">
              <w:rPr>
                <w:rFonts w:cs="Times New Roman"/>
                <w:color w:val="000000"/>
                <w:sz w:val="20"/>
                <w:szCs w:val="20"/>
              </w:rPr>
              <w:t>0.8 (0.1)</w:t>
            </w:r>
          </w:p>
        </w:tc>
      </w:tr>
      <w:tr w:rsidR="00B13688" w14:paraId="6DCBB079" w14:textId="0961C941" w:rsidTr="00D668BF">
        <w:tc>
          <w:tcPr>
            <w:tcW w:w="1317" w:type="dxa"/>
          </w:tcPr>
          <w:p w14:paraId="363E236E" w14:textId="216C7AD5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</w:t>
            </w:r>
          </w:p>
        </w:tc>
        <w:tc>
          <w:tcPr>
            <w:tcW w:w="1566" w:type="dxa"/>
          </w:tcPr>
          <w:p w14:paraId="08E21545" w14:textId="360FC72B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951" w:type="dxa"/>
          </w:tcPr>
          <w:p w14:paraId="6E14AB4C" w14:textId="30D32524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0.05</w:t>
            </w:r>
          </w:p>
        </w:tc>
        <w:tc>
          <w:tcPr>
            <w:tcW w:w="2099" w:type="dxa"/>
            <w:vAlign w:val="bottom"/>
          </w:tcPr>
          <w:p w14:paraId="6456B787" w14:textId="58A211FE" w:rsidR="00B13688" w:rsidRPr="00B13688" w:rsidRDefault="00B13688" w:rsidP="00B1368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13688">
              <w:rPr>
                <w:rFonts w:cs="Times New Roman"/>
                <w:color w:val="000000"/>
                <w:sz w:val="20"/>
                <w:szCs w:val="20"/>
              </w:rPr>
              <w:t>14</w:t>
            </w:r>
            <w:r>
              <w:rPr>
                <w:rFonts w:cs="Times New Roman"/>
                <w:color w:val="000000"/>
                <w:sz w:val="20"/>
                <w:szCs w:val="20"/>
              </w:rPr>
              <w:t>800</w:t>
            </w:r>
            <w:r w:rsidRPr="00B13688">
              <w:rPr>
                <w:rFonts w:cs="Times New Roman"/>
                <w:color w:val="000000"/>
                <w:sz w:val="20"/>
                <w:szCs w:val="20"/>
              </w:rPr>
              <w:t xml:space="preserve"> (29</w:t>
            </w: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  <w:r w:rsidRPr="00B13688">
              <w:rPr>
                <w:rFonts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417" w:type="dxa"/>
            <w:vAlign w:val="bottom"/>
          </w:tcPr>
          <w:p w14:paraId="0772689B" w14:textId="52BC564C" w:rsidR="00B13688" w:rsidRPr="00B13688" w:rsidRDefault="00B13688" w:rsidP="00B1368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13688">
              <w:rPr>
                <w:rFonts w:cs="Times New Roman"/>
                <w:color w:val="000000"/>
                <w:sz w:val="20"/>
                <w:szCs w:val="20"/>
              </w:rPr>
              <w:t>65</w:t>
            </w:r>
            <w:r>
              <w:rPr>
                <w:rFonts w:cs="Times New Roman"/>
                <w:color w:val="000000"/>
                <w:sz w:val="20"/>
                <w:szCs w:val="20"/>
              </w:rPr>
              <w:t>50</w:t>
            </w:r>
            <w:r w:rsidRPr="00B13688">
              <w:rPr>
                <w:rFonts w:cs="Times New Roman"/>
                <w:color w:val="000000"/>
                <w:sz w:val="20"/>
                <w:szCs w:val="20"/>
              </w:rPr>
              <w:t xml:space="preserve"> (130)</w:t>
            </w:r>
          </w:p>
        </w:tc>
      </w:tr>
      <w:tr w:rsidR="00B13688" w14:paraId="4E779A3F" w14:textId="2A85CA07" w:rsidTr="00D668BF">
        <w:tc>
          <w:tcPr>
            <w:tcW w:w="1317" w:type="dxa"/>
          </w:tcPr>
          <w:p w14:paraId="2C0D6B0D" w14:textId="7A26B180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</w:t>
            </w:r>
          </w:p>
        </w:tc>
        <w:tc>
          <w:tcPr>
            <w:tcW w:w="1566" w:type="dxa"/>
          </w:tcPr>
          <w:p w14:paraId="19D0AAAA" w14:textId="6C3FD1EA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951" w:type="dxa"/>
          </w:tcPr>
          <w:p w14:paraId="3EDB24EE" w14:textId="6B07F589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</w:t>
            </w:r>
          </w:p>
        </w:tc>
        <w:tc>
          <w:tcPr>
            <w:tcW w:w="2099" w:type="dxa"/>
            <w:vAlign w:val="bottom"/>
          </w:tcPr>
          <w:p w14:paraId="75300689" w14:textId="02091EF7" w:rsidR="00B13688" w:rsidRPr="00B13688" w:rsidRDefault="00B13688" w:rsidP="00B1368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13688">
              <w:rPr>
                <w:rFonts w:cs="Times New Roman"/>
                <w:color w:val="000000"/>
                <w:sz w:val="20"/>
                <w:szCs w:val="20"/>
              </w:rPr>
              <w:t>1.8 (1)</w:t>
            </w:r>
          </w:p>
        </w:tc>
        <w:tc>
          <w:tcPr>
            <w:tcW w:w="2417" w:type="dxa"/>
            <w:vAlign w:val="bottom"/>
          </w:tcPr>
          <w:p w14:paraId="69A42D7B" w14:textId="32F59291" w:rsidR="00B13688" w:rsidRPr="00B13688" w:rsidRDefault="00B13688" w:rsidP="00B1368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13688">
              <w:rPr>
                <w:rFonts w:cs="Times New Roman"/>
                <w:color w:val="000000"/>
                <w:sz w:val="20"/>
                <w:szCs w:val="20"/>
              </w:rPr>
              <w:t>0.8 (0.4)</w:t>
            </w:r>
          </w:p>
        </w:tc>
      </w:tr>
      <w:tr w:rsidR="00B13688" w14:paraId="5CBC17A8" w14:textId="5A71B7B3" w:rsidTr="00D668BF">
        <w:tc>
          <w:tcPr>
            <w:tcW w:w="1317" w:type="dxa"/>
          </w:tcPr>
          <w:p w14:paraId="5D65530E" w14:textId="44FF7709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</w:t>
            </w:r>
          </w:p>
        </w:tc>
        <w:tc>
          <w:tcPr>
            <w:tcW w:w="1566" w:type="dxa"/>
          </w:tcPr>
          <w:p w14:paraId="133016B5" w14:textId="1A9F6508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951" w:type="dxa"/>
          </w:tcPr>
          <w:p w14:paraId="2FF37F24" w14:textId="2B63800F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</w:t>
            </w:r>
          </w:p>
        </w:tc>
        <w:tc>
          <w:tcPr>
            <w:tcW w:w="2099" w:type="dxa"/>
            <w:vAlign w:val="bottom"/>
          </w:tcPr>
          <w:p w14:paraId="36E3D055" w14:textId="5FEF52E2" w:rsidR="00B13688" w:rsidRPr="00B13688" w:rsidRDefault="00B13688" w:rsidP="00B1368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13688">
              <w:rPr>
                <w:rFonts w:cs="Times New Roman"/>
                <w:color w:val="000000"/>
                <w:sz w:val="20"/>
                <w:szCs w:val="20"/>
              </w:rPr>
              <w:t>454 (1.7)</w:t>
            </w:r>
          </w:p>
        </w:tc>
        <w:tc>
          <w:tcPr>
            <w:tcW w:w="2417" w:type="dxa"/>
            <w:vAlign w:val="bottom"/>
          </w:tcPr>
          <w:p w14:paraId="57A13D12" w14:textId="1AFE49A4" w:rsidR="00B13688" w:rsidRPr="00B13688" w:rsidRDefault="00B13688" w:rsidP="00B1368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13688">
              <w:rPr>
                <w:rFonts w:cs="Times New Roman"/>
                <w:color w:val="000000"/>
                <w:sz w:val="20"/>
                <w:szCs w:val="20"/>
              </w:rPr>
              <w:t>201 (0.8)</w:t>
            </w:r>
          </w:p>
        </w:tc>
      </w:tr>
      <w:tr w:rsidR="00B13688" w14:paraId="21462661" w14:textId="56C4DC0D" w:rsidTr="00D668BF">
        <w:tc>
          <w:tcPr>
            <w:tcW w:w="1317" w:type="dxa"/>
          </w:tcPr>
          <w:p w14:paraId="79B533F1" w14:textId="7391A36F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Nb</w:t>
            </w:r>
          </w:p>
        </w:tc>
        <w:tc>
          <w:tcPr>
            <w:tcW w:w="1566" w:type="dxa"/>
          </w:tcPr>
          <w:p w14:paraId="37969219" w14:textId="22FAC0D8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1951" w:type="dxa"/>
          </w:tcPr>
          <w:p w14:paraId="3E92821C" w14:textId="7AE32855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</w:t>
            </w:r>
          </w:p>
        </w:tc>
        <w:tc>
          <w:tcPr>
            <w:tcW w:w="2099" w:type="dxa"/>
            <w:vAlign w:val="bottom"/>
          </w:tcPr>
          <w:p w14:paraId="266F9224" w14:textId="7597B123" w:rsidR="00B13688" w:rsidRPr="00B13688" w:rsidRDefault="00B13688" w:rsidP="00B1368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13688">
              <w:rPr>
                <w:rFonts w:cs="Times New Roman"/>
                <w:color w:val="000000"/>
                <w:sz w:val="20"/>
                <w:szCs w:val="20"/>
              </w:rPr>
              <w:t>0.08 (0.05)</w:t>
            </w:r>
          </w:p>
        </w:tc>
        <w:tc>
          <w:tcPr>
            <w:tcW w:w="2417" w:type="dxa"/>
            <w:vAlign w:val="bottom"/>
          </w:tcPr>
          <w:p w14:paraId="593AB8A3" w14:textId="57738001" w:rsidR="00B13688" w:rsidRPr="00B13688" w:rsidRDefault="00B13688" w:rsidP="00B1368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13688">
              <w:rPr>
                <w:rFonts w:cs="Times New Roman"/>
                <w:color w:val="000000"/>
                <w:sz w:val="20"/>
                <w:szCs w:val="20"/>
              </w:rPr>
              <w:t>0.03 (0.02)</w:t>
            </w:r>
          </w:p>
        </w:tc>
      </w:tr>
      <w:tr w:rsidR="00B13688" w14:paraId="1AAE71CF" w14:textId="672A5743" w:rsidTr="00D668BF">
        <w:tc>
          <w:tcPr>
            <w:tcW w:w="1317" w:type="dxa"/>
          </w:tcPr>
          <w:p w14:paraId="55705E4C" w14:textId="7EC0D25B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</w:t>
            </w:r>
          </w:p>
        </w:tc>
        <w:tc>
          <w:tcPr>
            <w:tcW w:w="1566" w:type="dxa"/>
          </w:tcPr>
          <w:p w14:paraId="52DE7E6C" w14:textId="61010D1D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</w:t>
            </w:r>
          </w:p>
        </w:tc>
        <w:tc>
          <w:tcPr>
            <w:tcW w:w="1951" w:type="dxa"/>
          </w:tcPr>
          <w:p w14:paraId="4B7BD24C" w14:textId="2913A7CA" w:rsidR="00B13688" w:rsidRPr="001C6D62" w:rsidRDefault="00B13688" w:rsidP="00B1368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</w:t>
            </w:r>
          </w:p>
        </w:tc>
        <w:tc>
          <w:tcPr>
            <w:tcW w:w="2099" w:type="dxa"/>
            <w:vAlign w:val="bottom"/>
          </w:tcPr>
          <w:p w14:paraId="3CA4D5E4" w14:textId="05027C9C" w:rsidR="00B13688" w:rsidRPr="00B13688" w:rsidRDefault="00B13688" w:rsidP="00B1368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13688">
              <w:rPr>
                <w:rFonts w:cs="Times New Roman"/>
                <w:color w:val="000000"/>
                <w:sz w:val="20"/>
                <w:szCs w:val="20"/>
              </w:rPr>
              <w:t>0.11 (0.03)</w:t>
            </w:r>
          </w:p>
        </w:tc>
        <w:tc>
          <w:tcPr>
            <w:tcW w:w="2417" w:type="dxa"/>
            <w:vAlign w:val="bottom"/>
          </w:tcPr>
          <w:p w14:paraId="5E629967" w14:textId="4B7322C5" w:rsidR="00B13688" w:rsidRPr="00B13688" w:rsidRDefault="00B13688" w:rsidP="00B1368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13688">
              <w:rPr>
                <w:rFonts w:cs="Times New Roman"/>
                <w:color w:val="000000"/>
                <w:sz w:val="20"/>
                <w:szCs w:val="20"/>
              </w:rPr>
              <w:t>0.05 (0.01)</w:t>
            </w:r>
          </w:p>
        </w:tc>
      </w:tr>
    </w:tbl>
    <w:p w14:paraId="77461480" w14:textId="568D7ADE" w:rsidR="00A0067C" w:rsidRDefault="00A0067C" w:rsidP="007B7C47"/>
    <w:p w14:paraId="29EFEE6E" w14:textId="4267CCA0" w:rsidR="00DA15F2" w:rsidRDefault="00DA15F2" w:rsidP="007B7C47">
      <w:r>
        <w:t xml:space="preserve">The conversion from wt. ppm (as measured) to </w:t>
      </w:r>
      <w:proofErr w:type="spellStart"/>
      <w:r>
        <w:t>at</w:t>
      </w:r>
      <w:proofErr w:type="spellEnd"/>
      <w:r>
        <w:t>. ppm is made using the formula at. ppm of element= ((molar mass Al</w:t>
      </w:r>
      <w:r w:rsidRPr="00DA15F2">
        <w:rPr>
          <w:vertAlign w:val="subscript"/>
        </w:rPr>
        <w:t>2</w:t>
      </w:r>
      <w:r>
        <w:t>O</w:t>
      </w:r>
      <w:r w:rsidRPr="00DA15F2">
        <w:rPr>
          <w:vertAlign w:val="subscript"/>
        </w:rPr>
        <w:t>3</w:t>
      </w:r>
      <w:r>
        <w:t>/5)</w:t>
      </w:r>
      <w:proofErr w:type="gramStart"/>
      <w:r>
        <w:t>/(</w:t>
      </w:r>
      <w:proofErr w:type="gramEnd"/>
      <w:r>
        <w:t xml:space="preserve">molar mass element)) x wt. ppm element, i.e., assumes infinite dilution, so </w:t>
      </w:r>
      <w:r w:rsidR="00E80158">
        <w:t>will be</w:t>
      </w:r>
      <w:r>
        <w:t xml:space="preserve"> inaccurate for </w:t>
      </w:r>
      <w:r w:rsidR="00E80158">
        <w:t>Fe</w:t>
      </w:r>
      <w:r>
        <w:t xml:space="preserve">. </w:t>
      </w:r>
      <w:r w:rsidR="001D073C">
        <w:t xml:space="preserve">Values represent the mean and standard deviation of six analyses. </w:t>
      </w:r>
      <w:r w:rsidR="00272BB8">
        <w:t xml:space="preserve">Other elements that were below detection limits: B, Na, Si, K, Ca, Sc, Co, Ni, Cu, Y, Zr, Mo, Ru, Rh, Pd, Ag, Cd, Sn, La, Ce, Nd, Hf, W, </w:t>
      </w:r>
      <w:proofErr w:type="spellStart"/>
      <w:r w:rsidR="00272BB8">
        <w:t>Ir</w:t>
      </w:r>
      <w:proofErr w:type="spellEnd"/>
      <w:r w:rsidR="00272BB8">
        <w:t>, Pt, Au, Pb, Bi, Th, U.</w:t>
      </w:r>
      <w:r w:rsidR="001D073C">
        <w:t xml:space="preserve"> </w:t>
      </w:r>
    </w:p>
    <w:p w14:paraId="6F478323" w14:textId="77777777" w:rsidR="00DA15F2" w:rsidRDefault="00DA15F2" w:rsidP="007B7C47"/>
    <w:p w14:paraId="688E5E76" w14:textId="05759A63" w:rsidR="00EB12FE" w:rsidRPr="00EB12FE" w:rsidRDefault="00EB12FE" w:rsidP="007B7C47">
      <w:pPr>
        <w:rPr>
          <w:i/>
          <w:iCs/>
        </w:rPr>
      </w:pPr>
      <w:proofErr w:type="spellStart"/>
      <w:r w:rsidRPr="00EB12FE">
        <w:rPr>
          <w:i/>
          <w:iCs/>
        </w:rPr>
        <w:t>Polarised</w:t>
      </w:r>
      <w:proofErr w:type="spellEnd"/>
      <w:r w:rsidRPr="00EB12FE">
        <w:rPr>
          <w:i/>
          <w:iCs/>
        </w:rPr>
        <w:t xml:space="preserve"> Spectra</w:t>
      </w:r>
    </w:p>
    <w:p w14:paraId="0CF37BD6" w14:textId="392CF147" w:rsidR="00A0067C" w:rsidRDefault="00EB12FE" w:rsidP="007B7C47">
      <w:r>
        <w:t xml:space="preserve">The raw </w:t>
      </w:r>
      <w:proofErr w:type="spellStart"/>
      <w:r>
        <w:t>polarised</w:t>
      </w:r>
      <w:proofErr w:type="spellEnd"/>
      <w:r>
        <w:t xml:space="preserve"> spectra are provided in the accompanying dataset.</w:t>
      </w:r>
      <w:r w:rsidR="003C2CE9">
        <w:t xml:space="preserve"> The nominal polarizer angle and corrected angle are presented, with the correction made using Al-O overtones. 90 degrees corresponds to E||[0001].</w:t>
      </w:r>
    </w:p>
    <w:p w14:paraId="0F454FA7" w14:textId="77777777" w:rsidR="00EB12FE" w:rsidRDefault="00EB12FE" w:rsidP="007B7C47"/>
    <w:p w14:paraId="54405B1B" w14:textId="3BF72A7B" w:rsidR="00A0067C" w:rsidRPr="00A0067C" w:rsidRDefault="00A0067C" w:rsidP="007B7C47">
      <w:pPr>
        <w:rPr>
          <w:i/>
          <w:iCs/>
        </w:rPr>
      </w:pPr>
      <w:r w:rsidRPr="00A0067C">
        <w:rPr>
          <w:i/>
          <w:iCs/>
        </w:rPr>
        <w:t>Relationship between Be concentration and both unresolved bands</w:t>
      </w:r>
    </w:p>
    <w:p w14:paraId="52680150" w14:textId="7779A777" w:rsidR="00A459BD" w:rsidRDefault="00A0067C" w:rsidP="007B7C47">
      <w:r>
        <w:t>In the main text, a figure is presented showing the concentration of Be versus the summed integrated area of both unresolved bands (2490 and 3062 cm</w:t>
      </w:r>
      <w:r w:rsidRPr="00A0067C">
        <w:rPr>
          <w:vertAlign w:val="superscript"/>
        </w:rPr>
        <w:t>-1</w:t>
      </w:r>
      <w:r>
        <w:t xml:space="preserve">). </w:t>
      </w:r>
      <w:r w:rsidR="004B1829">
        <w:t>It was stated that the relationship between the Be concentration and each of the unresolved bands was similar to the relationship between Be concentration and their sum. Th</w:t>
      </w:r>
      <w:r w:rsidR="00A459BD">
        <w:t>is is shown in the following figure</w:t>
      </w:r>
      <w:r w:rsidR="001D003B">
        <w:t>s, which both show an unoccupied region in the top left.</w:t>
      </w:r>
    </w:p>
    <w:p w14:paraId="5DB83E17" w14:textId="3FE579EF" w:rsidR="00A459BD" w:rsidRDefault="000B6401" w:rsidP="00995CE1">
      <w:pPr>
        <w:jc w:val="center"/>
      </w:pPr>
      <w:r>
        <w:rPr>
          <w:noProof/>
        </w:rPr>
        <w:lastRenderedPageBreak/>
        <w:drawing>
          <wp:inline distT="0" distB="0" distL="0" distR="0" wp14:anchorId="618398D8" wp14:editId="51DBC74D">
            <wp:extent cx="3162300" cy="6299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629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0FB327" w14:textId="4258AEF7" w:rsidR="00A0067C" w:rsidRDefault="00A0067C" w:rsidP="007B7C47"/>
    <w:p w14:paraId="5F3D24BA" w14:textId="4A334B8D" w:rsidR="00A0067C" w:rsidRPr="004B1829" w:rsidRDefault="004B1829" w:rsidP="007B7C47">
      <w:pPr>
        <w:rPr>
          <w:i/>
          <w:iCs/>
        </w:rPr>
      </w:pPr>
      <w:r w:rsidRPr="004B1829">
        <w:rPr>
          <w:i/>
          <w:iCs/>
        </w:rPr>
        <w:t>Crystallographic Information Files (</w:t>
      </w:r>
      <w:proofErr w:type="spellStart"/>
      <w:r w:rsidRPr="004B1829">
        <w:rPr>
          <w:i/>
          <w:iCs/>
        </w:rPr>
        <w:t>cif</w:t>
      </w:r>
      <w:proofErr w:type="spellEnd"/>
      <w:r w:rsidRPr="004B1829">
        <w:rPr>
          <w:i/>
          <w:iCs/>
        </w:rPr>
        <w:t>)</w:t>
      </w:r>
    </w:p>
    <w:p w14:paraId="67D36537" w14:textId="2EA4C0AA" w:rsidR="00697330" w:rsidRDefault="004B1829" w:rsidP="007B7C47">
      <w:r>
        <w:t xml:space="preserve">Defect structures are provided in </w:t>
      </w:r>
      <w:proofErr w:type="spellStart"/>
      <w:r>
        <w:t>cif</w:t>
      </w:r>
      <w:proofErr w:type="spellEnd"/>
      <w:r>
        <w:t xml:space="preserve"> format in the accompanying dataset.</w:t>
      </w:r>
    </w:p>
    <w:p w14:paraId="01801420" w14:textId="2990C55A" w:rsidR="004B1829" w:rsidRDefault="004B1829" w:rsidP="007B7C47"/>
    <w:p w14:paraId="31EFCA3D" w14:textId="77777777" w:rsidR="004B1829" w:rsidRDefault="004B1829" w:rsidP="007B7C47"/>
    <w:sectPr w:rsidR="004B1829" w:rsidSect="00F2287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C47"/>
    <w:rsid w:val="00045811"/>
    <w:rsid w:val="000B6401"/>
    <w:rsid w:val="00181A31"/>
    <w:rsid w:val="001969F7"/>
    <w:rsid w:val="001C6D62"/>
    <w:rsid w:val="001D003B"/>
    <w:rsid w:val="001D073C"/>
    <w:rsid w:val="001E753A"/>
    <w:rsid w:val="0024063B"/>
    <w:rsid w:val="002611D0"/>
    <w:rsid w:val="00272BB8"/>
    <w:rsid w:val="00322599"/>
    <w:rsid w:val="003C2CE9"/>
    <w:rsid w:val="003C7A62"/>
    <w:rsid w:val="004A07D1"/>
    <w:rsid w:val="004B1829"/>
    <w:rsid w:val="0058586E"/>
    <w:rsid w:val="00602BD8"/>
    <w:rsid w:val="0063262A"/>
    <w:rsid w:val="00632E58"/>
    <w:rsid w:val="00697330"/>
    <w:rsid w:val="00791637"/>
    <w:rsid w:val="007B7C47"/>
    <w:rsid w:val="007C2592"/>
    <w:rsid w:val="007D31BD"/>
    <w:rsid w:val="007F2FF9"/>
    <w:rsid w:val="00832270"/>
    <w:rsid w:val="00854C7F"/>
    <w:rsid w:val="00865BAE"/>
    <w:rsid w:val="0087631F"/>
    <w:rsid w:val="00885FC6"/>
    <w:rsid w:val="00923FB8"/>
    <w:rsid w:val="00995CE1"/>
    <w:rsid w:val="00996AD8"/>
    <w:rsid w:val="00A0067C"/>
    <w:rsid w:val="00A459BD"/>
    <w:rsid w:val="00B040CB"/>
    <w:rsid w:val="00B13688"/>
    <w:rsid w:val="00B15CAA"/>
    <w:rsid w:val="00D5629C"/>
    <w:rsid w:val="00D661B2"/>
    <w:rsid w:val="00D904D4"/>
    <w:rsid w:val="00DA15F2"/>
    <w:rsid w:val="00DF7834"/>
    <w:rsid w:val="00E80158"/>
    <w:rsid w:val="00E80A3F"/>
    <w:rsid w:val="00EA6902"/>
    <w:rsid w:val="00EB12FE"/>
    <w:rsid w:val="00F11186"/>
    <w:rsid w:val="00F22873"/>
    <w:rsid w:val="00F26C41"/>
    <w:rsid w:val="00F44EB0"/>
    <w:rsid w:val="00F8481E"/>
    <w:rsid w:val="00FB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AC363"/>
  <w15:chartTrackingRefBased/>
  <w15:docId w15:val="{B6730B88-44CF-40BC-9821-56D433295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EB0"/>
    <w:pPr>
      <w:spacing w:line="360" w:lineRule="auto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44EB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4E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ption">
    <w:name w:val="caption"/>
    <w:basedOn w:val="Normal"/>
    <w:next w:val="Normal"/>
    <w:uiPriority w:val="35"/>
    <w:unhideWhenUsed/>
    <w:qFormat/>
    <w:rsid w:val="00602BD8"/>
    <w:pPr>
      <w:spacing w:after="200"/>
    </w:pPr>
    <w:rPr>
      <w:rFonts w:ascii="Arial" w:hAnsi="Arial"/>
      <w:iCs/>
      <w:color w:val="000000" w:themeColor="text1"/>
      <w:sz w:val="20"/>
      <w:szCs w:val="18"/>
    </w:rPr>
  </w:style>
  <w:style w:type="table" w:styleId="TableGrid">
    <w:name w:val="Table Grid"/>
    <w:basedOn w:val="TableNormal"/>
    <w:uiPriority w:val="39"/>
    <w:rsid w:val="001C6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GIA</Company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Jollands</dc:creator>
  <cp:keywords/>
  <dc:description/>
  <cp:lastModifiedBy>Michael Jollands</cp:lastModifiedBy>
  <cp:revision>46</cp:revision>
  <dcterms:created xsi:type="dcterms:W3CDTF">2022-02-02T13:24:00Z</dcterms:created>
  <dcterms:modified xsi:type="dcterms:W3CDTF">2022-03-15T20:07:00Z</dcterms:modified>
</cp:coreProperties>
</file>