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DF6B5" w14:textId="1D25233D" w:rsidR="007D2DEC" w:rsidRDefault="4F1696A8" w:rsidP="007D2DEC">
      <w:pPr>
        <w:pStyle w:val="Title"/>
      </w:pPr>
      <w:bookmarkStart w:id="0" w:name="_GoBack"/>
      <w:bookmarkEnd w:id="0"/>
      <w:r>
        <w:t>The balance between food and dietary</w:t>
      </w:r>
      <w:r w:rsidR="00BF0B8D">
        <w:t xml:space="preserve"> </w:t>
      </w:r>
      <w:r>
        <w:t>supplements</w:t>
      </w:r>
      <w:r w:rsidR="00E76FC5">
        <w:t xml:space="preserve"> in the general population</w:t>
      </w:r>
    </w:p>
    <w:p w14:paraId="4A8FE329" w14:textId="7BF2A0B3" w:rsidR="007D2DEC" w:rsidRDefault="7AF5BD86" w:rsidP="007D2DEC">
      <w:pPr>
        <w:pStyle w:val="Subtitle"/>
      </w:pPr>
      <w:r>
        <w:t xml:space="preserve">Marleen AH </w:t>
      </w:r>
      <w:proofErr w:type="spellStart"/>
      <w:r>
        <w:t>Lentjes</w:t>
      </w:r>
      <w:proofErr w:type="spellEnd"/>
    </w:p>
    <w:p w14:paraId="260BE25F" w14:textId="77777777" w:rsidR="002313D8" w:rsidRPr="002313D8" w:rsidRDefault="002313D8" w:rsidP="002313D8"/>
    <w:p w14:paraId="2A5690B8" w14:textId="5FAB553C" w:rsidR="00B814CC" w:rsidRDefault="00B814CC" w:rsidP="002313D8">
      <w:proofErr w:type="spellStart"/>
      <w:r>
        <w:t>Dr.</w:t>
      </w:r>
      <w:proofErr w:type="spellEnd"/>
      <w:r>
        <w:t xml:space="preserve"> MAH </w:t>
      </w:r>
      <w:proofErr w:type="spellStart"/>
      <w:r>
        <w:t>Lentjes</w:t>
      </w:r>
      <w:proofErr w:type="spellEnd"/>
      <w:r>
        <w:t>, Senior Research Nutritionist</w:t>
      </w:r>
    </w:p>
    <w:p w14:paraId="13039CEE" w14:textId="5FBE808D" w:rsidR="002313D8" w:rsidRDefault="002313D8" w:rsidP="002313D8">
      <w:r w:rsidRPr="00DA2B27">
        <w:t xml:space="preserve">University of Cambridge, Department of Public Health </w:t>
      </w:r>
      <w:r>
        <w:t>&amp; Primary Care</w:t>
      </w:r>
    </w:p>
    <w:p w14:paraId="0CA80E83" w14:textId="77777777" w:rsidR="002313D8" w:rsidRDefault="002313D8" w:rsidP="002313D8">
      <w:proofErr w:type="spellStart"/>
      <w:r>
        <w:t>Strangeways</w:t>
      </w:r>
      <w:proofErr w:type="spellEnd"/>
      <w:r>
        <w:t xml:space="preserve"> Research Laboratories, </w:t>
      </w:r>
      <w:proofErr w:type="spellStart"/>
      <w:r>
        <w:t>Worts</w:t>
      </w:r>
      <w:proofErr w:type="spellEnd"/>
      <w:r>
        <w:t xml:space="preserve"> Causeway, Cambridge CB1 8RN</w:t>
      </w:r>
    </w:p>
    <w:p w14:paraId="264165F9" w14:textId="68F68DC5" w:rsidR="002313D8" w:rsidRDefault="002313D8" w:rsidP="002313D8">
      <w:r>
        <w:t xml:space="preserve">Email: </w:t>
      </w:r>
      <w:hyperlink r:id="rId9" w:history="1">
        <w:r w:rsidRPr="004B36A3">
          <w:rPr>
            <w:rStyle w:val="Hyperlink"/>
          </w:rPr>
          <w:t>marleen.lentjes@phpc.cam.ac.uk</w:t>
        </w:r>
      </w:hyperlink>
    </w:p>
    <w:p w14:paraId="35F1C5A5" w14:textId="77777777" w:rsidR="002313D8" w:rsidRDefault="002313D8" w:rsidP="002313D8">
      <w:r>
        <w:t>Phone: 01223 748 683</w:t>
      </w:r>
    </w:p>
    <w:p w14:paraId="173809A9" w14:textId="77777777" w:rsidR="002313D8" w:rsidRDefault="002313D8" w:rsidP="002313D8"/>
    <w:p w14:paraId="5BD74D25" w14:textId="77777777" w:rsidR="002313D8" w:rsidRPr="00DA2B27" w:rsidRDefault="002313D8" w:rsidP="002313D8">
      <w:r>
        <w:t>Short title: F</w:t>
      </w:r>
      <w:r w:rsidRPr="003C7746">
        <w:t>ood-supplement balance in general population</w:t>
      </w:r>
    </w:p>
    <w:p w14:paraId="683D50E3" w14:textId="77777777" w:rsidR="002313D8" w:rsidRDefault="002313D8" w:rsidP="002313D8"/>
    <w:p w14:paraId="05791C4F" w14:textId="3B3E833B" w:rsidR="002313D8" w:rsidRDefault="002313D8" w:rsidP="002313D8">
      <w:r>
        <w:t>Keywords:</w:t>
      </w:r>
    </w:p>
    <w:p w14:paraId="1FA370FF" w14:textId="7278B9E8" w:rsidR="002313D8" w:rsidRDefault="002313D8" w:rsidP="002313D8">
      <w:r>
        <w:t>Dietary supplement assessment</w:t>
      </w:r>
    </w:p>
    <w:p w14:paraId="1C80FF55" w14:textId="517374E8" w:rsidR="002313D8" w:rsidRDefault="002313D8" w:rsidP="002313D8">
      <w:r>
        <w:t>Total nutrient intake</w:t>
      </w:r>
    </w:p>
    <w:p w14:paraId="5558D3F4" w14:textId="0043EF53" w:rsidR="001E701D" w:rsidRDefault="001E701D" w:rsidP="002313D8">
      <w:r w:rsidRPr="00ED6425">
        <w:t>Dietary Reference Values</w:t>
      </w:r>
    </w:p>
    <w:p w14:paraId="5A8708D4" w14:textId="36EE728D" w:rsidR="002313D8" w:rsidRDefault="002313D8" w:rsidP="002313D8">
      <w:r>
        <w:t>Biomarkers</w:t>
      </w:r>
    </w:p>
    <w:p w14:paraId="780AA7EC" w14:textId="2D0CE58D" w:rsidR="002313D8" w:rsidRPr="002313D8" w:rsidRDefault="002313D8" w:rsidP="002313D8">
      <w:r>
        <w:t>Observational research</w:t>
      </w:r>
    </w:p>
    <w:p w14:paraId="69C71142" w14:textId="77777777" w:rsidR="002313D8" w:rsidRDefault="002313D8">
      <w:pPr>
        <w:spacing w:line="259" w:lineRule="auto"/>
        <w:rPr>
          <w:rFonts w:eastAsiaTheme="majorEastAsia" w:cstheme="majorBidi"/>
          <w:color w:val="2F5496" w:themeColor="accent1" w:themeShade="BF"/>
          <w:sz w:val="32"/>
          <w:szCs w:val="32"/>
        </w:rPr>
      </w:pPr>
      <w:r>
        <w:br w:type="page"/>
      </w:r>
    </w:p>
    <w:p w14:paraId="7CBFD60A" w14:textId="7486931F" w:rsidR="007D2DEC" w:rsidRDefault="7AF5BD86" w:rsidP="007D2DEC">
      <w:pPr>
        <w:pStyle w:val="Heading1"/>
      </w:pPr>
      <w:r>
        <w:lastRenderedPageBreak/>
        <w:t>Abstract</w:t>
      </w:r>
    </w:p>
    <w:p w14:paraId="3B752F13" w14:textId="474DA15B" w:rsidR="00ED6BDE" w:rsidRPr="00ED6BDE" w:rsidRDefault="00ED6BDE" w:rsidP="00ED6BDE">
      <w:r>
        <w:t xml:space="preserve">In the past, vitamins and minerals were used to cure deficiency diseases.  Supplements nowadays are used with the aim </w:t>
      </w:r>
      <w:r w:rsidR="003723E1">
        <w:t>of</w:t>
      </w:r>
      <w:r>
        <w:t xml:space="preserve"> reduc</w:t>
      </w:r>
      <w:r w:rsidR="003723E1">
        <w:t>ing</w:t>
      </w:r>
      <w:r>
        <w:t xml:space="preserve"> the risk of chronic diseases of which the origin</w:t>
      </w:r>
      <w:r w:rsidR="00D97B81">
        <w:t>s are</w:t>
      </w:r>
      <w:r>
        <w:t xml:space="preserve"> complex.  Dietary supplement use has increased in the UK over </w:t>
      </w:r>
      <w:r w:rsidR="003723E1">
        <w:t>recent</w:t>
      </w:r>
      <w:r>
        <w:t xml:space="preserve"> decades</w:t>
      </w:r>
      <w:r w:rsidR="00D97B81">
        <w:t>,</w:t>
      </w:r>
      <w:r>
        <w:t xml:space="preserve"> contributing to the nutrient intake in the population, but not necessarily t</w:t>
      </w:r>
      <w:r w:rsidR="00865AC3">
        <w:t>he</w:t>
      </w:r>
      <w:r w:rsidR="00FD6ACA">
        <w:t xml:space="preserve"> </w:t>
      </w:r>
      <w:r w:rsidR="00865AC3">
        <w:t>proportion</w:t>
      </w:r>
      <w:r w:rsidR="00FD6ACA">
        <w:t xml:space="preserve"> of the population that is sub optimally nourished</w:t>
      </w:r>
      <w:r w:rsidR="003723E1">
        <w:t>; t</w:t>
      </w:r>
      <w:r w:rsidR="00FD6ACA">
        <w:t>herefore</w:t>
      </w:r>
      <w:r w:rsidR="00D97B81">
        <w:t>,</w:t>
      </w:r>
      <w:r w:rsidR="00FD6ACA">
        <w:t xml:space="preserve"> not re</w:t>
      </w:r>
      <w:r w:rsidR="003723E1">
        <w:t>duc</w:t>
      </w:r>
      <w:r w:rsidR="00FD6ACA">
        <w:t>ing the proportion below the estimated</w:t>
      </w:r>
      <w:r w:rsidR="00D97B81">
        <w:t xml:space="preserve"> average</w:t>
      </w:r>
      <w:r w:rsidR="00FD6ACA">
        <w:t xml:space="preserve"> requirement and potentially increasing the </w:t>
      </w:r>
      <w:r w:rsidR="003723E1">
        <w:t xml:space="preserve">number at </w:t>
      </w:r>
      <w:r w:rsidR="00FD6ACA">
        <w:t>risk of an intake above the safety limits.  The supplement nutrient intake may be objectively monitored using circulation biomarkers.</w:t>
      </w:r>
      <w:r w:rsidR="00CB4B94">
        <w:t xml:space="preserve">  The influence of the researcher in how the supplements are grouped and how the nutrient intakes are quantified may </w:t>
      </w:r>
      <w:r w:rsidR="00D97B81">
        <w:t xml:space="preserve">however </w:t>
      </w:r>
      <w:r w:rsidR="00CB4B94">
        <w:t xml:space="preserve">result in different conclusions regarding </w:t>
      </w:r>
      <w:r w:rsidR="00164713">
        <w:t>their nutrient contribution,</w:t>
      </w:r>
      <w:r w:rsidR="00865AC3">
        <w:t xml:space="preserve"> the</w:t>
      </w:r>
      <w:r w:rsidR="00164713">
        <w:t xml:space="preserve"> </w:t>
      </w:r>
      <w:r w:rsidR="00D97B81">
        <w:t xml:space="preserve">associations </w:t>
      </w:r>
      <w:r w:rsidR="00865AC3">
        <w:t xml:space="preserve">with biomarkers </w:t>
      </w:r>
      <w:r w:rsidR="00D97B81">
        <w:t xml:space="preserve">in </w:t>
      </w:r>
      <w:proofErr w:type="gramStart"/>
      <w:r w:rsidR="00D97B81">
        <w:t>general,</w:t>
      </w:r>
      <w:proofErr w:type="gramEnd"/>
      <w:r w:rsidR="00D97B81">
        <w:t xml:space="preserve"> and </w:t>
      </w:r>
      <w:r w:rsidR="00CB4B94">
        <w:t>dose-response associations</w:t>
      </w:r>
      <w:r w:rsidR="00D97B81">
        <w:t xml:space="preserve"> specifically</w:t>
      </w:r>
      <w:r w:rsidR="00CB4B94">
        <w:t xml:space="preserve">.  </w:t>
      </w:r>
      <w:r w:rsidR="00D97B81">
        <w:t>The diet might be sufficient in micronutrients, but lacking in a balanced food intake.</w:t>
      </w:r>
      <w:r w:rsidR="00164713">
        <w:t xml:space="preserve">  Since public health nutrition guidelines are expressed in </w:t>
      </w:r>
      <w:r w:rsidR="003723E1">
        <w:t xml:space="preserve">terms of </w:t>
      </w:r>
      <w:r w:rsidR="00164713">
        <w:t xml:space="preserve">foods, there is </w:t>
      </w:r>
      <w:r w:rsidR="002A28B5">
        <w:t xml:space="preserve">potentially </w:t>
      </w:r>
      <w:r w:rsidR="00164713">
        <w:t>a discrepancy between the nutrient-orientated supplement and the quality of the dietary pattern.</w:t>
      </w:r>
      <w:r w:rsidR="00865AC3" w:rsidRPr="00865AC3">
        <w:t xml:space="preserve"> </w:t>
      </w:r>
      <w:r w:rsidR="00865AC3">
        <w:t>To promote health, current public health messages only advocate supplements in specific circumstances, but not in optimally nourished populations.</w:t>
      </w:r>
    </w:p>
    <w:p w14:paraId="0CBD60F0" w14:textId="77777777" w:rsidR="002313D8" w:rsidRDefault="002313D8">
      <w:pPr>
        <w:spacing w:line="259" w:lineRule="auto"/>
        <w:rPr>
          <w:rFonts w:eastAsiaTheme="majorEastAsia" w:cstheme="majorBidi"/>
          <w:color w:val="2F5496" w:themeColor="accent1" w:themeShade="BF"/>
          <w:sz w:val="32"/>
          <w:szCs w:val="32"/>
        </w:rPr>
      </w:pPr>
      <w:r>
        <w:br w:type="page"/>
      </w:r>
    </w:p>
    <w:p w14:paraId="3E7A9F1C" w14:textId="52972D9A" w:rsidR="007D2DEC" w:rsidRDefault="7AF5BD86" w:rsidP="007D2DEC">
      <w:pPr>
        <w:pStyle w:val="Heading1"/>
      </w:pPr>
      <w:r>
        <w:lastRenderedPageBreak/>
        <w:t>Introduction</w:t>
      </w:r>
    </w:p>
    <w:p w14:paraId="6F0A77BC" w14:textId="7A50BA93" w:rsidR="007D2DEC" w:rsidRDefault="002F494A" w:rsidP="007D2DEC">
      <w:r>
        <w:t xml:space="preserve">The micronutrients that we have come to know as ‘vitamins’, had their road of discovery </w:t>
      </w:r>
      <w:proofErr w:type="spellStart"/>
      <w:r>
        <w:t>pathed</w:t>
      </w:r>
      <w:proofErr w:type="spellEnd"/>
      <w:r>
        <w:t xml:space="preserve"> by a multitude of deficiency diseases.  A clear intervention, then still in the form of foods, relieved symptoms and cured diseases such as limes &amp; scurvy, </w:t>
      </w:r>
      <w:r w:rsidR="005272DD">
        <w:t>unpolished</w:t>
      </w:r>
      <w:r>
        <w:t xml:space="preserve"> rice &amp; </w:t>
      </w:r>
      <w:proofErr w:type="spellStart"/>
      <w:r>
        <w:t>beri</w:t>
      </w:r>
      <w:proofErr w:type="spellEnd"/>
      <w:r w:rsidRPr="589C4AF9">
        <w:t xml:space="preserve"> </w:t>
      </w:r>
      <w:proofErr w:type="spellStart"/>
      <w:r>
        <w:t>beri</w:t>
      </w:r>
      <w:proofErr w:type="spellEnd"/>
      <w:r>
        <w:t xml:space="preserve"> </w:t>
      </w:r>
      <w:r w:rsidR="003723E1">
        <w:t>and</w:t>
      </w:r>
      <w:r>
        <w:t xml:space="preserve"> cod liver oil &amp; rickets.  Diseases nowadays are not marked by deficiency, rather overconsumption</w:t>
      </w:r>
      <w:r w:rsidR="000C21AB">
        <w:t xml:space="preserve"> of foods</w:t>
      </w:r>
      <w:r>
        <w:t xml:space="preserve"> tends to be the major cause of </w:t>
      </w:r>
      <w:r w:rsidR="000C21AB">
        <w:t>chronic</w:t>
      </w:r>
      <w:r>
        <w:t xml:space="preserve"> diseases such as cardiovascular disease, diabetes and cancer</w:t>
      </w:r>
      <w:r w:rsidR="00472589" w:rsidRPr="589C4AF9">
        <w:t xml:space="preserve"> </w:t>
      </w:r>
      <w:r w:rsidR="00472589">
        <w:fldChar w:fldCharType="begin" w:fldLock="1"/>
      </w:r>
      <w:r w:rsidR="00C1396B">
        <w:instrText>ADDIN CSL_CITATION { "citationItems" : [ { "id" : "ITEM-1", "itemData" : { "DOI" : "10.1016/S0140-6736(12)61766-8", "ISBN" : "0140-6736", "ISSN" : "1474-547X", "PMID" : "23245609", "abstract" : "BACKGROUND Quantification of the disease burden caused by different risks informs prevention by providing an account of health loss different to that provided by a disease-by-disease analysis. No complete revision of global disease burden caused by risk factors has been done since a comparative risk assessment in 2000, and no previous analysis has assessed changes in burden attributable to risk factors over time. METHODS We estimated deaths and disability-adjusted life years (DALYs; sum of years lived with disability [YLD] and years of life lost [YLL]) attributable to the independent effects of 67 risk factors and clusters of risk factors for 21 regions in 1990 and 2010. We estimated exposure distributions for each year, region, sex, and age group, and relative risks per unit of exposure by systematically reviewing and synthesising published and unpublished data. We used these estimates, together with estimates of cause-specific deaths and DALYs from the Global Burden of Disease Study 2010, to calculate the burden attributable to each risk factor exposure compared with the theoretical-minimum-risk exposure. We incorporated uncertainty in disease burden, relative risks, and exposures into our estimates of attributable burden. FINDINGS In 2010, the three leading risk factors for global disease burden were high blood pressure (7\u00b70% [95% uncertainty interval 6\u00b72-7\u00b77] of global DALYs), tobacco smoking including second-hand smoke (6\u00b73% [5\u00b75-7\u00b70]), and alcohol use (5\u00b75% [5\u00b70-5\u00b79]). In 1990, the leading risks were childhood underweight (7\u00b79% [6\u00b78-9\u00b74]), household air pollution from solid fuels (HAP; 7\u00b70% [5\u00b76-8\u00b73]), and tobacco smoking including second-hand smoke (6\u00b71% [5\u00b74-6\u00b78]). Dietary risk factors and physical inactivity collectively accounted for 10\u00b70% (95% UI 9\u00b72-10\u00b78) of global DALYs in 2010, with the most prominent dietary risks being diets low in fruits and those high in sodium. Several risks that primarily affect childhood communicable diseases, including unimproved water and sanitation and childhood micronutrient deficiencies, fell in rank between 1990 and 2010, with unimproved water and sanitation accounting for 0\u00b79% (0\u00b74-1\u00b76) of global DALYs in 2010. However, in most of sub-Saharan Africa childhood underweight, HAP, and non-exclusive and discontinued breastfeeding were the leading risks in 2010, while HAP was the leading risk in south Asia. The leading risk factor in Eastern Europe, most of Latin America, and southern sub-Saharan Africa in 2010 was\u2026", "author" : [ { "dropping-particle" : "", "family" : "Lim", "given" : "Stephen S.", "non-dropping-particle" : "", "parse-names" : false, "suffix" : "" }, { "dropping-particle" : "", "family" : "Vos", "given" : "Theo", "non-dropping-particle" : "", "parse-names" : false, "suffix" : "" }, { "dropping-particle" : "", "family" : "Flaxman", "given" : "Abraham D", "non-dropping-particle" : "", "parse-names" : false, "suffix" : "" }, { "dropping-particle" : "", "family" : "Danaei", "given" : "Goodarz", "non-dropping-particle" : "", "parse-names" : false, "suffix" : "" }, { "dropping-particle" : "", "family" : "Shibuya", "given" : "Kenji", "non-dropping-particle" : "", "parse-names" : false, "suffix" : "" }, { "dropping-particle" : "", "family" : "Adair-Rohani", "given" : "Heather", "non-dropping-particle" : "", "parse-names" : false, "suffix" : "" }, { "dropping-particle" : "", "family" : "Amann", "given" : "Markus", "non-dropping-particle" : "", "parse-names" : false, "suffix" : "" }, { "dropping-particle" : "", "family" : "Anderson", "given" : "H. Ross", "non-dropping-particle" : "", "parse-names" : false, "suffix" : "" }, { "dropping-particle" : "", "family" : "Andrews", "given" : "Kathryn G.", "non-dropping-particle" : "", "parse-names" : false, "suffix" : "" }, { "dropping-particle" : "", "family" : "Aryee", "given" : "Martin", "non-dropping-particle" : "", "parse-names" : false, "suffix" : "" }, { "dropping-particle" : "", "family" : "Atkinson", "given" : "Charles", "non-dropping-particle" : "", "parse-names" : false, "suffix" : "" }, { "dropping-particle" : "", "family" : "Bacchus", "given" : "Loraine J.", "non-dropping-particle" : "", "parse-names" : false, "suffix" : "" }, { "dropping-particle" : "", "family" : "Bahalim", "given" : "Adil N.", "non-dropping-particle" : "", "parse-names" : false, "suffix" : "" }, { "dropping-particle" : "", "family" : "Balakrishnan", "given" : "Kalpana", "non-dropping-particle" : "", "parse-names" : false, "suffix" : "" }, { "dropping-particle" : "", "family" : "Balmes", "given" : "John", "non-dropping-particle" : "", "parse-names" : false, "suffix" : "" }, { "dropping-particle" : "", "family" : "Barker-Collo", "given" : "Suzanne", "non-dropping-particle" : "", "parse-names" : false, "suffix" : "" }, { "dropping-particle" : "", "family" : "Baxter", "given" : "Amanda", "non-dropping-particle" : "", "parse-names" : false, "suffix" : "" }, { "dropping-particle" : "", "family" : "Bell", "given" : "Michelle L.", "non-dropping-particle" : "", "parse-names" : false, "suffix" : "" }, { "dropping-particle" : "", "family" : "Blore", "given" : "Jed D.", "non-dropping-particle" : "", "parse-names" : false, "suffix" : "" }, { "dropping-particle" : "", "family" : "Blyth", "given" : "Fiona", "non-dropping-particle" : "", "parse-names" : false, "suffix" : "" }, { "dropping-particle" : "", "family" : "Bonner", "given" : "Carissa", "non-dropping-particle" : "", "parse-names" : false, "suffix" : "" }, { "dropping-particle" : "", "family" : "Borges", "given" : "Guilherme", "non-dropping-particle" : "", "parse-names" : false, "suffix" : "" }, { "dropping-particle" : "", "family" : "Bourne", "given" : "Rupert", "non-dropping-particle" : "", "parse-names" : false, "suffix" : "" }, { "dropping-particle" : "", "family" : "Boussinesq", "given" : "Michel", "non-dropping-particle" : "", "parse-names" : false, "suffix" : "" }, { "dropping-particle" : "", "family" : "Brauer", "given" : "Michael", "non-dropping-particle" : "", "parse-names" : false, "suffix" : "" }, { "dropping-particle" : "", "family" : "Brooks", "given" : "Peter", "non-dropping-particle" : "", "parse-names" : false, "suffix" : "" }, { "dropping-particle" : "", "family" : "Bruce", "given" : "Nigel G.", "non-dropping-particle" : "", "parse-names" : false, "suffix" : "" }, { "dropping-particle" : "", "family" : "Brunekreef", "given" : "Bert", "non-dropping-particle" : "", "parse-names" : false, "suffix" : "" }, { "dropping-particle" : "", "family" : "Bryan-Hancock", "given" : "Claire", "non-dropping-particle" : "", "parse-names" : false, "suffix" : "" }, { "dropping-particle" : "", "family" : "Bucello", "given" : "Chiara", "non-dropping-particle" : "", "parse-names" : false, "suffix" : "" }, { "dropping-particle" : "", "family" : "Buchbinder", "given" : "Rachelle", "non-dropping-particle" : "", "parse-names" : false, "suffix" : "" }, { "dropping-particle" : "", "family" : "Bull", "given" : "Fiona", "non-dropping-particle" : "", "parse-names" : false, "suffix" : "" }, { "dropping-particle" : "", "family" : "Burnett", "given" : "Richard T.", "non-dropping-particle" : "", "parse-names" : false, "suffix" : "" }, { "dropping-particle" : "", "family" : "Byers", "given" : "Tim E.", "non-dropping-particle" : "", "parse-names" : false, "suffix" : "" }, { "dropping-particle" : "", "family" : "Calabria", "given" : "Bianca", "non-dropping-particle" : "", "parse-names" : false, "suffix" : "" }, { "dropping-particle" : "", "family" : "Carapetis", "given" : "Jonathan", "non-dropping-particle" : "", "parse-names" : false, "suffix" : "" }, { "dropping-particle" : "", "family" : "Carnahan", "given" : "Emily", "non-dropping-particle" : "", "parse-names" : false, "suffix" : "" }, { "dropping-particle" : "", "family" : "Chafe", "given" : "Zoe", "non-dropping-particle" : "", "parse-names" : false, "suffix" : "" }, { "dropping-particle" : "", "family" : "Charlson", "given" : "Fiona", "non-dropping-particle" : "", "parse-names" : false, "suffix" : "" }, { "dropping-particle" : "", "family" : "Chen", "given" : "Honglei", "non-dropping-particle" : "", "parse-names" : false, "suffix" : "" }, { "dropping-particle" : "", "family" : "Chen", "given" : "Jian Shen", "non-dropping-particle" : "", "parse-names" : false, "suffix" : "" }, { "dropping-particle" : "", "family" : "Cheng", "given" : "Andrew Tai-Ann", "non-dropping-particle" : "", "parse-names" : false, "suffix" : "" }, { "dropping-particle" : "", "family" : "Child", "given" : "Jennifer Christine", "non-dropping-particle" : "", "parse-names" : false, "suffix" : "" }, { "dropping-particle" : "", "family" : "Cohen", "given" : "Aaron", "non-dropping-particle" : "", "parse-names" : false, "suffix" : "" }, { "dropping-particle" : "", "family" : "Colson", "given" : "K. Ellicott", "non-dropping-particle" : "", "parse-names" : false, "suffix" : "" }, { "dropping-particle" : "", "family" : "Cowie", "given" : "Benjamin C.", "non-dropping-particle" : "", "parse-names" : false, "suffix" : "" }, { "dropping-particle" : "", "family" : "Darby", "given" : "Sarah", "non-dropping-particle" : "", "parse-names" : false, "suffix" : "" }, { "dropping-particle" : "", "family" : "Darling", "given" : "Susan", "non-dropping-particle" : "", "parse-names" : false, "suffix" : "" }, { "dropping-particle" : "", "family" : "Davis", "given" : "Adrian", "non-dropping-particle" : "", "parse-names" : false, "suffix" : "" }, { "dropping-particle" : "", "family" : "Degenhardt", "given" : "Louisa", "non-dropping-particle" : "", "parse-names" : false, "suffix" : "" }, { "dropping-particle" : "", "family" : "Dentener", "given" : "Frank", "non-dropping-particle" : "", "parse-names" : false, "suffix" : "" }, { "dropping-particle" : "", "family" : "Jarlais", "given" : "Don C.", "non-dropping-particle" : "Des", "parse-names" : false, "suffix" : "" }, { "dropping-particle" : "", "family" : "Devries", "given" : "Karen", "non-dropping-particle" : "", "parse-names" : false, "suffix" : "" }, { "dropping-particle" : "", "family" : "Dherani", "given" : "Mukesh", "non-dropping-particle" : "", "parse-names" : false, "suffix" : "" }, { "dropping-particle" : "", "family" : "Ding", "given" : "Eric L.", "non-dropping-particle" : "", "parse-names" : false, "suffix" : "" }, { "dropping-particle" : "", "family" : "Dorsey", "given" : "E. Ray", "non-dropping-particle" : "", "parse-names" : false, "suffix" : "" }, { "dropping-particle" : "", "family" : "Driscoll", "given" : "Tim", "non-dropping-particle" : "", "parse-names" : false, "suffix" : "" }, { "dropping-particle" : "", "family" : "Edmond", "given" : "Karen", "non-dropping-particle" : "", "parse-names" : false, "suffix" : "" }, { "dropping-particle" : "", "family" : "Ali", "given" : "Suad Eltahir", "non-dropping-particle" : "", "parse-names" : false, "suffix" : "" }, { "dropping-particle" : "", "family" : "Engell", "given" : "Rebecca E.", "non-dropping-particle" : "", "parse-names" : false, "suffix" : "" }, { "dropping-particle" : "", "family" : "Erwin", "given" : "Patricia J.", "non-dropping-particle" : "", "parse-names" : false, "suffix" : "" }, { "dropping-particle" : "", "family" : "Fahimi", "given" : "Saman", "non-dropping-particle" : "", "parse-names" : false, "suffix" : "" }, { "dropping-particle" : "", "family" : "Falder", "given" : "Gail", "non-dropping-particle" : "", "parse-names" : false, "suffix" : "" }, { "dropping-particle" : "", "family" : "Farzadfar", "given" : "Farshad", "non-dropping-particle" : "", "parse-names" : false, "suffix" : "" }, { "dropping-particle" : "", "family" : "Ferrari", "given" : "Alize", "non-dropping-particle" : "", "parse-names" : false, "suffix" : "" }, { "dropping-particle" : "", "family" : "Finucane", "given" : "Mariel M.", "non-dropping-particle" : "", "parse-names" : false, "suffix" : "" }, { "dropping-particle" : "", "family" : "Flaxman", "given" : "Seth", "non-dropping-particle" : "", "parse-names" : false, "suffix" : "" }, { "dropping-particle" : "", "family" : "Fowkes", "given" : "Francis Gerry R", "non-dropping-particle" : "", "parse-names" : false, "suffix" : "" }, { "dropping-particle" : "", "family" : "Freedman", "given" : "Greg", "non-dropping-particle" : "", "parse-names" : false, "suffix" : "" }, { "dropping-particle" : "", "family" : "Freeman", "given" : "Michael K.", "non-dropping-particle" : "", "parse-names" : false, "suffix" : "" }, { "dropping-particle" : "", "family" : "Gakidou", "given" : "Emmanuela", "non-dropping-particle" : "", "parse-names" : false, "suffix" : "" }, { "dropping-particle" : "", "family" : "Ghosh", "given" : "Santu", "non-dropping-particle" : "", "parse-names" : false, "suffix" : "" }, { "dropping-particle" : "", "family" : "Giovannucci", "given" : "Edward", "non-dropping-particle" : "", "parse-names" : false, "suffix" : "" }, { "dropping-particle" : "", "family" : "Gmel", "given" : "Gerhard", "non-dropping-particle" : "", "parse-names" : false, "suffix" : "" }, { "dropping-particle" : "", "family" : "Graham", "given" : "Kathryn", "non-dropping-particle" : "", "parse-names" : false, "suffix" : "" }, { "dropping-particle" : "", "family" : "Grainger", "given" : "Rebecca", "non-dropping-particle" : "", "parse-names" : false, "suffix" : "" }, { "dropping-particle" : "", "family" : "Grant", "given" : "Bridget", "non-dropping-particle" : "", "parse-names" : false, "suffix" : "" }, { "dropping-particle" : "", "family" : "Gunnell", "given" : "David", "non-dropping-particle" : "", "parse-names" : false, "suffix" : "" }, { "dropping-particle" : "", "family" : "Gutierrez", "given" : "Hialy R.", "non-dropping-particle" : "", "parse-names" : false, "suffix" : "" }, { "dropping-particle" : "", "family" : "Hall", "given" : "Wayne", "non-dropping-particle" : "", "parse-names" : false, "suffix" : "" }, { "dropping-particle" : "", "family" : "Hoek", "given" : "Hans W.", "non-dropping-particle" : "", "parse-names" : false, "suffix" : "" }, { "dropping-particle" : "", "family" : "Hogan", "given" : "Anthony", "non-dropping-particle" : "", "parse-names" : false, "suffix" : "" }, { "dropping-particle" : "", "family" : "Hosgood", "given" : "H. Dean", "non-dropping-particle" : "", "parse-names" : false, "suffix" : "" }, { "dropping-particle" : "", "family" : "Hoy", "given" : "Damian", "non-dropping-particle" : "", "parse-names" : false, "suffix" : "" }, { "dropping-particle" : "", "family" : "Hu", "given" : "Howard", "non-dropping-particle" : "", "parse-names" : false, "suffix" : "" }, { "dropping-particle" : "", "family" : "Hubbell", "given" : "Bryan J.", "non-dropping-particle" : "", "parse-names" : false, "suffix" : "" }, { "dropping-particle" : "", "family" : "Hutchings", "given" : "Sally J.", "non-dropping-particle" : "", "parse-names" : false, "suffix" : "" }, { "dropping-particle" : "", "family" : "Ibeanusi", "given" : "Sydney E.", "non-dropping-particle" : "", "parse-names" : false, "suffix" : "" }, { "dropping-particle" : "", "family" : "Jacklyn", "given" : "Gemma L.", "non-dropping-particle" : "", "parse-names" : false, "suffix" : "" }, { "dropping-particle" : "", "family" : "Jasrasaria", "given" : "Rashmi", "non-dropping-particle" : "", "parse-names" : false, "suffix" : "" }, { "dropping-particle" : "", "family" : "Jonas", "given" : "Jost B.", "non-dropping-particle" : "", "parse-names" : false, "suffix" : "" }, { "dropping-particle" : "", "family" : "Kan", "given" : "Haidong", "non-dropping-particle" : "", "parse-names" : false, "suffix" : "" }, { "dropping-particle" : "", "family" : "Kanis", "given" : "John a.", "non-dropping-particle" : "", "parse-names" : false, "suffix" : "" }, { "dropping-particle" : "", "family" : "Kassebaum", "given" : "Nicholas", "non-dropping-particle" : "", "parse-names" : false, "suffix" : "" }, { "dropping-particle" : "", "family" : "Kawakami", "given" : "Norito", "non-dropping-particle" : "", "parse-names" : false, "suffix" : "" }, { "dropping-particle" : "", "family" : "Khang", "given" : "Young-Ho", "non-dropping-particle" : "", "parse-names" : false, "suffix" : "" }, { "dropping-particle" : "", "family" : "Khatibzadeh", "given" : "Shahab", "non-dropping-particle" : "", "parse-names" : false, "suffix" : "" }, { "dropping-particle" : "", "family" : "Khoo", "given" : "Jon-Paul", "non-dropping-particle" : "", "parse-names" : false, "suffix" : "" }, { "dropping-particle" : "", "family" : "Kok", "given" : "Cindy", "non-dropping-particle" : "", "parse-names" : false, "suffix" : "" }, { "dropping-particle" : "", "family" : "Laden", "given" : "Francine", "non-dropping-particle" : "", "parse-names" : false, "suffix" : "" }, { "dropping-particle" : "", "family" : "Lalloo", "given" : "Ratilal", "non-dropping-particle" : "", "parse-names" : false, "suffix" : "" }, { "dropping-particle" : "", "family" : "Lan", "given" : "Qing", "non-dropping-particle" : "", "parse-names" : false, "suffix" : "" }, { "dropping-particle" : "", "family" : "Lathlean", "given" : "Tim", "non-dropping-particle" : "", "parse-names" : false, "suffix" : "" }, { "dropping-particle" : "", "family" : "Leasher", "given" : "Janet L.", "non-dropping-particle" : "", "parse-names" : false, "suffix" : "" }, { "dropping-particle" : "", "family" : "Leigh", "given" : "James", "non-dropping-particle" : "", "parse-names" : false, "suffix" : "" }, { "dropping-particle" : "", "family" : "Li", "given" : "Yang", "non-dropping-particle" : "", "parse-names" : false, "suffix" : "" }, { "dropping-particle" : "", "family" : "Lin", "given" : "John Kent", "non-dropping-particle" : "", "parse-names" : false, "suffix" : "" }, { "dropping-particle" : "", "family" : "Lipshultz", "given" : "Steven E.", "non-dropping-particle" : "", "parse-names" : false, "suffix" : "" }, { "dropping-particle" : "", "family" : "London", "given" : "Stephanie", "non-dropping-particle" : "", "parse-names" : false, "suffix" : "" }, { "dropping-particle" : "", "family" : "Lozano", "given" : "Rafael", "non-dropping-particle" : "", "parse-names" : false, "suffix" : "" }, { "dropping-particle" : "", "family" : "Lu", "given" : "Yuan", "non-dropping-particle" : "", "parse-names" : false, "suffix" : "" }, { "dropping-particle" : "", "family" : "Mak", "given" : "Joelle", "non-dropping-particle" : "", "parse-names" : false, "suffix" : "" }, { "dropping-particle" : "", "family" : "Malekzadeh", "given" : "Reza", "non-dropping-particle" : "", "parse-names" : false, "suffix" : "" }, { "dropping-particle" : "", "family" : "Mallinger", "given" : "Leslie", "non-dropping-particle" : "", "parse-names" : false, "suffix" : "" }, { "dropping-particle" : "", "family" : "Marcenes", "given" : "Wagner", "non-dropping-particle" : "", "parse-names" : false, "suffix" : "" }, { "dropping-particle" : "", "family" : "March", "given" : "Lyn", "non-dropping-particle" : "", "parse-names" : false, "suffix" : "" }, { "dropping-particle" : "", "family" : "Marks", "given" : "Robin", "non-dropping-particle" : "", "parse-names" : false, "suffix" : "" }, { "dropping-particle" : "", "family" : "Martin", "given" : "Randall", "non-dropping-particle" : "", "parse-names" : false, "suffix" : "" }, { "dropping-particle" : "", "family" : "McGale", "given" : "Paul", "non-dropping-particle" : "", "parse-names" : false, "suffix" : "" }, { "dropping-particle" : "", "family" : "McGrath", "given" : "John", "non-dropping-particle" : "", "parse-names" : false, "suffix" : "" }, { "dropping-particle" : "", "family" : "Mehta", "given" : "Sumi", "non-dropping-particle" : "", "parse-names" : false, "suffix" : "" }, { "dropping-particle" : "", "family" : "Mensah", "given" : "George a.", "non-dropping-particle" : "", "parse-names" : false, "suffix" : "" }, { "dropping-particle" : "", "family" : "Merriman", "given" : "Tony R.", "non-dropping-particle" : "", "parse-names" : false, "suffix" : "" }, { "dropping-particle" : "", "family" : "Micha", "given" : "Renata", "non-dropping-particle" : "", "parse-names" : false, "suffix" : "" }, { "dropping-particle" : "", "family" : "Michaud", "given" : "Catherine", "non-dropping-particle" : "", "parse-names" : false, "suffix" : "" }, { "dropping-particle" : "", "family" : "Mishra", "given" : "Vinod", "non-dropping-particle" : "", "parse-names" : false, "suffix" : "" }, { "dropping-particle" : "", "family" : "Mohd Hanafiah", "given" : "Khayriyyah", "non-dropping-particle" : "", "parse-names" : false, "suffix" : "" }, { "dropping-particle" : "", "family" : "Mokdad", "given" : "Ali a.", "non-dropping-particle" : "", "parse-names" : false, "suffix" : "" }, { "dropping-particle" : "", "family" : "Morawska", "given" : "Lidia", "non-dropping-particle" : "", "parse-names" : false, "suffix" : "" }, { "dropping-particle" : "", "family" : "Mozaffarian", "given" : "Dariush", "non-dropping-particle" : "", "parse-names" : false, "suffix" : "" }, { "dropping-particle" : "", "family" : "Murphy", "given" : "Tasha", "non-dropping-particle" : "", "parse-names" : false, "suffix" : "" }, { "dropping-particle" : "", "family" : "Naghavi", "given" : "Mohsen", "non-dropping-particle" : "", "parse-names" : false, "suffix" : "" }, { "dropping-particle" : "", "family" : "Neal", "given" : "Bruce", "non-dropping-particle" : "", "parse-names" : false, "suffix" : "" }, { "dropping-particle" : "", "family" : "Nelson", "given" : "Paul K.", "non-dropping-particle" : "", "parse-names" : false, "suffix" : "" }, { "dropping-particle" : "", "family" : "Nolla", "given" : "Joan Miquel", "non-dropping-particle" : "", "parse-names" : false, "suffix" : "" }, { "dropping-particle" : "", "family" : "Norman", "given" : "Rosana", "non-dropping-particle" : "", "parse-names" : false, "suffix" : "" }, { "dropping-particle" : "", "family" : "Olives", "given" : "Casey", "non-dropping-particle" : "", "parse-names" : false, "suffix" : "" }, { "dropping-particle" : "", "family" : "Omer", "given" : "Saad B.", "non-dropping-particle" : "", "parse-names" : false, "suffix" : "" }, { "dropping-particle" : "", "family" : "Orchard", "given" : "Jessica", "non-dropping-particle" : "", "parse-names" : false, "suffix" : "" }, { "dropping-particle" : "", "family" : "Osborne", "given" : "Richard", "non-dropping-particle" : "", "parse-names" : false, "suffix" : "" }, { "dropping-particle" : "", "family" : "Ostro", "given" : "Bart", "non-dropping-particle" : "", "parse-names" : false, "suffix" : "" }, { "dropping-particle" : "", "family" : "Page", "given" : "Andrew", "non-dropping-particle" : "", "parse-names" : false, "suffix" : "" }, { "dropping-particle" : "", "family" : "Pandey", "given" : "Kiran D.", "non-dropping-particle" : "", "parse-names" : false, "suffix" : "" }, { "dropping-particle" : "", "family" : "Parry", "given" : "Charles D H", "non-dropping-particle" : "", "parse-names" : false, "suffix" : "" }, { "dropping-particle" : "", "family" : "Passmore", "given" : "Erin", "non-dropping-particle" : "", "parse-names" : false, "suffix" : "" }, { "dropping-particle" : "", "family" : "Patra", "given" : "Jayadeep", "non-dropping-particle" : "", "parse-names" : false, "suffix" : "" }, { "dropping-particle" : "", "family" : "Pearce", "given" : "Neil", "non-dropping-particle" : "", "parse-names" : false, "suffix" : "" }, { "dropping-particle" : "", "family" : "Pelizzari", "given" : "Pamela M.", "non-dropping-particle" : "", "parse-names" : false, "suffix" : "" }, { "dropping-particle" : "", "family" : "Petzold", "given" : "Max", "non-dropping-particle" : "", "parse-names" : false, "suffix" : "" }, { "dropping-particle" : "", "family" : "Phillips", "given" : "Michael R.", "non-dropping-particle" : "", "parse-names" : false, "suffix" : "" }, { "dropping-particle" : "", "family" : "Pope", "given" : "Dan", "non-dropping-particle" : "", "parse-names" : false, "suffix" : "" }, { "dropping-particle" : "", "family" : "Pope", "given" : "C. Arden", "non-dropping-particle" : "", "parse-names" : false, "suffix" : "" }, { "dropping-particle" : "", "family" : "Powles", "given" : "John", "non-dropping-particle" : "", "parse-names" : false, "suffix" : "" }, { "dropping-particle" : "", "family" : "Rao", "given" : "Mayuree", "non-dropping-particle" : "", "parse-names" : false, "suffix" : "" }, { "dropping-particle" : "", "family" : "Razavi", "given" : "Homie", "non-dropping-particle" : "", "parse-names" : false, "suffix" : "" }, { "dropping-particle" : "", "family" : "Rehfuess", "given" : "Eva a.", "non-dropping-particle" : "", "parse-names" : false, "suffix" : "" }, { "dropping-particle" : "", "family" : "Rehm", "given" : "J\u00fcrgen T.", "non-dropping-particle" : "", "parse-names" : false, "suffix" : "" }, { "dropping-particle" : "", "family" : "Ritz", "given" : "Beate", "non-dropping-particle" : "", "parse-names" : false, "suffix" : "" }, { "dropping-particle" : "", "family" : "Rivara", "given" : "Frederick P.", "non-dropping-particle" : "", "parse-names" : false, "suffix" : "" }, { "dropping-particle" : "", "family" : "Roberts", "given" : "Thomas", "non-dropping-particle" : "", "parse-names" : false, "suffix" : "" }, { "dropping-particle" : "", "family" : "Robinson", "given" : "Carolyn", "non-dropping-particle" : "", "parse-names" : false, "suffix" : "" }, { "dropping-particle" : "", "family" : "Rodriguez-Portales", "given" : "Jose a.", "non-dropping-particle" : "", "parse-names" : false, "suffix" : "" }, { "dropping-particle" : "", "family" : "Romieu", "given" : "Isabelle", "non-dropping-particle" : "", "parse-names" : false, "suffix" : "" }, { "dropping-particle" : "", "family" : "Room", "given" : "Robin", "non-dropping-particle" : "", "parse-names" : false, "suffix" : "" }, { "dropping-particle" : "", "family" : "Rosenfeld", "given" : "Lisa C.", "non-dropping-particle" : "", "parse-names" : false, "suffix" : "" }, { "dropping-particle" : "", "family" : "Roy", "given" : "Ananya", "non-dropping-particle" : "", "parse-names" : false, "suffix" : "" }, { "dropping-particle" : "", "family" : "Rushton", "given" : "Lesley", "non-dropping-particle" : "", "parse-names" : false, "suffix" : "" }, { "dropping-particle" : "", "family" : "Salomon", "given" : "Joshua a.", "non-dropping-particle" : "", "parse-names" : false, "suffix" : "" }, { "dropping-particle" : "", "family" : "Sampson", "given" : "Uchechukwu", "non-dropping-particle" : "", "parse-names" : false, "suffix" : "" }, { "dropping-particle" : "", "family" : "Sanchez-Riera", "given" : "Lidia", "non-dropping-particle" : "", "parse-names" : false, "suffix" : "" }, { "dropping-particle" : "", "family" : "Sanman", "given" : "Ella", "non-dropping-particle" : "", "parse-names" : false, "suffix" : "" }, { "dropping-particle" : "", "family" : "Sapkota", "given" : "Amir", "non-dropping-particle" : "", "parse-names" : false, "suffix" : "" }, { "dropping-particle" : "", "family" : "Seedat", "given" : "Soraya", "non-dropping-particle" : "", "parse-names" : false, "suffix" : "" }, { "dropping-particle" : "", "family" : "Shi", "given" : "Peilin", "non-dropping-particle" : "", "parse-names" : false, "suffix" : "" }, { "dropping-particle" : "", "family" : "Shield", "given" : "Kevin", "non-dropping-particle" : "", "parse-names" : false, "suffix" : "" }, { "dropping-particle" : "", "family" : "Shivakoti", "given" : "Rupak", "non-dropping-particle" : "", "parse-names" : false, "suffix" : "" }, { "dropping-particle" : "", "family" : "Singh", "given" : "Gitanjali M.", "non-dropping-particle" : "", "parse-names" : false, "suffix" : "" }, { "dropping-particle" : "", "family" : "Sleet", "given" : "David a.", "non-dropping-particle" : "", "parse-names" : false, "suffix" : "" }, { "dropping-particle" : "", "family" : "Smith", "given" : "Emma", "non-dropping-particle" : "", "parse-names" : false, "suffix" : "" }, { "dropping-particle" : "", "family" : "Smith", "given" : "Kirk R.", "non-dropping-particle" : "", "parse-names" : false, "suffix" : "" }, { "dropping-particle" : "", "family" : "Stapelberg", "given" : "Nicolas J C", "non-dropping-particle" : "", "parse-names" : false, "suffix" : "" }, { "dropping-particle" : "", "family" : "Steenland", "given" : "Kyle", "non-dropping-particle" : "", "parse-names" : false, "suffix" : "" }, { "dropping-particle" : "", "family" : "St\u00f6ckl", "given" : "Heidi", "non-dropping-particle" : "", "parse-names" : false, "suffix" : "" }, { "dropping-particle" : "", "family" : "Stovner", "given" : "Lars Jacob", "non-dropping-particle" : "", "parse-names" : false, "suffix" : "" }, { "dropping-particle" : "", "family" : "Straif", "given" : "Kurt", "non-dropping-particle" : "", "parse-names" : false, "suffix" : "" }, { "dropping-particle" : "", "family" : "Straney", "given" : "Lahn", "non-dropping-particle" : "", "parse-names" : false, "suffix" : "" }, { "dropping-particle" : "", "family" : "Thurston", "given" : "George D.", "non-dropping-particle" : "", "parse-names" : false, "suffix" : "" }, { "dropping-particle" : "", "family" : "Tran", "given" : "Jimmy H.", "non-dropping-particle" : "", "parse-names" : false, "suffix" : "" }, { "dropping-particle" : "", "family" : "Dingenen", "given" : "Rita", "non-dropping-particle" : "Van", "parse-names" : false, "suffix" : "" }, { "dropping-particle" : "", "family" : "Donkelaar", "given" : "Aaron", "non-dropping-particle" : "van", "parse-names" : false, "suffix" : "" }, { "dropping-particle" : "", "family" : "Veerman", "given" : "J. Lennert", "non-dropping-particle" : "", "parse-names" : false, "suffix" : "" }, { "dropping-particle" : "", "family" : "Vijayakumar", "given" : "Lakshmi", "non-dropping-particle" : "", "parse-names" : false, "suffix" : "" }, { "dropping-particle" : "", "family" : "Weintraub", "given" : "Robert", "non-dropping-particle" : "", "parse-names" : false, "suffix" : "" }, { "dropping-particle" : "", "family" : "Weissman", "given" : "Myrna M.", "non-dropping-particle" : "", "parse-names" : false, "suffix" : "" }, { "dropping-particle" : "", "family" : "White", "given" : "Richard a.", "non-dropping-particle" : "", "parse-names" : false, "suffix" : "" }, { "dropping-particle" : "", "family" : "Whiteford", "given" : "Harvey", "non-dropping-particle" : "", "parse-names" : false, "suffix" : "" }, { "dropping-particle" : "", "family" : "Wiersma", "given" : "Steven T.", "non-dropping-particle" : "", "parse-names" : false, "suffix" : "" }, { "dropping-particle" : "", "family" : "Wilkinson", "given" : "James D.", "non-dropping-particle" : "", "parse-names" : false, "suffix" : "" }, { "dropping-particle" : "", "family" : "Williams", "given" : "Hywel C", "non-dropping-particle" : "", "parse-names" : false, "suffix" : "" }, { "dropping-particle" : "", "family" : "Williams", "given" : "Warwick", "non-dropping-particle" : "", "parse-names" : false, "suffix" : "" }, { "dropping-particle" : "", "family" : "Wilson", "given" : "Nicholas", "non-dropping-particle" : "", "parse-names" : false, "suffix" : "" }, { "dropping-particle" : "", "family" : "Woolf", "given" : "Anthony D.", "non-dropping-particle" : "", "parse-names" : false, "suffix" : "" }, { "dropping-particle" : "", "family" : "Yip", "given" : "Paul", "non-dropping-particle" : "", "parse-names" : false, "suffix" : "" }, { "dropping-particle" : "", "family" : "Zielinski", "given" : "Jan M.", "non-dropping-particle" : "", "parse-names" : false, "suffix" : "" }, { "dropping-particle" : "", "family" : "Lopez", "given" : "Alan D.", "non-dropping-particle" : "", "parse-names" : false, "suffix" : "" }, { "dropping-particle" : "", "family" : "Murray", "given" : "Christopher J L", "non-dropping-particle" : "", "parse-names" : false, "suffix" : "" }, { "dropping-particle" : "", "family" : "Ezzati", "given" : "Majid", "non-dropping-particle" : "", "parse-names" : false, "suffix" : "" }, { "dropping-particle" : "", "family" : "AlMazroa", "given" : "Mohammad A", "non-dropping-particle" : "", "parse-names" : false, "suffix" : "" }, { "dropping-particle" : "", "family" : "Memish", "given" : "Ziad A", "non-dropping-particle" : "", "parse-names" : false, "suffix" : "" } ], "container-title" : "Lancet (London, England)", "id" : "ITEM-1", "issue" : "9859", "issued" : { "date-parts" : [ [ "2012", "12", "15" ] ] }, "page" : "2224-60", "title" : "A comparative risk assessment of burden of disease and injury attributable to 67 risk factors and risk factor clusters in 21 regions, 1990-2010: a systematic analysis for the Global Burden of Disease Study 2010.", "type" : "article-journal", "volume" : "380" }, "uris" : [ "http://www.mendeley.com/documents/?uuid=cde76e8c-e9ce-40d1-b6c9-e6c55399cb8f" ] }, { "id" : "ITEM-2", "itemData" : { "ISSN" : "1098-4275", "PMID" : "12897318", "abstract" : "Rickets, a disease of vitamin D deficiency, is rarely confronted by the practicing pediatrician in the United States today. At the turn of the 20th century, rickets was rampant among the poor children living in the industrialized and polluted northern cities of the United States. With the discovery of vitamin D and the delineation of the anti-rachitic properties of cod-liver oil by the 1930s, it became possible to not only treat but also eradicate rickets in the United States. Rickets was a common disease in 17th century England. Frances Glisson's treatise on rickets published in 1650, a glorious contribution to English medicine, described the clinical and anatomic features of rickets in great detail. The exact etiology of rickets had been elusive until the 1920s. During the Glissonian era, rickets was a mysterious disease. By the late 19th and early 20th century, faulty diet or faulty environment (poor hygiene, lack of fresh air and sunshine) or lack of exercise was implicated in its etiology. Animal experiments, appreciation of folklore advocating the benefits of cod-liver oil, and the geographical association of rickets to lack of sunshine were all relevant factors in the advancement of knowledge in the conquest of this malady. In this article, the history of rickets pertaining to the discovery of vitamin D, cod-liver oil, and sunlight is reviewed.", "author" : [ { "dropping-particle" : "", "family" : "Rajakumar", "given" : "Kumaravel", "non-dropping-particle" : "", "parse-names" : false, "suffix" : "" } ], "container-title" : "Pediatrics", "id" : "ITEM-2", "issue" : "2", "issued" : { "date-parts" : [ [ "2003", "8" ] ] }, "page" : "e132-5", "title" : "Vitamin D, cod-liver oil, sunlight, and rickets: a historical perspective.", "type" : "article-journal", "volume" : "112" }, "uris" : [ "http://www.mendeley.com/documents/?uuid=78697f48-e135-4d3f-8e78-f9ed2cf0fd8a" ] }, { "id" : "ITEM-3", "itemData" : { "DOI" : "10.3945/an.115.011718", "ISSN" : "2156-5376", "PMID" : "27184272", "abstract" : "Dietary guidelines provide evidence-based statements on food choices to meet nutritional requirements and reduce the risk of prevailing chronic disease. They involve a substantial amount of research translation, and their implementation has important health consequences. Foods, however, are complex combinations of nutrients and other compounds that act synergistically within the food and across food combinations. In addition, the evidence base underpinning dietary guidelines accesses research that reflects different study designs, with inherent strengths and limitations. We propose a systematic approach for the review of evidence that begins with research on dietary patterns. This research will identify the combinations of foods that best protect, or appear deleterious to, health. Next, we suggest that evidence be sought from research that focuses on the effects of individual foods. Finally, nutrient-based research should be considered to explain the mechanisms by which these foods and dietary patterns exert their effects, take into account the effects of ingredients added to the food supply, and enable assessments of dietary sufficiency. The consideration of individual nutrients and food components (e.g., upper limits for saturated fat, added sugar, and sodium) provides important benchmarks for evaluating overall diet quality. The concepts of core and discretionary foods (nutrient-rich and nutrient-poor foods, respectively) enable distinctions between foods, and this has implications for the relation between food policy and food manufacturing. In summary, evidence supporting healthy dietary patterns provides the foundation for the development of dietary guidelines. Further reference to individual foods and nutrients follows from the foundation of healthy dietary patterns.", "author" : [ { "dropping-particle" : "", "family" : "Tapsell", "given" : "L. C.", "non-dropping-particle" : "", "parse-names" : false, "suffix" : "" }, { "dropping-particle" : "", "family" : "Neale", "given" : "E. P.", "non-dropping-particle" : "", "parse-names" : false, "suffix" : "" }, { "dropping-particle" : "", "family" : "Satija", "given" : "A.", "non-dropping-particle" : "", "parse-names" : false, "suffix" : "" }, { "dropping-particle" : "", "family" : "Hu", "given" : "F. B.", "non-dropping-particle" : "", "parse-names" : false, "suffix" : "" } ], "container-title" : "Advances in Nutrition: An International Review Journal", "id" : "ITEM-3", "issue" : "3", "issued" : { "date-parts" : [ [ "2016" ] ] }, "page" : "445-454", "title" : "Foods, Nutrients, and Dietary Patterns: Interconnections and Implications for Dietary Guidelines", "type" : "article-journal", "volume" : "7" }, "uris" : [ "http://www.mendeley.com/documents/?uuid=cccd6b8f-5f65-4507-8e90-fa87c05ac81d" ] } ], "mendeley" : { "formattedCitation" : "&lt;sup&gt;(1\u20133)&lt;/sup&gt;", "plainTextFormattedCitation" : "(1\u20133)", "previouslyFormattedCitation" : "&lt;sup&gt;(1\u20133)&lt;/sup&gt;" }, "properties" : { "noteIndex" : 0 }, "schema" : "https://github.com/citation-style-language/schema/raw/master/csl-citation.json" }</w:instrText>
      </w:r>
      <w:r w:rsidR="00472589">
        <w:fldChar w:fldCharType="separate"/>
      </w:r>
      <w:r w:rsidR="00F30F58" w:rsidRPr="00F30F58">
        <w:rPr>
          <w:noProof/>
          <w:vertAlign w:val="superscript"/>
        </w:rPr>
        <w:t>(1–3)</w:t>
      </w:r>
      <w:r w:rsidR="00472589">
        <w:fldChar w:fldCharType="end"/>
      </w:r>
      <w:r w:rsidR="000C21AB">
        <w:t>.  These lifestyle diseases are multifactorial, where diet/nutrients play a role in disease development</w:t>
      </w:r>
      <w:r w:rsidR="00470DB1">
        <w:t>; however,</w:t>
      </w:r>
      <w:r w:rsidR="000C21AB">
        <w:t xml:space="preserve"> more than a narrow focus on micronutrients is necessary</w:t>
      </w:r>
      <w:r w:rsidR="007B6FC0">
        <w:t xml:space="preserve"> to treat</w:t>
      </w:r>
      <w:r w:rsidR="00234F08">
        <w:t xml:space="preserve"> or prevent</w:t>
      </w:r>
      <w:r w:rsidR="007B6FC0">
        <w:t xml:space="preserve"> them</w:t>
      </w:r>
      <w:r w:rsidR="000C21AB" w:rsidRPr="589C4AF9">
        <w:t>.</w:t>
      </w:r>
    </w:p>
    <w:p w14:paraId="2AADC5EA" w14:textId="21305514" w:rsidR="001D7FEA" w:rsidRDefault="003723E1" w:rsidP="007D2DEC">
      <w:r>
        <w:t>Yet</w:t>
      </w:r>
      <w:r w:rsidR="000C21AB">
        <w:t>, dietary supplements remain popular in the general population</w:t>
      </w:r>
      <w:r w:rsidR="007B6FC0">
        <w:t xml:space="preserve"> where supplement users have been labelled as the ‘worried well’</w:t>
      </w:r>
      <w:r w:rsidR="000C21AB">
        <w:t xml:space="preserve">.  </w:t>
      </w:r>
      <w:r w:rsidR="000827B3">
        <w:t>Positive beliefs</w:t>
      </w:r>
      <w:r w:rsidR="007B6FC0">
        <w:t xml:space="preserve"> about supplements</w:t>
      </w:r>
      <w:r w:rsidR="000827B3">
        <w:t xml:space="preserve">, such as </w:t>
      </w:r>
      <w:r w:rsidR="00EF6AC0" w:rsidRPr="00EF6AC0">
        <w:t>“Help me to be healthy”, “Stop me getting ill”, “Not do me any harm” and “Be the best I can do for myself”</w:t>
      </w:r>
      <w:r w:rsidR="000827B3">
        <w:t xml:space="preserve"> have been observed among supplement users in the UK</w:t>
      </w:r>
      <w:r w:rsidR="00EF6AC0" w:rsidRPr="00EF6AC0">
        <w:t xml:space="preserve"> </w:t>
      </w:r>
      <w:r w:rsidR="00EF6AC0" w:rsidRPr="00EF6AC0">
        <w:fldChar w:fldCharType="begin" w:fldLock="1"/>
      </w:r>
      <w:r w:rsidR="00C1396B">
        <w:instrText>ADDIN CSL_CITATION { "citationItems" : [ { "id" : "ITEM-1", "itemData" : { "ISSN" : "0277-9536", "PMID" : "11206658", "abstract" : "Dietary supplements use is increasing, despite the lack of evidence to suggest they are needed to meet dietary deficiency in the majority of people. Reasons for consuming dietary supplements are likely to be complex, combining social, psychological, knowledge and economic factors. The Theory of Planned Behaviour (TPB) is a widely used model of social cognition, which has recently been applied to the nutrition field. It was used in a questionnaire, along with a number of additional measures, to explore dietary supplement use in a cohort of women. Data from 303 questionnaires were included in the analysis. The results showed that intentions were the major predictor of dietary supplement use. Health value and susceptibility to illness were also significant predictors of dietary supplement use (total of 82.9% of respondents correctly classified as users or non-users). Intentions themselves were most strongly predicted by attitude, with 70% of variance explained by attitude, subjective norms and perceived behavioural control. Other significant predictors of intentions were control beliefs, normative beliefs and health value. Beliefs underlying dietary supplement use revealed differences between supplement users and non-users in relation to the notion that taking dietary supplements acts as an insurance against possible ill-health, with supplement users believing more strongly than non-users that taking dietary supplements would stop them getting ill and help them to be healthy. Both users and non-users of supplements also perceived the media, in the form of books and magazines, to be a powerful influence on a person's decision to use supplements. The findings of this study highlight the potential of the TPB in exploring supplement-taking behaviour, while throwing light on the factors influencing an individual's motivations to use dietary supplements.", "author" : [ { "dropping-particle" : "", "family" : "Conner", "given" : "M", "non-dropping-particle" : "", "parse-names" : false, "suffix" : "" }, { "dropping-particle" : "", "family" : "Kirk", "given" : "S F", "non-dropping-particle" : "", "parse-names" : false, "suffix" : "" }, { "dropping-particle" : "", "family" : "Cade", "given" : "J E", "non-dropping-particle" : "", "parse-names" : false, "suffix" : "" }, { "dropping-particle" : "", "family" : "Barrett", "given" : "J H", "non-dropping-particle" : "", "parse-names" : false, "suffix" : "" } ], "container-title" : "Social science &amp; medicine (1982)", "id" : "ITEM-1", "issue" : "4", "issued" : { "date-parts" : [ [ "2001", "3" ] ] }, "page" : "621-33", "title" : "Why do women use dietary supplements? The use of the theory of planned behaviour to explore beliefs about their use.", "type" : "article", "volume" : "52" }, "uris" : [ "http://www.mendeley.com/documents/?uuid=df25b955-2ac7-4147-bd4d-29989131d560" ] } ], "mendeley" : { "formattedCitation" : "&lt;sup&gt;(4)&lt;/sup&gt;", "plainTextFormattedCitation" : "(4)", "previouslyFormattedCitation" : "&lt;sup&gt;(4)&lt;/sup&gt;" }, "properties" : { "noteIndex" : 0 }, "schema" : "https://github.com/citation-style-language/schema/raw/master/csl-citation.json" }</w:instrText>
      </w:r>
      <w:r w:rsidR="00EF6AC0" w:rsidRPr="00EF6AC0">
        <w:fldChar w:fldCharType="separate"/>
      </w:r>
      <w:r w:rsidR="00F30F58" w:rsidRPr="00F30F58">
        <w:rPr>
          <w:noProof/>
          <w:vertAlign w:val="superscript"/>
        </w:rPr>
        <w:t>(4)</w:t>
      </w:r>
      <w:r w:rsidR="00EF6AC0" w:rsidRPr="00EF6AC0">
        <w:fldChar w:fldCharType="end"/>
      </w:r>
      <w:r w:rsidR="00EF6AC0" w:rsidRPr="00EF6AC0">
        <w:t xml:space="preserve">. </w:t>
      </w:r>
      <w:r w:rsidR="00D33BC7">
        <w:t xml:space="preserve"> </w:t>
      </w:r>
      <w:r w:rsidR="00043FD1">
        <w:t xml:space="preserve">A </w:t>
      </w:r>
      <w:r w:rsidR="007B6FC0">
        <w:t xml:space="preserve">Dutch </w:t>
      </w:r>
      <w:r w:rsidR="00043FD1">
        <w:t>survey found that 61% thought that supplements were ‘sufficiently proven’ and 48% believe</w:t>
      </w:r>
      <w:r w:rsidR="000827B3">
        <w:t>d</w:t>
      </w:r>
      <w:r w:rsidR="00043FD1">
        <w:t xml:space="preserve"> that supplements were ‘an easy way to stay healthy’</w:t>
      </w:r>
      <w:r w:rsidR="007B6FC0">
        <w:t xml:space="preserve"> </w:t>
      </w:r>
      <w:r w:rsidR="007B6FC0">
        <w:fldChar w:fldCharType="begin" w:fldLock="1"/>
      </w:r>
      <w:r w:rsidR="00C1396B">
        <w:instrText>ADDIN CSL_CITATION { "citationItems" : [ { "id" : "ITEM-1", "itemData" : { "DOI" : "10.1079/BJN2002772", "ISSN" : "0007-1145", "PMID" : "12575912", "abstract" : "Functional foods and/or supplements may be used in the context of a healthy lifestyle or as a means to compensate for an unhealthy lifestyle. Adverse long-term and/or cumulative effects of functional food or supplement intake are of public health concern; it is therefore important to identify functional food and supplement users. The present study compared Dutch functional food and supplement consumers with non-consumers with regard to demographic and lifestyle factors. The consumption of the most common functional foods and supplements in 2000 was studied (yoghurt with extra lactic acid bacteria, cholesterol-lowering margarine, lemonade and sweets with extra vitamins and minerals, milk and margarine with extra Ca, Ca tablets, multivitamin and mineral supplements, and Echinacea supplements). Data were obtained from self-administered questionnaires filled in by a consumer panel, aged 19-91 years (response rate 76 %, n 1183), representative of the Dutch population. The number of daily consumers of functional foods or supplements appeared to be relatively low (daily use of multivitamin and mineral supplements, 20 %; all other products, 3-9 %). Explanatory variables depended on the type of product; but gender, age, education, and vegetable intake were significant factors in the logistic regression model. Consumption of cholesterol-lowering margarines was more likely to be reported by individuals with a poorer subjective health (odds ratio 2.62 (95 % CI 1.15, 6.05)) and by smokers (odds ratio 2.93 (95 % CI 1.34, 6.40)). In conclusion, determinants of functional food or supplement use depended on the type of product, so generalisation of consumer characteristics over different foods is not legitimate. In addition to research on lifestyle factors, surveys about consumers' attitudes, norms and knowledge regarding functional foods in relation to actual dietary patterns and health risk profiles are necessary.", "author" : [ { "dropping-particle" : "", "family" : "Jong", "given" : "Nynke", "non-dropping-particle" : "de", "parse-names" : false, "suffix" : "" }, { "dropping-particle" : "", "family" : "Ock\u00e9", "given" : "Marga C", "non-dropping-particle" : "", "parse-names" : false, "suffix" : "" }, { "dropping-particle" : "", "family" : "Branderhorst", "given" : "Hester A C", "non-dropping-particle" : "", "parse-names" : false, "suffix" : "" }, { "dropping-particle" : "", "family" : "Friele", "given" : "Roland", "non-dropping-particle" : "", "parse-names" : false, "suffix" : "" } ], "container-title" : "The British journal of nutrition", "id" : "ITEM-1", "issue" : "2", "issued" : { "date-parts" : [ [ "2003", "2" ] ] }, "page" : "273-81", "title" : "Demographic and lifestyle characteristics of functional food consumers and dietary supplement users.", "type" : "article-journal", "volume" : "89" }, "uris" : [ "http://www.mendeley.com/documents/?uuid=cb266ef5-4d4b-4f63-95d3-8c55a76394fd" ] } ], "mendeley" : { "formattedCitation" : "&lt;sup&gt;(5)&lt;/sup&gt;", "plainTextFormattedCitation" : "(5)", "previouslyFormattedCitation" : "&lt;sup&gt;(5)&lt;/sup&gt;" }, "properties" : { "noteIndex" : 0 }, "schema" : "https://github.com/citation-style-language/schema/raw/master/csl-citation.json" }</w:instrText>
      </w:r>
      <w:r w:rsidR="007B6FC0">
        <w:fldChar w:fldCharType="separate"/>
      </w:r>
      <w:r w:rsidR="00F30F58" w:rsidRPr="00F30F58">
        <w:rPr>
          <w:noProof/>
          <w:vertAlign w:val="superscript"/>
        </w:rPr>
        <w:t>(5)</w:t>
      </w:r>
      <w:r w:rsidR="007B6FC0">
        <w:fldChar w:fldCharType="end"/>
      </w:r>
      <w:r w:rsidR="00043FD1">
        <w:t xml:space="preserve">. </w:t>
      </w:r>
      <w:r w:rsidR="007B6FC0">
        <w:t xml:space="preserve"> Also in NHANES (US)</w:t>
      </w:r>
      <w:r w:rsidR="00983428">
        <w:t xml:space="preserve">, </w:t>
      </w:r>
      <w:r w:rsidR="007B6FC0">
        <w:t>reasons</w:t>
      </w:r>
      <w:r w:rsidR="0073572D">
        <w:t xml:space="preserve"> for supplement use</w:t>
      </w:r>
      <w:r w:rsidR="007B6FC0">
        <w:t xml:space="preserve"> relat</w:t>
      </w:r>
      <w:r w:rsidR="004B0830">
        <w:t>e</w:t>
      </w:r>
      <w:r w:rsidR="007B6FC0">
        <w:t xml:space="preserve"> to disease prevention</w:t>
      </w:r>
      <w:r w:rsidR="00936E61">
        <w:t>/</w:t>
      </w:r>
      <w:r w:rsidR="007B6FC0">
        <w:t xml:space="preserve">treatment </w:t>
      </w:r>
      <w:r w:rsidR="00936E61">
        <w:t>and supplementing the diet</w:t>
      </w:r>
      <w:r w:rsidR="007B6FC0">
        <w:t xml:space="preserve"> </w:t>
      </w:r>
      <w:r w:rsidR="007B6FC0">
        <w:fldChar w:fldCharType="begin" w:fldLock="1"/>
      </w:r>
      <w:r w:rsidR="00C1396B">
        <w:instrText>ADDIN CSL_CITATION { "citationItems" : [ { "id" : "ITEM-1", "itemData" : { "ISSN" : "2168-6114", "PMID" : "23381623", "abstract" : "BACKGROUND: Dietary supplements are used by more than half of adults, although to our knowledge, the reasons motivating use have not been previously examined in US adults using nationally representative data. The purpose of this analysis was to examine motivations for dietary supplement use, characterize the types of products used for the most commonly reported motivations, and to examine the role of physicians and health care practitioners in guiding choices about dietary supplements. METHODS: Data from adults (\u226520 years; n = 11 956) were examined in the 2007-2010 National Health and Nutrition Examination Survey, a nationally representative, cross-sectional, population-based survey. RESULTS: The most commonly reported reasons for using supplements were to \"improve\" (45%) or \"maintain\" (33%) overall health. Women used calcium products for \"bone health\" (36%), whereas men were more likely to report supplement use for \"heart health or to lower cholesterol\" (18%). Older adults (\u226560 years) were more likely than younger individuals to report motivations related to site-specific reasons like heart, bone and joint, and eye health. Only 23% of products were used based on recommendations of a health care provider. Multivitamin-mineral products were the most frequently reported type of supplement taken, followed by calcium and \u03c9-3 or fish oil supplements. Supplement users are more likely to report very good or excellent health, have health insurance, use alcohol moderately, eschew cigarette smoking, and exercise more frequently than nonusers. CONCLUSIONS: Supplement users reported motivations related to overall health more commonly than for supplementing nutrients from food intakes. Use of supplements was related to more favorable health and lifestyle choices. Less than a quarter of supplements used by adults were recommended by a physician or health care provider.", "author" : [ { "dropping-particle" : "", "family" : "Bailey", "given" : "Regan L", "non-dropping-particle" : "", "parse-names" : false, "suffix" : "" }, { "dropping-particle" : "", "family" : "Gahche", "given" : "Jaime J", "non-dropping-particle" : "", "parse-names" : false, "suffix" : "" }, { "dropping-particle" : "", "family" : "Miller", "given" : "Paige E", "non-dropping-particle" : "", "parse-names" : false, "suffix" : "" }, { "dropping-particle" : "", "family" : "Thomas", "given" : "Paul R", "non-dropping-particle" : "", "parse-names" : false, "suffix" : "" }, { "dropping-particle" : "", "family" : "Dwyer", "given" : "Johanna T", "non-dropping-particle" : "", "parse-names" : false, "suffix" : "" } ], "container-title" : "JAMA internal medicine", "id" : "ITEM-1", "issue" : "5", "issued" : { "date-parts" : [ [ "2013", "3", "11" ] ] }, "page" : "355-61", "title" : "Why US adults use dietary supplements.", "type" : "article-journal", "volume" : "173" }, "uris" : [ "http://www.mendeley.com/documents/?uuid=779eb30b-3d88-4f93-a09c-5967176d3c7a" ] } ], "mendeley" : { "formattedCitation" : "&lt;sup&gt;(6)&lt;/sup&gt;", "plainTextFormattedCitation" : "(6)", "previouslyFormattedCitation" : "&lt;sup&gt;(6)&lt;/sup&gt;" }, "properties" : { "noteIndex" : 0 }, "schema" : "https://github.com/citation-style-language/schema/raw/master/csl-citation.json" }</w:instrText>
      </w:r>
      <w:r w:rsidR="007B6FC0">
        <w:fldChar w:fldCharType="separate"/>
      </w:r>
      <w:r w:rsidR="00F30F58" w:rsidRPr="00F30F58">
        <w:rPr>
          <w:noProof/>
          <w:vertAlign w:val="superscript"/>
        </w:rPr>
        <w:t>(6)</w:t>
      </w:r>
      <w:r w:rsidR="007B6FC0">
        <w:fldChar w:fldCharType="end"/>
      </w:r>
      <w:r w:rsidR="007B6FC0">
        <w:t xml:space="preserve">.  </w:t>
      </w:r>
      <w:r w:rsidR="00936E61">
        <w:t>These</w:t>
      </w:r>
      <w:r w:rsidR="00043FD1">
        <w:t xml:space="preserve"> opinions are in contrast </w:t>
      </w:r>
      <w:r w:rsidR="00936E61">
        <w:t>with</w:t>
      </w:r>
      <w:r w:rsidR="00043FD1">
        <w:t xml:space="preserve"> public health guidelines</w:t>
      </w:r>
      <w:r w:rsidR="005456A5" w:rsidRPr="005456A5">
        <w:t xml:space="preserve"> </w:t>
      </w:r>
      <w:r w:rsidR="005456A5">
        <w:t>in these countries</w:t>
      </w:r>
      <w:r w:rsidR="00043FD1">
        <w:t>, where there is -in general- no role for supplement use</w:t>
      </w:r>
      <w:r w:rsidR="00936E61">
        <w:t xml:space="preserve"> </w:t>
      </w:r>
      <w:r w:rsidR="00AE18C9">
        <w:t>for adults</w:t>
      </w:r>
      <w:r w:rsidR="00043FD1">
        <w:t>, apart from illness/special conditions, and more recently</w:t>
      </w:r>
      <w:r w:rsidR="00F44E4B">
        <w:t>, for</w:t>
      </w:r>
      <w:r w:rsidR="00043FD1">
        <w:t xml:space="preserve"> vitamin D supplementation in at risk groups</w:t>
      </w:r>
      <w:r w:rsidR="00936E61">
        <w:t xml:space="preserve"> in the UK</w:t>
      </w:r>
      <w:r w:rsidR="00AE18C9">
        <w:t xml:space="preserve"> </w:t>
      </w:r>
      <w:r w:rsidR="00AE18C9">
        <w:fldChar w:fldCharType="begin" w:fldLock="1"/>
      </w:r>
      <w:r w:rsidR="00C1396B">
        <w:instrText>ADDIN CSL_CITATION { "citationItems" : [ { "id" : "ITEM-1", "itemData" : { "URL" : "https://www.gov.uk/government/uploads/system/uploads/attachment_data/file/618167/government_dietary_recommendations.pdf", "abstract" : "Dietary recommendations incl fibre", "accessed" : { "date-parts" : [ [ "2018", "1", "14" ] ] }, "author" : [ { "dropping-particle" : "", "family" : "Public Health England Nutrition Science Team", "given" : "", "non-dropping-particle" : "", "parse-names" : false, "suffix" : "" } ], "id" : "ITEM-1", "issued" : { "date-parts" : [ [ "2016" ] ] }, "page" : "1-12", "title" : "Government Dietary Recommendations: Government recommendations for food energy and nutrients for males and females aged 1-18 years and 19+ years", "type" : "webpage" }, "uris" : [ "http://www.mendeley.com/documents/?uuid=787c9458-c9dd-4fc9-9548-e67fab66c9c0" ] }, { "id" : "ITEM-2", "itemData" : { "author" : [ { "dropping-particle" : "", "family" : "SACN", "given" : "", "non-dropping-particle" : "", "parse-names" : false, "suffix" : "" } ], "id" : "ITEM-2", "issued" : { "date-parts" : [ [ "2016" ] ] }, "title" : "Vitamin D and Health", "type" : "report" }, "uris" : [ "http://www.mendeley.com/documents/?uuid=96d72d12-0b5e-4ec2-844b-f0e8a87d4ea1" ] } ], "mendeley" : { "formattedCitation" : "&lt;sup&gt;(7,8)&lt;/sup&gt;", "plainTextFormattedCitation" : "(7,8)", "previouslyFormattedCitation" : "&lt;sup&gt;(7,8)&lt;/sup&gt;" }, "properties" : { "noteIndex" : 0 }, "schema" : "https://github.com/citation-style-language/schema/raw/master/csl-citation.json" }</w:instrText>
      </w:r>
      <w:r w:rsidR="00AE18C9">
        <w:fldChar w:fldCharType="separate"/>
      </w:r>
      <w:r w:rsidR="00975B94" w:rsidRPr="00975B94">
        <w:rPr>
          <w:noProof/>
          <w:vertAlign w:val="superscript"/>
        </w:rPr>
        <w:t>(7,8)</w:t>
      </w:r>
      <w:r w:rsidR="00AE18C9">
        <w:fldChar w:fldCharType="end"/>
      </w:r>
      <w:r w:rsidR="00043FD1">
        <w:t>.</w:t>
      </w:r>
    </w:p>
    <w:p w14:paraId="3FEE3DC9" w14:textId="59594EA1" w:rsidR="344DBCEA" w:rsidRDefault="589C4AF9" w:rsidP="344DBCEA">
      <w:r>
        <w:t xml:space="preserve">So, is there a role for dietary supplements?  Should we have to make up a balance of food </w:t>
      </w:r>
      <w:r w:rsidRPr="589C4AF9">
        <w:rPr>
          <w:i/>
          <w:iCs/>
        </w:rPr>
        <w:t>vs.</w:t>
      </w:r>
      <w:r>
        <w:t xml:space="preserve"> supplements even if health guidelines are not encouraging the use of dietary supplements?  The fact that supplements continue to be </w:t>
      </w:r>
      <w:proofErr w:type="gramStart"/>
      <w:r>
        <w:t>used,</w:t>
      </w:r>
      <w:proofErr w:type="gramEnd"/>
      <w:r>
        <w:t xml:space="preserve"> means that the general population derives nutrients from both foods and supplements and the supplement contribution may be substantial.  Supplement use is therefore an exposure that cannot be ignored in relation to (</w:t>
      </w:r>
      <w:proofErr w:type="spellStart"/>
      <w:r>
        <w:t>i</w:t>
      </w:r>
      <w:proofErr w:type="spellEnd"/>
      <w:r>
        <w:t>) nutrient deficiency, sufficiency and toxicity, (ii) biomarker associations and sometimes (iii) disease, in case of suboptimal nutrient status or food intake (</w:t>
      </w:r>
      <w:r w:rsidRPr="589C4AF9">
        <w:rPr>
          <w:i/>
          <w:iCs/>
        </w:rPr>
        <w:t>e.g.</w:t>
      </w:r>
      <w:r>
        <w:t xml:space="preserve"> fish </w:t>
      </w:r>
      <w:r w:rsidRPr="589C4AF9">
        <w:rPr>
          <w:i/>
          <w:iCs/>
        </w:rPr>
        <w:t>vs.</w:t>
      </w:r>
      <w:r>
        <w:t xml:space="preserve"> </w:t>
      </w:r>
      <w:r w:rsidR="00AD3667">
        <w:t>fish oil</w:t>
      </w:r>
      <w:r>
        <w:t xml:space="preserve"> and the association with cardiovascular disease).  Alternatively, in observational research it is not always about establishing whether there is a benefit from supplement use itself, but also, how can we control for this health-seeking behaviour when we are interested in this (or another) exposure and health </w:t>
      </w:r>
      <w:r w:rsidR="00CD2CB2">
        <w:fldChar w:fldCharType="begin" w:fldLock="1"/>
      </w:r>
      <w:r w:rsidR="00C1396B">
        <w:instrText>ADDIN CSL_CITATION { "citationItems" : [ { "id" : "ITEM-1", "itemData" : { "ISSN" : "0749-3797", "PMID" : "12554023", "abstract" : "BACKGROUND: Over half of U.S. adults use vitamin or mineral supplements, and some are likely using supplements to treat chronic diseases or risk factors for disease. Information on the relationship between supplement use and medical conditions is useful to health professionals to understand the self-medication behavior of their patients, and important for researchers because medical conditions may be potential confounding factors in observational studies of supplement use and disease risk. METHODS: The cross-sectional data in this report are from 45,748 participants, aged 50 to 75 years, who completed a self-administered, mailed questionnaire on current dietary supplement use (multivitamins plus 16 individual vitamins or minerals), medical history (cancer, cardiovascular-related diseases, and other self-reported medical conditions), and demographic characteristics. RESULTS: Supplement use (mean number used at least once a week) was higher among respondents who were older, female, highly educated, Caucasian, and of normal body mass index (all p&lt;0.001). After controlling for these covariates, supplement use was higher among those with the condition for 13 of the 21 conditions examined (p&lt;0.01); only having diabetes or high stress was associated with using fewer supplements. For specific supplements, the strongest associations were for cardiovascular disease and its risk factors with vitamin E, niacin, and folate, and for calcium with indigestion and acid reflux disease. For several conditions, the relative odds of using specific supplements were consistently higher for men than for women. CONCLUSIONS: Supplement use was associated with many medical conditions in this cohort. However, these cross-sectional data do not permit inferences about the temporal sequence. Some associations appeared to be based on evidence for efficacy (e.g., folate with coronary artery disease), and others could be based on misinformation (e.g., selenium with benign prostatic hyperplasia).", "author" : [ { "dropping-particle" : "", "family" : "Satia-Abouta", "given" : "Jessie", "non-dropping-particle" : "", "parse-names" : false, "suffix" : "" }, { "dropping-particle" : "", "family" : "Kristal", "given" : "Alan R", "non-dropping-particle" : "", "parse-names" : false, "suffix" : "" }, { "dropping-particle" : "", "family" : "Patterson", "given" : "Ruth E", "non-dropping-particle" : "", "parse-names" : false, "suffix" : "" }, { "dropping-particle" : "", "family" : "Littman", "given" : "Alyson J", "non-dropping-particle" : "", "parse-names" : false, "suffix" : "" }, { "dropping-particle" : "", "family" : "Stratton", "given" : "Kayla L", "non-dropping-particle" : "", "parse-names" : false, "suffix" : "" }, { "dropping-particle" : "", "family" : "White", "given" : "Emily", "non-dropping-particle" : "", "parse-names" : false, "suffix" : "" } ], "container-title" : "American journal of preventive medicine", "id" : "ITEM-1", "issue" : "1", "issued" : { "date-parts" : [ [ "2003", "1" ] ] }, "page" : "43-51", "title" : "Dietary supplement use and medical conditions: the VITAL study.", "type" : "article-journal", "volume" : "24" }, "uris" : [ "http://www.mendeley.com/documents/?uuid=8aab9fae-f4b5-45ad-8836-9b09dede6206" ] } ], "mendeley" : { "formattedCitation" : "&lt;sup&gt;(9)&lt;/sup&gt;", "plainTextFormattedCitation" : "(9)", "previouslyFormattedCitation" : "&lt;sup&gt;(9)&lt;/sup&gt;" }, "properties" : { "noteIndex" : 0 }, "schema" : "https://github.com/citation-style-language/schema/raw/master/csl-citation.json" }</w:instrText>
      </w:r>
      <w:r w:rsidR="00CD2CB2">
        <w:fldChar w:fldCharType="separate"/>
      </w:r>
      <w:r w:rsidR="00975B94" w:rsidRPr="00975B94">
        <w:rPr>
          <w:noProof/>
          <w:vertAlign w:val="superscript"/>
        </w:rPr>
        <w:t>(9)</w:t>
      </w:r>
      <w:r w:rsidR="00CD2CB2">
        <w:fldChar w:fldCharType="end"/>
      </w:r>
      <w:r>
        <w:t xml:space="preserve">.  </w:t>
      </w:r>
      <w:bookmarkStart w:id="1" w:name="_Hlk521940909"/>
      <w:r>
        <w:t xml:space="preserve">‘The typical supplement user' does not exist, there is heterogeneity in the characteristics of supplement users, depending on the type of supplement consumed </w:t>
      </w:r>
      <w:r w:rsidR="00CE2EDD">
        <w:fldChar w:fldCharType="begin" w:fldLock="1"/>
      </w:r>
      <w:r w:rsidR="00C1396B">
        <w:instrText>ADDIN CSL_CITATION { "citationItems" : [ { "id" : "ITEM-1", "itemData" : { "ISSN" : "1760-4788", "PMID" : "22499447", "abstract" : "OBJECTIVES: To determine patterns of supplement use in a UK community-dwelling older population, and to investigate the extent to which supplement user groups differ, in terms of their sociodemographic and lifestyle characteristics, diet and morbidity. DESIGN: Cross-sectional cohort study. SETTING: Home interview and clinic visit. PARTICIPANTS: 3217 Hertfordshire Cohort Study participants, aged 59 to 73. MEASUREMENTS: Information was obtained on the participant's social and medical history by a trained research nurse. Diet over the preceding 3 months was assessed by Food Frequency Questionnaire; compliance with 'healthy' eating recommendations was defined using individual scores for a 'prudent' dietary pattern, identified using principal components analysis. Details of all dietary supplements taken in the preceding 3 months were recorded. Individual supplements were allocated to one of 10 types based on their nutrient composition. Cluster analysis was used to define groups of supplement users. RESULTS: 45.4% of men and 57.5% of women reported taking at least one dietary supplement in the previous 3 month period. There were 5 distinct clusters of supplement users; these were common to men and women. They were labelled according to the principal supplement taken; oils, glucosamine, single vitamins, vitamins and minerals, and herbal products. These groups differed in their social class and prudent diet score, but few other characteristics. With the exception of a difference in diagnosis of diabetes among the women, there were no differences in morbidity between the supplement groups in either men or women. CONCLUSIONS: Dietary supplement use is high in this population. There are distinct patterns of supplement use, which are related to sociodemographic and lifestyle characteristics including diet, though there were few clear differences in morbidity.", "author" : [ { "dropping-particle" : "", "family" : "Denison", "given" : "H J", "non-dropping-particle" : "", "parse-names" : false, "suffix" : "" }, { "dropping-particle" : "", "family" : "Jameson", "given" : "K A", "non-dropping-particle" : "", "parse-names" : false, "suffix" : "" }, { "dropping-particle" : "", "family" : "Syddall", "given" : "H E", "non-dropping-particle" : "", "parse-names" : false, "suffix" : "" }, { "dropping-particle" : "", "family" : "Dennison", "given" : "E M", "non-dropping-particle" : "", "parse-names" : false, "suffix" : "" }, { "dropping-particle" : "", "family" : "Cooper", "given" : "C", "non-dropping-particle" : "", "parse-names" : false, "suffix" : "" }, { "dropping-particle" : "", "family" : "Sayer", "given" : "A Aihie", "non-dropping-particle" : "", "parse-names" : false, "suffix" : "" }, { "dropping-particle" : "", "family" : "Robinson", "given" : "S M", "non-dropping-particle" : "", "parse-names" : false, "suffix" : "" } ], "container-title" : "The journal of nutrition, health &amp; aging", "id" : "ITEM-1", "issue" : "4", "issued" : { "date-parts" : [ [ "2012", "5" ] ] }, "page" : "307-11", "title" : "Patterns of dietary supplement use among older men and women in the UK: findings from the Hertfordshire Cohort Study.", "type" : "article-journal", "volume" : "16" }, "uris" : [ "http://www.mendeley.com/documents/?uuid=e001c695-ab3c-4f8c-96ab-7e257fc30f9d" ] }, { "id" : "ITEM-2", "itemData" : { "ISSN" : "2072-6643", "PMID" : "25325252", "abstract" : "Supplement users (SU) make healthy lifestyle choices; on the other hand, SU report more medical conditions. We hypothesised that cod liver oil (CLO) consumers are similar to non-supplement users, since CLO use might originate from historical motives, i.e., rickets prevention, and not health consciousness. CLO consumers were studied in order to identify possible confounders, such as confounding by indication. The European Prospective Investigation into Cancer (EPIC) investigates causes of chronic disease. The participants were 25,639 men and women, aged 40-79 years, recruited from general practices in Norfolk, East-Anglia (UK). Participants completed questionnaires and a health examination between 1993 and 1998. Supplement use was measured using 7-day diet diaries. CLO was the most common supplement used, more prevalent among women and associated with not smoking, higher physical activity level and more favourable eating habits. SU had a higher occurrence of benign growths and bone-related diseases, but CLO was negatively associated with cardiovascular-related conditions. Although the results of SU characteristics in EPIC-Norfolk are comparable with studies worldwide, the CLO group is different from SU in general. Confounding by indication takes place and will need to be taken into account when analysing prospective associations of CLO use with fracture risk and cardiovascular diseases.", "author" : [ { "dropping-particle" : "", "family" : "Lentjes", "given" : "Marleen A H", "non-dropping-particle" : "", "parse-names" : false, "suffix" : "" }, { "dropping-particle" : "", "family" : "Welch", "given" : "Ailsa A", "non-dropping-particle" : "", "parse-names" : false, "suffix" : "" }, { "dropping-particle" : "", "family" : "Mulligan", "given" : "Angela A", "non-dropping-particle" : "", "parse-names" : false, "suffix" : "" }, { "dropping-particle" : "", "family" : "Luben", "given" : "Robert N", "non-dropping-particle" : "", "parse-names" : false, "suffix" : "" }, { "dropping-particle" : "", "family" : "Wareham", "given" : "Nicholas J", "non-dropping-particle" : "", "parse-names" : false, "suffix" : "" }, { "dropping-particle" : "", "family" : "Khaw", "given" : "Kay-Tee", "non-dropping-particle" : "", "parse-names" : false, "suffix" : "" } ], "container-title" : "Nutrients", "id" : "ITEM-2", "issue" : "10", "issued" : { "date-parts" : [ [ "2014", "10" ] ] }, "page" : "4320-37", "title" : "Cod liver oil supplement consumption and health: cross-sectional results from the EPIC-Norfolk cohort study.", "type" : "article-journal", "volume" : "6" }, "uris" : [ "http://www.mendeley.com/documents/?uuid=da564d8b-735c-4a07-8590-34e1919f3a49" ] }, { "id" : "ITEM-3", "itemData" : { "ISSN" : "0002-8223", "PMID" : "15175592", "abstract" : "Objective To describe trends in use of specific vitamin and mineral (VM) supplements. Design The nationally representative National Health In-. terview Survey queried adult respondents about their use of VM supplements in 1987, 1992, and, 2000. Statistical Analysis Trends in use of VM supplements from 1987 to 2000 were determined using linear contrasts. Results The percentage of adults using any VM supplement daily increased from 23.2% (1987) to 23.7% (1992) to 33.9% (2000). This pattern was consistent for both sexes, all race/ethnic groups, and adults aged greater than or equal to 25 years. The increase in the percentage of daily users of multivitamins, vitamin A, and vitamin E was 10.5, 1.2, and 7.3 percentage points, respectively, from 1987 to 2000. Increases in daily use of vitamin C (3.3 percentage points) and calcium (6.1 percentage points) occurred between 1992 and 2000. All trend analyses were significant at P&lt;.001. In the 2000 National Health Interview Survey personnel queried the use of nonvitamin/nonmineral supplements for the first time. At that time, 6.0% of respondents reported using them daily. Conclusion The increasing trend in supplement use over time and the notable use of nonvitamin/nonmineral supplements in 2000 indicates the continued need to monitor the use of all types of dietary supplements for purposes of dietary surveillance and nutrition-related research", "author" : [ { "dropping-particle" : "", "family" : "Millen", "given" : "Amy E", "non-dropping-particle" : "", "parse-names" : false, "suffix" : "" }, { "dropping-particle" : "", "family" : "Dodd", "given" : "Kevin W", "non-dropping-particle" : "", "parse-names" : false, "suffix" : "" }, { "dropping-particle" : "", "family" : "Subar", "given" : "Amy F", "non-dropping-particle" : "", "parse-names" : false, "suffix" : "" } ], "container-title" : "Journal of the American Dietetic Association", "id" : "ITEM-3", "issue" : "6", "issued" : { "date-parts" : [ [ "2004", "6" ] ] }, "page" : "942-50", "title" : "Use of vitamin, mineral, nonvitamin, and nonmineral supplements in the United States: The 1987, 1992, and 2000 National Health Interview Survey results.", "type" : "article-journal", "volume" : "104" }, "uris" : [ "http://www.mendeley.com/documents/?uuid=87b65838-cafe-4739-9cad-0667f456b553" ] }, { "id" : "ITEM-4", "itemData" : { "ISSN" : "1055-9965", "abstract" : "Epidemiological studies suggest that certain vitamin supplements may reduce the risk of some cancers. However, observational studies can be compromised by confounding, because supplement use is related to other factors that affect cancer risk. The purpose of this paper is to identify cancer-related behaviors that could confound studies of the associations between vitamin supplement use and cancer risk. Data are from a random digit dial survey to monitor cancer risk behavior in adults in Washington State (n = 1449). Unconditional logistic regression was used to examine whether regular supplement users were more likely to practice other cancer-related behaviors than nonusers, after adjustment for age, education, and smoking. Among women, supplement users were more likely to have had a sigmoidoscopy [odds ratio (OR), 2.3; 95% confidence interval (CI), 1.2-4.5], hemoccult (OR, 2.3; CI, 1.5-3.5), or mammogram (OR, 1.5; CI, 1.0-2.1) in the past 2 years. Among men, supplement users were twice as likely to have had a prostate-specific antigen test (OR, 2.2; CI, 1.3-3.7) and to regularly take aspirin (OR, 1.7; CI, 1.1-2.6). Supplement users were statistically significantly more likely to exercise regularly, eat four or more servings of fruits and vegetables per day, follow a low-fat diet pattern, and believe in a connection between diet and cancer. The association was especially strong for fruits and vegetables (women, OR, 1.9; and CI, 1.3-2.6; men, OR, 2.4; CI, 1.6-3.8). Those investigating the benefits and risks of vitamin and mineral supplements need to be aware of the lifestyle characteristics of supplement users to assess the potential for bias in their studies", "author" : [ { "dropping-particle" : "", "family" : "Patterson", "given" : "R E", "non-dropping-particle" : "", "parse-names" : false, "suffix" : "" }, { "dropping-particle" : "", "family" : "Neuhouser", "given" : "M L", "non-dropping-particle" : "", "parse-names" : false, "suffix" : "" }, { "dropping-particle" : "", "family" : "White", "given" : "E", "non-dropping-particle" : "", "parse-names" : false, "suffix" : "" }, { "dropping-particle" : "", "family" : "Hunt", "given" : "J R", "non-dropping-particle" : "", "parse-names" : false, "suffix" : "" }, { "dropping-particle" : "", "family" : "Kristal", "given" : "A R", "non-dropping-particle" : "", "parse-names" : false, "suffix" : "" } ], "container-title" : "Cancer Epidemiology Biomarkers &amp; Prevention", "id" : "ITEM-4", "issue" : "1", "issued" : { "date-parts" : [ [ "1998", "1" ] ] }, "note" : "Times Cited: 54\nArticle\nEnglish\nPatterson, R. E\nFred Hutchinson Canc Res Ctr, Canc Prevent Res Program, 1100 Fairview Ave N,MP 702,POB 19024, Seattle, WA 98109 USA\nCited References Count: 20\nZA149\nAMER ASSOC CANCER RESEARCH\nPO BOX 11806, BIRMINGHAM, AL 35202 USA\nBIRMINGHAM", "page" : "79-81", "title" : "Cancer-related behavior of vitamin supplement users", "type" : "article-journal", "volume" : "7" }, "uris" : [ "http://www.mendeley.com/documents/?uuid=cb4e3efb-4fdb-4b9e-9d3c-e56e6a1aa61b" ] } ], "mendeley" : { "formattedCitation" : "&lt;sup&gt;(10\u201313)&lt;/sup&gt;", "plainTextFormattedCitation" : "(10\u201313)", "previouslyFormattedCitation" : "&lt;sup&gt;(10\u201313)&lt;/sup&gt;" }, "properties" : { "noteIndex" : 0 }, "schema" : "https://github.com/citation-style-language/schema/raw/master/csl-citation.json" }</w:instrText>
      </w:r>
      <w:r w:rsidR="00CE2EDD">
        <w:fldChar w:fldCharType="separate"/>
      </w:r>
      <w:r w:rsidR="00975B94" w:rsidRPr="00975B94">
        <w:rPr>
          <w:noProof/>
          <w:vertAlign w:val="superscript"/>
        </w:rPr>
        <w:t>(10–13)</w:t>
      </w:r>
      <w:r w:rsidR="00CE2EDD">
        <w:fldChar w:fldCharType="end"/>
      </w:r>
      <w:r>
        <w:t>. Therefore, adjusting the supplement-disease analyses fo</w:t>
      </w:r>
      <w:r w:rsidRPr="00ED6425">
        <w:t>r '</w:t>
      </w:r>
      <w:r w:rsidR="0060253E" w:rsidRPr="00ED6425">
        <w:t xml:space="preserve">yes/no </w:t>
      </w:r>
      <w:r w:rsidRPr="00ED6425">
        <w:t>supplement use' might not take away the suspected confounding, but could potentially create (more) noise</w:t>
      </w:r>
      <w:r w:rsidR="0060253E" w:rsidRPr="00ED6425">
        <w:t>/attenuation</w:t>
      </w:r>
      <w:r w:rsidRPr="00ED6425">
        <w:t xml:space="preserve"> in</w:t>
      </w:r>
      <w:r>
        <w:t xml:space="preserve"> the associations.</w:t>
      </w:r>
      <w:bookmarkEnd w:id="1"/>
    </w:p>
    <w:p w14:paraId="6AA2E7C7" w14:textId="6A5B9223" w:rsidR="00316B37" w:rsidRDefault="0CB78F84" w:rsidP="007D2DEC">
      <w:r>
        <w:lastRenderedPageBreak/>
        <w:t xml:space="preserve">This paper aims to </w:t>
      </w:r>
      <w:r w:rsidR="003723E1">
        <w:t>describe</w:t>
      </w:r>
      <w:r>
        <w:t xml:space="preserve"> dietary supplement assessment methodology in </w:t>
      </w:r>
      <w:r w:rsidR="003723E1">
        <w:t xml:space="preserve">the </w:t>
      </w:r>
      <w:r>
        <w:t xml:space="preserve">context of observational research and characterise the heterogeneity amongst supplement users.  </w:t>
      </w:r>
      <w:r w:rsidR="00792286">
        <w:t xml:space="preserve">A secondary aim is to focus on </w:t>
      </w:r>
      <w:r>
        <w:t xml:space="preserve">the role of supplements in the nutrient distribution, </w:t>
      </w:r>
      <w:r w:rsidR="00E34A98">
        <w:t xml:space="preserve">circulating </w:t>
      </w:r>
      <w:r>
        <w:t xml:space="preserve">biomarkers and disease, </w:t>
      </w:r>
      <w:r w:rsidR="00E34A98">
        <w:t>using</w:t>
      </w:r>
      <w:r>
        <w:t xml:space="preserve"> a variety of examples illustrating their (in</w:t>
      </w:r>
      <w:proofErr w:type="gramStart"/>
      <w:r>
        <w:t>)effectiveness</w:t>
      </w:r>
      <w:proofErr w:type="gramEnd"/>
      <w:r>
        <w:t xml:space="preserve"> in public health.</w:t>
      </w:r>
    </w:p>
    <w:p w14:paraId="4BB744FA" w14:textId="77777777" w:rsidR="00380E10" w:rsidRDefault="7AF5BD86" w:rsidP="00380E10">
      <w:pPr>
        <w:pStyle w:val="Heading1"/>
      </w:pPr>
      <w:r>
        <w:t>Dietary supplement assessment: definition, instruments and prevalence of use</w:t>
      </w:r>
    </w:p>
    <w:p w14:paraId="64359082" w14:textId="05F197A5" w:rsidR="00E566D6" w:rsidRDefault="001221E1" w:rsidP="00F5736B">
      <w:r>
        <w:t xml:space="preserve">Within Europe since 2002, dietary supplements have been regulated by the directive 2002/46/EC which defines supplements as </w:t>
      </w:r>
      <w:r>
        <w:fldChar w:fldCharType="begin" w:fldLock="1"/>
      </w:r>
      <w:r w:rsidR="00C1396B">
        <w:instrText>ADDIN CSL_CITATION { "citationItems" : [ { "id" : "ITEM-1", "itemData" : { "author" : [ { "dropping-particle" : "", "family" : "European Commission", "given" : "", "non-dropping-particle" : "", "parse-names" : false, "suffix" : "" } ], "container-title" : "Official Journal of the European Communities", "id" : "ITEM-1", "issued" : { "date-parts" : [ [ "2002", "7", "12" ] ] }, "title" : "Directive 2002/46/EC of the European Parliament and of the Council of 10 June 2002 on the approximation of the laws of the Member States relating to food supplements", "type" : "article-journal", "volume" : "L183/51" }, "uris" : [ "http://www.mendeley.com/documents/?uuid=3de7bb63-d135-423b-bd44-215c252568c6" ] } ], "mendeley" : { "formattedCitation" : "&lt;sup&gt;(14)&lt;/sup&gt;", "plainTextFormattedCitation" : "(14)", "previouslyFormattedCitation" : "&lt;sup&gt;(14)&lt;/sup&gt;" }, "properties" : { "noteIndex" : 0 }, "schema" : "https://github.com/citation-style-language/schema/raw/master/csl-citation.json" }</w:instrText>
      </w:r>
      <w:r>
        <w:fldChar w:fldCharType="separate"/>
      </w:r>
      <w:r w:rsidR="00975B94" w:rsidRPr="00975B94">
        <w:rPr>
          <w:noProof/>
          <w:vertAlign w:val="superscript"/>
        </w:rPr>
        <w:t>(14)</w:t>
      </w:r>
      <w:r>
        <w:fldChar w:fldCharType="end"/>
      </w:r>
      <w:r>
        <w:t>: “</w:t>
      </w:r>
      <w:r w:rsidRPr="7AF5BD86">
        <w:rPr>
          <w:i/>
          <w:iCs/>
        </w:rPr>
        <w:t>Food</w:t>
      </w:r>
      <w:r>
        <w:t xml:space="preserve"> stuffs the purpose of which is to supplement the normal diet and which are </w:t>
      </w:r>
      <w:r w:rsidRPr="7AF5BD86">
        <w:rPr>
          <w:i/>
          <w:iCs/>
        </w:rPr>
        <w:t>concentrated</w:t>
      </w:r>
      <w:r>
        <w:t xml:space="preserve"> sources of nutrients or other substances with a nutritional or physiological effect, alone or in combination, marketed in dose form, namely forms such as capsules, pastilles, tablets, pills and other similar forms, sachets of powder, ampoules of liquids, drop dispensing bottles, and other similar forms of liquids and powders designed to be taken in measured </w:t>
      </w:r>
      <w:r w:rsidRPr="7AF5BD86">
        <w:rPr>
          <w:i/>
          <w:iCs/>
        </w:rPr>
        <w:t>small unit quantities</w:t>
      </w:r>
      <w:r>
        <w:t>.”</w:t>
      </w:r>
      <w:r w:rsidR="007B78C5">
        <w:t xml:space="preserve">  </w:t>
      </w:r>
      <w:r w:rsidRPr="00F429DC">
        <w:t>Definitions of what are considered to be ‘dietary supplements’</w:t>
      </w:r>
      <w:r>
        <w:t>, or indeed specific types of supplements,</w:t>
      </w:r>
      <w:r w:rsidRPr="00F429DC">
        <w:t xml:space="preserve"> </w:t>
      </w:r>
      <w:r>
        <w:t xml:space="preserve">have been reported to vary across American surveys </w:t>
      </w:r>
      <w:r>
        <w:fldChar w:fldCharType="begin" w:fldLock="1"/>
      </w:r>
      <w:r w:rsidR="00C1396B">
        <w:instrText>ADDIN CSL_CITATION { "citationItems" : [ { "id" : "ITEM-1", "itemData" : { "DOI" : "85/1/269S [pii]", "ISBN" : "0002-9165 (Print)\\r0002-9165", "ISSN" : "00029165", "PMID" : "17209208", "abstract" : "Although multivitamins, multiminerals, and similar terms (eg, multis or multiples) are commonly used, they have no standard scientific, regulatory, or marketplace definitions. Thus, multivitamins-multiminerals refers to products with widely varied compositions and characteristics. Multivitamin-multimineral composition databases use label values as surrogates for analyzed values. However, actual vitamin and mineral amounts often deviate from label values. Vitamin and mineral bioavailability for dietary supplements also lacks a standard scientific and regulatory definition and validated in vitro and animal models that accurately reflect human bioavailabilities. Systematic information on the bioavailability and bioequivalence of vitamins and minerals in marketed products and on potential drug interactions is scarce. Because of limited information on product characteristics, our ability to directly compare results across studies, estimate changes in usage patterns or intakes over time, and generalize from published results to marketed products is problematic.", "author" : [ { "dropping-particle" : "", "family" : "Yetley", "given" : "Elizabeth A", "non-dropping-particle" : "", "parse-names" : false, "suffix" : "" } ], "container-title" : "American Journal of Clinical Nutrition", "id" : "ITEM-1", "issue" : "1", "issued" : { "date-parts" : [ [ "2007", "1" ] ] }, "page" : "269S-276S", "title" : "Multivitamin and multimineral dietary supplements: Definitions, characterization, bioavailability, and drug interactions", "type" : "article-journal", "volume" : "85" }, "uris" : [ "http://www.mendeley.com/documents/?uuid=f7e5ddde-c947-4b4f-909f-456bdbcc097e" ] } ], "mendeley" : { "formattedCitation" : "&lt;sup&gt;(15)&lt;/sup&gt;", "plainTextFormattedCitation" : "(15)", "previouslyFormattedCitation" : "&lt;sup&gt;(15)&lt;/sup&gt;" }, "properties" : { "noteIndex" : 0 }, "schema" : "https://github.com/citation-style-language/schema/raw/master/csl-citation.json" }</w:instrText>
      </w:r>
      <w:r>
        <w:fldChar w:fldCharType="separate"/>
      </w:r>
      <w:r w:rsidR="00975B94" w:rsidRPr="00975B94">
        <w:rPr>
          <w:noProof/>
          <w:vertAlign w:val="superscript"/>
        </w:rPr>
        <w:t>(15)</w:t>
      </w:r>
      <w:r>
        <w:fldChar w:fldCharType="end"/>
      </w:r>
      <w:r w:rsidRPr="00F429DC">
        <w:t>.</w:t>
      </w:r>
      <w:r>
        <w:t xml:space="preserve">  </w:t>
      </w:r>
      <w:r w:rsidR="00204E10">
        <w:t xml:space="preserve">Also in </w:t>
      </w:r>
      <w:r>
        <w:t>UK studies</w:t>
      </w:r>
      <w:r w:rsidR="00204E10">
        <w:t xml:space="preserve">, definitions are lacking although </w:t>
      </w:r>
      <w:r>
        <w:t xml:space="preserve">the answer categories or the </w:t>
      </w:r>
      <w:r w:rsidRPr="00F429DC">
        <w:t>examples given to par</w:t>
      </w:r>
      <w:r>
        <w:t>ticipants in the questionnaires</w:t>
      </w:r>
      <w:r w:rsidRPr="00F429DC">
        <w:t xml:space="preserve"> give an in</w:t>
      </w:r>
      <w:r>
        <w:t>dication of what was studied</w:t>
      </w:r>
      <w:r w:rsidR="00764A43">
        <w:t xml:space="preserve"> </w:t>
      </w:r>
      <w:r w:rsidR="00764A43">
        <w:fldChar w:fldCharType="begin" w:fldLock="1"/>
      </w:r>
      <w:r w:rsidR="00C1396B">
        <w:instrText>ADDIN CSL_CITATION { "citationItems" : [ { "id" : "ITEM-1", "itemData" : { "ISSN" : "1760-4788", "PMID" : "22499447", "abstract" : "OBJECTIVES: To determine patterns of supplement use in a UK community-dwelling older population, and to investigate the extent to which supplement user groups differ, in terms of their sociodemographic and lifestyle characteristics, diet and morbidity. DESIGN: Cross-sectional cohort study. SETTING: Home interview and clinic visit. PARTICIPANTS: 3217 Hertfordshire Cohort Study participants, aged 59 to 73. MEASUREMENTS: Information was obtained on the participant's social and medical history by a trained research nurse. Diet over the preceding 3 months was assessed by Food Frequency Questionnaire; compliance with 'healthy' eating recommendations was defined using individual scores for a 'prudent' dietary pattern, identified using principal components analysis. Details of all dietary supplements taken in the preceding 3 months were recorded. Individual supplements were allocated to one of 10 types based on their nutrient composition. Cluster analysis was used to define groups of supplement users. RESULTS: 45.4% of men and 57.5% of women reported taking at least one dietary supplement in the previous 3 month period. There were 5 distinct clusters of supplement users; these were common to men and women. They were labelled according to the principal supplement taken; oils, glucosamine, single vitamins, vitamins and minerals, and herbal products. These groups differed in their social class and prudent diet score, but few other characteristics. With the exception of a difference in diagnosis of diabetes among the women, there were no differences in morbidity between the supplement groups in either men or women. CONCLUSIONS: Dietary supplement use is high in this population. There are distinct patterns of supplement use, which are related to sociodemographic and lifestyle characteristics including diet, though there were few clear differences in morbidity.", "author" : [ { "dropping-particle" : "", "family" : "Denison", "given" : "H J", "non-dropping-particle" : "", "parse-names" : false, "suffix" : "" }, { "dropping-particle" : "", "family" : "Jameson", "given" : "K A", "non-dropping-particle" : "", "parse-names" : false, "suffix" : "" }, { "dropping-particle" : "", "family" : "Syddall", "given" : "H E", "non-dropping-particle" : "", "parse-names" : false, "suffix" : "" }, { "dropping-particle" : "", "family" : "Dennison", "given" : "E M", "non-dropping-particle" : "", "parse-names" : false, "suffix" : "" }, { "dropping-particle" : "", "family" : "Cooper", "given" : "C", "non-dropping-particle" : "", "parse-names" : false, "suffix" : "" }, { "dropping-particle" : "", "family" : "Sayer", "given" : "A Aihie", "non-dropping-particle" : "", "parse-names" : false, "suffix" : "" }, { "dropping-particle" : "", "family" : "Robinson", "given" : "S M", "non-dropping-particle" : "", "parse-names" : false, "suffix" : "" } ], "container-title" : "The journal of nutrition, health &amp; aging", "id" : "ITEM-1", "issue" : "4", "issued" : { "date-parts" : [ [ "2012", "5" ] ] }, "page" : "307-11", "title" : "Patterns of dietary supplement use among older men and women in the UK: findings from the Hertfordshire Cohort Study.", "type" : "article-journal", "volume" : "16" }, "uris" : [ "http://www.mendeley.com/documents/?uuid=e001c695-ab3c-4f8c-96ab-7e257fc30f9d" ] }, { "id" : "ITEM-2", "itemData" : { "ISSN" : "1368-9800", "PMID" : "10452734", "abstract" : "OBJECTIVES: To describe the characteristics of dietary supplement users in a large cohort of women and test the hypothesis that supplement users would be more likely to have a healthier lifestyle than non-users. DESIGN: Comparison of nutrient intakes from food frequency questionnaire (FFQ) data for 8409 supplement users and 5413 non-users. Use of logistic regression modelling to determine predictors of supplement use in this cohort. SUBJECTS: 13,822 subjects from the UK Women's Cohort Study (UKWCS) for whom data on supplement use was available. RESULTS: Significant differences in nutrient intakes from FFQ were seen between the two groups, with supplement users having higher intakes of all nutrients, except for fat and vitamin B12. Use of dietary supplements was associated with being vegetarian, vegan or fish-eating, consuming more fruit and vegetables, being more physically active and having a lower alcohol intake. Supplement use was less likely in those with a body mass index above 25 and those who reported smoking regularly. CONCLUSIONS: The findings are consistent with the hypothesis that supplement use is associated with a healthier lifestyle profile and an adequate nutritional intake, suggesting that supplement users do not need to take supplements to meet a nutrient deficiency.", "author" : [ { "dropping-particle" : "", "family" : "Kirk", "given" : "S F", "non-dropping-particle" : "", "parse-names" : false, "suffix" : "" }, { "dropping-particle" : "", "family" : "Cade", "given" : "J E", "non-dropping-particle" : "", "parse-names" : false, "suffix" : "" }, { "dropping-particle" : "", "family" : "Barrett", "given" : "J H", "non-dropping-particle" : "", "parse-names" : false, "suffix" : "" }, { "dropping-particle" : "", "family" : "Conner", "given" : "M", "non-dropping-particle" : "", "parse-names" : false, "suffix" : "" } ], "container-title" : "Public health nutrition", "id" : "ITEM-2", "issue" : "1", "issued" : { "date-parts" : [ [ "1999", "3" ] ] }, "page" : "69-73", "title" : "Diet and lifestyle characteristics associated with dietary supplement use in women.", "type" : "article-journal", "volume" : "2" }, "uris" : [ "http://www.mendeley.com/documents/?uuid=19bb18db-8f32-41dc-ac77-5b421f6ca59d" ] }, { "id" : "ITEM-3", "itemData" : { "ISSN" : "0007-1145", "PMID" : "15035689", "abstract" : "Many people take dietary supplements, but information on characteristics associated with their use is lacking. The relationship between lifestyle behaviours, morbidity and use of dietary supplements has not been examined and earlier studies have limited applicability to a general population. These issues were addressed in the current study. Information was obtained by postal questionnaire sent to a sample of the general population. The questionnaire was completed by 70.5 % of the sample (15 465 from a total sample of 21 923), with at least one-third (35.5 %) taking dietary supplements. In adjusted analyses, supplement users were more likely to be women, white, home-owners, non-smokers and physically active. Use of vitamin, mineral and/or antioxidant supplements was associated with eating more fruits and vegetables, and taking fish-oil supplements was associated with eating oil-rich fish. A history of CVD or risk factors for CVD reduced the risk of taking vitamins, minerals and/or antioxidants or fish-oil supplements. Those reporting musculoskeletal disorders such as arthritis were more likely to take fish-oil supplements For the first time, we have shown that dietary supplement use is related to different types of morbidity. In particular, people at risk of primary or secondary CVD seem less likely to use dietary supplements, despite possible benefits shown in clinical trials. Public health organisations need to develop guidelines for the public and health professionals regarding the uncontrolled use of dietary supplements in the community.", "author" : [ { "dropping-particle" : "", "family" : "Harrison", "given" : "R A", "non-dropping-particle" : "", "parse-names" : false, "suffix" : "" }, { "dropping-particle" : "", "family" : "Holt", "given" : "D", "non-dropping-particle" : "", "parse-names" : false, "suffix" : "" }, { "dropping-particle" : "", "family" : "Pattison", "given" : "D J", "non-dropping-particle" : "", "parse-names" : false, "suffix" : "" }, { "dropping-particle" : "", "family" : "Elton", "given" : "P J", "non-dropping-particle" : "", "parse-names" : false, "suffix" : "" } ], "container-title" : "The British journal of nutrition", "id" : "ITEM-3", "issue" : "4", "issued" : { "date-parts" : [ [ "2004", "4" ] ] }, "page" : "617-23", "title" : "Are those in need taking dietary supplements? A survey of 21 923 adults.", "type" : "article-journal", "volume" : "91" }, "uris" : [ "http://www.mendeley.com/documents/?uuid=325eb75a-ae01-46e8-b5b6-c08d78079b27" ] } ], "mendeley" : { "formattedCitation" : "&lt;sup&gt;(10,16,17)&lt;/sup&gt;", "plainTextFormattedCitation" : "(10,16,17)", "previouslyFormattedCitation" : "&lt;sup&gt;(10,16,17)&lt;/sup&gt;" }, "properties" : { "noteIndex" : 0 }, "schema" : "https://github.com/citation-style-language/schema/raw/master/csl-citation.json" }</w:instrText>
      </w:r>
      <w:r w:rsidR="00764A43">
        <w:fldChar w:fldCharType="separate"/>
      </w:r>
      <w:r w:rsidR="00975B94" w:rsidRPr="00975B94">
        <w:rPr>
          <w:noProof/>
          <w:vertAlign w:val="superscript"/>
        </w:rPr>
        <w:t>(10,16,17)</w:t>
      </w:r>
      <w:r w:rsidR="00764A43">
        <w:fldChar w:fldCharType="end"/>
      </w:r>
      <w:r>
        <w:t xml:space="preserve">.  </w:t>
      </w:r>
      <w:r w:rsidRPr="00F429DC">
        <w:t>Depending on the aim of the study, prescribed medication (as sources of folate</w:t>
      </w:r>
      <w:r>
        <w:t>, calcium</w:t>
      </w:r>
      <w:r w:rsidRPr="00F429DC">
        <w:t xml:space="preserve"> and iron) can be included in order to calculate </w:t>
      </w:r>
      <w:r w:rsidR="00E566D6">
        <w:t>what is known as ‘total nutrient intake’</w:t>
      </w:r>
      <w:r w:rsidR="000E5907">
        <w:t xml:space="preserve"> (TNI)</w:t>
      </w:r>
      <w:r w:rsidR="00E566D6">
        <w:t xml:space="preserve">, </w:t>
      </w:r>
      <w:r w:rsidR="00E566D6" w:rsidRPr="7AF5BD86">
        <w:rPr>
          <w:i/>
          <w:iCs/>
        </w:rPr>
        <w:t>i.e.</w:t>
      </w:r>
      <w:r w:rsidR="00E566D6">
        <w:t xml:space="preserve"> the sum of nutrient intake from foods and supplements </w:t>
      </w:r>
      <w:r w:rsidRPr="00F429DC">
        <w:t xml:space="preserve"> </w:t>
      </w:r>
      <w:r w:rsidRPr="00F429DC">
        <w:fldChar w:fldCharType="begin" w:fldLock="1"/>
      </w:r>
      <w:r w:rsidR="00C1396B">
        <w:instrText>ADDIN CSL_CITATION { "citationItems" : [ { "id" : "ITEM-1", "itemData" : { "ISSN" : "0954-3007", "PMID" : "9881887", "abstract" : "Objective: To compare the evidence derived from blood biochemical status indices with the evidence from a questionnaire and from a 4-day weighed dietary record of micronutrient supplement use in the British National Diet and Nutrition Survey (NDNS) of People Aged 65 Years and Over; to resolve some apparent incompatibility between nutrient intake and status estimates, and to recommend an approach towards supplement recording that should improve accuracy. Design: The survey procedures described in the National Diet and Nutrition Survey Report (1998) included a health-and-lifestyle questionnaire, a 4-day weighed diet record, and fasting blood and urine sample for biochemical indices, including a wide range of micronutrients. Setting: Eighty randomly selected postcode sectors from mainland Britain during 1994-1995. Subjects: Of 2060 people interviewed, 1467 provided a blood sample and 1217 provided both a blood sample, and a complete 4-day diet record. About 20% were living in institutions such as nursing homes, and the remainder were living in private households. Results: After assigning the subjects to four categories by the use of dietary supplements (A, those not taking supplements (by questionnaire or by the 4-day record); B, those taking supplements (excluding prescribed ones) by questionnaire only; C, those taking supplements by 4-day record only; and D, those taking supplements by both questionnaire and 4-day record), these categories were then compared with respect to estimated total nutrient intakes and blood biochemical indices. Those in category B had estimated (4-day) nutrient intakes (from foods and supplements) that were indistinguishable from those in category A, but had biochemical indices that indicated significantly higher dietary intakes of several vitamins. Conclusions and recommendation: The 4-day weighed intake record may not have identified all of the subjects who were regularly taking micronutrient supplements in amounts sufficient to improve their biochemical status. Because survey respondents may use supplements irregularly or change their usual patterns of supplement use during a period of intensive diet-recording, it is important to design a dietary instrument that will minimise this potential source of inaccuracy. We therefore recommend that population surveys in which an accurate estimate of micronutrient intakes is required, from supplements as well as from food, should record supplement use for a period longer than 4-days. I\u2026", "author" : [ { "dropping-particle" : "", "family" : "Bates", "given" : "C J", "non-dropping-particle" : "", "parse-names" : false, "suffix" : "" }, { "dropping-particle" : "", "family" : "Prentice", "given" : "A", "non-dropping-particle" : "", "parse-names" : false, "suffix" : "" }, { "dropping-particle" : "", "family" : "Pols", "given" : "J C", "non-dropping-particle" : "van der", "parse-names" : false, "suffix" : "" }, { "dropping-particle" : "", "family" : "Walmsley", "given" : "C", "non-dropping-particle" : "", "parse-names" : false, "suffix" : "" }, { "dropping-particle" : "", "family" : "Pentieva", "given" : "K D", "non-dropping-particle" : "", "parse-names" : false, "suffix" : "" }, { "dropping-particle" : "", "family" : "Finch", "given" : "S", "non-dropping-particle" : "", "parse-names" : false, "suffix" : "" }, { "dropping-particle" : "", "family" : "Smithers", "given" : "G", "non-dropping-particle" : "", "parse-names" : false, "suffix" : "" }, { "dropping-particle" : "", "family" : "Clarke", "given" : "P C", "non-dropping-particle" : "", "parse-names" : false, "suffix" : "" } ], "container-title" : "Eur J Clin Nutr", "id" : "ITEM-1", "issue" : "12", "issued" : { "date-parts" : [ [ "1998", "12" ] ] }, "page" : "917-23", "title" : "Estimation of the use of dietary supplements in the National Diet and Nutrition Survey: people aged 65 years and Over. An observed paradox and a recommendation.", "type" : "article-journal", "volume" : "52" }, "uris" : [ "http://www.mendeley.com/documents/?uuid=5883d321-58c4-4534-bc1e-361ff6cf8e42" ] } ], "mendeley" : { "formattedCitation" : "&lt;sup&gt;(18)&lt;/sup&gt;", "plainTextFormattedCitation" : "(18)", "previouslyFormattedCitation" : "&lt;sup&gt;(18)&lt;/sup&gt;" }, "properties" : { "noteIndex" : 0 }, "schema" : "https://github.com/citation-style-language/schema/raw/master/csl-citation.json" }</w:instrText>
      </w:r>
      <w:r w:rsidRPr="00F429DC">
        <w:fldChar w:fldCharType="separate"/>
      </w:r>
      <w:r w:rsidR="00975B94" w:rsidRPr="00975B94">
        <w:rPr>
          <w:noProof/>
          <w:vertAlign w:val="superscript"/>
        </w:rPr>
        <w:t>(18)</w:t>
      </w:r>
      <w:r w:rsidRPr="00F429DC">
        <w:fldChar w:fldCharType="end"/>
      </w:r>
      <w:r w:rsidR="0062658F">
        <w:t xml:space="preserve">. </w:t>
      </w:r>
      <w:bookmarkStart w:id="2" w:name="_Hlk522007665"/>
      <w:r w:rsidR="0062658F">
        <w:t xml:space="preserve"> M</w:t>
      </w:r>
      <w:r>
        <w:t xml:space="preserve">oreover, separating medication-derived nutrients from dietary supplements </w:t>
      </w:r>
      <w:r w:rsidR="00E84C5D">
        <w:t xml:space="preserve">(or indeed food intake from dietary supplement intake) </w:t>
      </w:r>
      <w:r>
        <w:t xml:space="preserve">might provide additional information regarding reverse causality or confounding by indication, which might obscure the association with biomarkers </w:t>
      </w:r>
      <w:r w:rsidRPr="00ED6425">
        <w:t>or illness</w:t>
      </w:r>
      <w:bookmarkStart w:id="3" w:name="_Hlk522008632"/>
      <w:r w:rsidR="007C0662" w:rsidRPr="00ED6425">
        <w:t xml:space="preserve">, </w:t>
      </w:r>
      <w:r w:rsidR="007C0662" w:rsidRPr="00ED6425">
        <w:rPr>
          <w:i/>
        </w:rPr>
        <w:t>e.g.</w:t>
      </w:r>
      <w:r w:rsidR="007C0662" w:rsidRPr="00ED6425">
        <w:t xml:space="preserve"> the use of </w:t>
      </w:r>
      <w:r w:rsidR="00E230EC" w:rsidRPr="00ED6425">
        <w:t>prescribed ferrous sulphate for anaemia, which itself might be caused by an underlying illness/treatment</w:t>
      </w:r>
      <w:r w:rsidR="00D57775" w:rsidRPr="00ED6425">
        <w:t>,</w:t>
      </w:r>
      <w:r w:rsidR="00E230EC" w:rsidRPr="00ED6425">
        <w:t xml:space="preserve"> will </w:t>
      </w:r>
      <w:r w:rsidR="00D57775" w:rsidRPr="00ED6425">
        <w:t>be</w:t>
      </w:r>
      <w:r w:rsidR="00E230EC" w:rsidRPr="00ED6425">
        <w:t xml:space="preserve"> different</w:t>
      </w:r>
      <w:r w:rsidR="00D57775" w:rsidRPr="00ED6425">
        <w:t>ly</w:t>
      </w:r>
      <w:r w:rsidR="00E230EC" w:rsidRPr="00ED6425">
        <w:t xml:space="preserve"> associat</w:t>
      </w:r>
      <w:r w:rsidR="00D57775" w:rsidRPr="00ED6425">
        <w:t>ed</w:t>
      </w:r>
      <w:r w:rsidR="00E230EC" w:rsidRPr="00ED6425">
        <w:t xml:space="preserve"> with health than ferrous su</w:t>
      </w:r>
      <w:r w:rsidR="00D57775" w:rsidRPr="00ED6425">
        <w:t>lphate part of a multivitamin/</w:t>
      </w:r>
      <w:proofErr w:type="spellStart"/>
      <w:r w:rsidR="00D57775" w:rsidRPr="00ED6425">
        <w:t>multimineral</w:t>
      </w:r>
      <w:proofErr w:type="spellEnd"/>
      <w:r w:rsidR="00D57775" w:rsidRPr="00ED6425">
        <w:t xml:space="preserve"> (MVMM) supplement consumed out of choice</w:t>
      </w:r>
      <w:r w:rsidRPr="00ED6425">
        <w:t>.</w:t>
      </w:r>
      <w:bookmarkEnd w:id="3"/>
    </w:p>
    <w:bookmarkEnd w:id="2"/>
    <w:p w14:paraId="2E51C87C" w14:textId="001DF4D4" w:rsidR="005870CD" w:rsidRDefault="00BF4481" w:rsidP="00396A5C">
      <w:r>
        <w:t>The following issues arise when wanting to assess the nutrient contribution from supplements</w:t>
      </w:r>
      <w:r w:rsidR="00975B94">
        <w:t>:</w:t>
      </w:r>
      <w:r>
        <w:t xml:space="preserve"> (</w:t>
      </w:r>
      <w:proofErr w:type="spellStart"/>
      <w:r>
        <w:t>i</w:t>
      </w:r>
      <w:proofErr w:type="spellEnd"/>
      <w:r>
        <w:t>) the potential for short-term use by participants, (ii) constant change in the supplement supply and (iii) constant change in supplement composition.</w:t>
      </w:r>
      <w:r w:rsidR="004B0830">
        <w:t xml:space="preserve">  The choice of the dietary supplement assessment instrument will have consequences for how well these issues can be dealt with.  </w:t>
      </w:r>
      <w:r w:rsidR="00791748">
        <w:t>Dietary supplement</w:t>
      </w:r>
      <w:r w:rsidR="00BD3793">
        <w:t xml:space="preserve"> use</w:t>
      </w:r>
      <w:r w:rsidR="00791748" w:rsidRPr="589C4AF9">
        <w:t xml:space="preserve"> </w:t>
      </w:r>
      <w:r w:rsidR="00BD3793">
        <w:t>is assessed in similar ways to diet.  There is self-reported data</w:t>
      </w:r>
      <w:r w:rsidR="00273F6D" w:rsidRPr="589C4AF9">
        <w:t>,</w:t>
      </w:r>
      <w:r w:rsidR="00BD3793">
        <w:t xml:space="preserve"> using </w:t>
      </w:r>
      <w:r w:rsidR="00133C6B">
        <w:t>a variety</w:t>
      </w:r>
      <w:r w:rsidR="00BD3793">
        <w:t xml:space="preserve"> of questionnaires</w:t>
      </w:r>
      <w:r w:rsidR="00273F6D" w:rsidRPr="589C4AF9">
        <w:t>,</w:t>
      </w:r>
      <w:r w:rsidR="00BD3793">
        <w:t xml:space="preserve"> as well as objective measures</w:t>
      </w:r>
      <w:r w:rsidR="00133C6B" w:rsidRPr="589C4AF9">
        <w:t>,</w:t>
      </w:r>
      <w:r w:rsidR="00BD3793">
        <w:t xml:space="preserve"> in the form of biochemical markers</w:t>
      </w:r>
      <w:r w:rsidR="00F5736B" w:rsidRPr="589C4AF9">
        <w:t xml:space="preserve"> </w:t>
      </w:r>
      <w:r w:rsidR="002A279B">
        <w:t>each with</w:t>
      </w:r>
      <w:r w:rsidR="00BD3793">
        <w:t xml:space="preserve"> advantages and disadvantages</w:t>
      </w:r>
      <w:r w:rsidR="009744D5">
        <w:t xml:space="preserve"> </w:t>
      </w:r>
      <w:r w:rsidR="009744D5" w:rsidRPr="589C4AF9">
        <w:t>(</w:t>
      </w:r>
      <w:r w:rsidR="00D34A30">
        <w:t>Table 1</w:t>
      </w:r>
      <w:r w:rsidR="009744D5" w:rsidRPr="589C4AF9">
        <w:t>)</w:t>
      </w:r>
      <w:r w:rsidR="00BD3793">
        <w:t>.</w:t>
      </w:r>
      <w:r w:rsidR="004B0830" w:rsidRPr="589C4AF9">
        <w:t xml:space="preserve">  </w:t>
      </w:r>
      <w:r w:rsidR="00133C6B" w:rsidRPr="00F429DC">
        <w:t>The go</w:t>
      </w:r>
      <w:r w:rsidR="00133C6B">
        <w:t>ld</w:t>
      </w:r>
      <w:r w:rsidR="00133C6B" w:rsidRPr="00F429DC">
        <w:t xml:space="preserve"> standard</w:t>
      </w:r>
      <w:r w:rsidR="0062658F">
        <w:t xml:space="preserve"> in supplement assessment</w:t>
      </w:r>
      <w:r w:rsidR="00133C6B" w:rsidRPr="589C4AF9">
        <w:t xml:space="preserve"> </w:t>
      </w:r>
      <w:r w:rsidR="00133C6B" w:rsidRPr="00F429DC">
        <w:t>is considered to be</w:t>
      </w:r>
      <w:r w:rsidR="00133C6B">
        <w:t xml:space="preserve"> a face-to-face </w:t>
      </w:r>
      <w:r w:rsidR="00133C6B" w:rsidRPr="589C4AF9">
        <w:rPr>
          <w:i/>
          <w:iCs/>
        </w:rPr>
        <w:t>supplement inventory</w:t>
      </w:r>
      <w:r w:rsidR="00396A5C">
        <w:rPr>
          <w:i/>
          <w:iCs/>
        </w:rPr>
        <w:t>,</w:t>
      </w:r>
      <w:r w:rsidR="00396A5C">
        <w:t xml:space="preserve"> which</w:t>
      </w:r>
      <w:r w:rsidR="00133C6B">
        <w:t xml:space="preserve"> enables label transcription and/or collection of supplement bottles </w:t>
      </w:r>
      <w:r w:rsidR="00133C6B">
        <w:lastRenderedPageBreak/>
        <w:t>to retrieve nutrient composition as well as tablet count and hence provides very detailed information.</w:t>
      </w:r>
      <w:r w:rsidR="00133C6B" w:rsidRPr="589C4AF9">
        <w:t xml:space="preserve"> </w:t>
      </w:r>
      <w:r w:rsidR="00133C6B">
        <w:t xml:space="preserve"> This method has been applied in sub-cohorts or pilot studies, mainly to validate questionnaires </w:t>
      </w:r>
      <w:r w:rsidR="00133C6B">
        <w:fldChar w:fldCharType="begin" w:fldLock="1"/>
      </w:r>
      <w:r w:rsidR="00C1396B">
        <w:instrText>ADDIN CSL_CITATION { "citationItems" : [ { "id" : "ITEM-1", "itemData" : { "ISSN" : "0002-9262", "PMID" : "9778170", "abstract" : "Assessing vitamin and mineral supplement use is important because supplement use per se is an exposure of interest for the risk of several chronic diseases and because supplements contribute a large proportion of total (diet plus supplement) micronutrient intake, another important exposure in epidemiologic research. Unfortunately, little is known about methods for obtaining valid information about supplement use. The authors conducted a validation study in 1996 comparing supplement data collected in a telephone interview and from a self-administered questionnaire with data derived from a detailed, in-person interview and transcription of the labels of supplement bottles (i.e., a gold standard) among adult supplement users in Washington State (n = 104). Spearman correlation coefficients comparing average daily supplemental vitamin and mineral intake from the interview or questionnaire with the gold standard ranged from 0.76 (95% confidence interval 0.66-0.83) for vitamin C to 0.08 (95% confidence interval -0.14 to 0.29) for iron, with a mean of about 0.5. The principal sources of error were inaccurate assumptions about the micronutrient composition of multiple vitamins and respondent confusion regarding the distinction between multiple vitamins and single supplements. These results suggest that commonly used epidemiologic methods of assessing supplement use may incorporate significant amounts of error in estimates of some nutrients.", "author" : [ { "dropping-particle" : "", "family" : "Patterson", "given" : "R E", "non-dropping-particle" : "", "parse-names" : false, "suffix" : "" }, { "dropping-particle" : "", "family" : "Kristal", "given" : "A R", "non-dropping-particle" : "", "parse-names" : false, "suffix" : "" }, { "dropping-particle" : "", "family" : "Levy", "given" : "L", "non-dropping-particle" : "", "parse-names" : false, "suffix" : "" }, { "dropping-particle" : "", "family" : "McLerran", "given" : "D", "non-dropping-particle" : "", "parse-names" : false, "suffix" : "" }, { "dropping-particle" : "", "family" : "White", "given" : "E", "non-dropping-particle" : "", "parse-names" : false, "suffix" : "" } ], "container-title" : "American journal of epidemiology", "id" : "ITEM-1", "issue" : "7", "issued" : { "date-parts" : [ [ "1998", "10", "1" ] ] }, "note" : "Times Cited: 44\nArticle\nEnglish\nPatterson, R. E\nFred Hutchinson Canc Res Ctr, Canc Prevent Res Program, 1100 Fairview Ave N,MP 702,POB 19024, Seattle, WA 98109 USA\nCited References Count: 27\n128PU\nJOHNS HOPKINS UNIV SCHOOL HYGIENE PUB HEALTH\n111 MARKET PLACE, STE 840, BALTIMORE, MD 21202-6709 USA\nBALTIMORE", "page" : "643-9", "title" : "Validity of methods used to assess vitamin and mineral supplement use.", "type" : "article-journal", "volume" : "148" }, "uris" : [ "http://www.mendeley.com/documents/?uuid=3dde05ca-74fe-428d-aba5-f988e7e43396" ] }, { "id" : "ITEM-2", "itemData" : { "ISSN" : "1878-3570", "PMID" : "21703385", "abstract" : "Use of dietary supplements is widespread, yet intakes from supplements are difficult to quantify. The Supplement Reporting study utilized a unique inventory method to quantify dietary supplement use across 1 year in a sample of 397 supplement users. Interviewers visited participants' homes in 2005-2006 to record supplement purchases and the number of pills in each supplement bottle every 3 months. Total use for the year was calculated from these inventories. Participants in this observational study were older adults (average age 68 years) from the Multiethnic Cohort in Hawaii and Los Angeles, CA, with approximately equal representation of men and women and six ethnic groups (white, Japanese American, Hawaiian, African American, Latinos born in the United States, and Latinos born elsewhere). The most commonly used supplement type was one-a-day multivitamins/minerals, which were taken at least once during the year by 83% of men and 73% of women. Other common supplements were vitamin C, fish oil, vitamin E, and bone or joint supplements. Participants used a median of seven (women) and five and a half (men) different supplements during the year. There were few differences in supplement use across ethnic groups for men, but use tended to be highest for white and Japanese-American women. Use of nonvitamin/nonmineral supplements was common among these older adults, sometimes at high doses. When assessing intakes, supplement use should be correctly quantified because users tend to take many different supplements and nutrient intakes from supplements can be substantial. The inventory method may help improve the measurement of supplement use.", "author" : [ { "dropping-particle" : "", "family" : "Murphy", "given" : "Suzanne P", "non-dropping-particle" : "", "parse-names" : false, "suffix" : "" }, { "dropping-particle" : "", "family" : "Wilkens", "given" : "Lynne R", "non-dropping-particle" : "", "parse-names" : false, "suffix" : "" }, { "dropping-particle" : "", "family" : "Monroe", "given" : "Kristine R", "non-dropping-particle" : "", "parse-names" : false, "suffix" : "" }, { "dropping-particle" : "", "family" : "Steffen", "given" : "Alana D", "non-dropping-particle" : "", "parse-names" : false, "suffix" : "" }, { "dropping-particle" : "", "family" : "Yonemori", "given" : "Kim M", "non-dropping-particle" : "", "parse-names" : false, "suffix" : "" }, { "dropping-particle" : "", "family" : "Morimoto", "given" : "Yukiko", "non-dropping-particle" : "", "parse-names" : false, "suffix" : "" }, { "dropping-particle" : "", "family" : "Albright", "given" : "Cheryl L", "non-dropping-particle" : "", "parse-names" : false, "suffix" : "" } ], "container-title" : "Journal of the American Dietetic Association", "id" : "ITEM-2", "issue" : "7", "issued" : { "date-parts" : [ [ "2011", "7" ] ] }, "page" : "1065-72", "title" : "Dietary supplement use within a multiethnic population as measured by a unique inventory method.", "type" : "article-journal", "volume" : "111" }, "uris" : [ "http://www.mendeley.com/documents/?uuid=89f6b706-d5d1-4728-a0e3-8eb9cabaa319" ] } ], "mendeley" : { "formattedCitation" : "&lt;sup&gt;(19,20)&lt;/sup&gt;", "plainTextFormattedCitation" : "(19,20)", "previouslyFormattedCitation" : "&lt;sup&gt;(19,20)&lt;/sup&gt;" }, "properties" : { "noteIndex" : 0 }, "schema" : "https://github.com/citation-style-language/schema/raw/master/csl-citation.json" }</w:instrText>
      </w:r>
      <w:r w:rsidR="00133C6B">
        <w:fldChar w:fldCharType="separate"/>
      </w:r>
      <w:r w:rsidR="00975B94" w:rsidRPr="00975B94">
        <w:rPr>
          <w:noProof/>
          <w:vertAlign w:val="superscript"/>
        </w:rPr>
        <w:t>(19,20)</w:t>
      </w:r>
      <w:r w:rsidR="00133C6B">
        <w:fldChar w:fldCharType="end"/>
      </w:r>
      <w:r w:rsidR="00133C6B">
        <w:t xml:space="preserve">.  Label transcription has also been applied in the UK </w:t>
      </w:r>
      <w:r w:rsidR="00B1233A">
        <w:t>National Diet and Nutrition Surveys (</w:t>
      </w:r>
      <w:r w:rsidR="00133C6B">
        <w:t>NDNS</w:t>
      </w:r>
      <w:r w:rsidR="00B1233A">
        <w:t>)</w:t>
      </w:r>
      <w:r w:rsidR="00133C6B">
        <w:t xml:space="preserve"> and the North/South Ireland Food Consumption Survey.</w:t>
      </w:r>
      <w:r w:rsidR="00890A20" w:rsidRPr="589C4AF9">
        <w:t xml:space="preserve">  </w:t>
      </w:r>
      <w:r w:rsidR="00133C6B">
        <w:t xml:space="preserve">General </w:t>
      </w:r>
      <w:r w:rsidR="00133C6B" w:rsidRPr="589C4AF9">
        <w:rPr>
          <w:i/>
          <w:iCs/>
        </w:rPr>
        <w:t>questionnaires</w:t>
      </w:r>
      <w:r w:rsidR="00133C6B">
        <w:t xml:space="preserve"> can include question(s) regarding supplement use.  Answer categories will enable categorisation into</w:t>
      </w:r>
      <w:r w:rsidR="009755B7" w:rsidRPr="589C4AF9">
        <w:t xml:space="preserve"> </w:t>
      </w:r>
      <w:r w:rsidR="009755B7">
        <w:t>non-supplement users</w:t>
      </w:r>
      <w:r w:rsidR="00133C6B" w:rsidRPr="589C4AF9">
        <w:t xml:space="preserve"> </w:t>
      </w:r>
      <w:r w:rsidR="009755B7" w:rsidRPr="589C4AF9">
        <w:t>(</w:t>
      </w:r>
      <w:r w:rsidR="00133C6B">
        <w:t>NSU</w:t>
      </w:r>
      <w:r w:rsidR="009755B7" w:rsidRPr="589C4AF9">
        <w:t>)</w:t>
      </w:r>
      <w:r w:rsidR="00133C6B">
        <w:t xml:space="preserve"> and </w:t>
      </w:r>
      <w:r w:rsidR="009755B7">
        <w:t>supplement users (</w:t>
      </w:r>
      <w:r w:rsidR="00133C6B">
        <w:t>SU</w:t>
      </w:r>
      <w:r w:rsidR="009755B7" w:rsidRPr="589C4AF9">
        <w:t>)</w:t>
      </w:r>
      <w:r w:rsidR="00133C6B">
        <w:t xml:space="preserve"> and might ask more detailed</w:t>
      </w:r>
      <w:r w:rsidR="000F09BF">
        <w:t xml:space="preserve"> (possibly in free text)</w:t>
      </w:r>
      <w:r w:rsidR="00133C6B">
        <w:t xml:space="preserve"> information on the type of supplement used, such as frequency or dose.  The recall time</w:t>
      </w:r>
      <w:r w:rsidR="000F09BF" w:rsidRPr="589C4AF9">
        <w:t xml:space="preserve"> </w:t>
      </w:r>
      <w:r w:rsidR="00133C6B">
        <w:t>and words such as ‘regular’, ‘usual’ or ‘seasonal’ will reflect the prevalence of supplement use obtained</w:t>
      </w:r>
      <w:r w:rsidR="00F5736B" w:rsidRPr="589C4AF9">
        <w:t xml:space="preserve"> </w:t>
      </w:r>
      <w:r w:rsidR="00F5736B">
        <w:fldChar w:fldCharType="begin" w:fldLock="1"/>
      </w:r>
      <w:r w:rsidR="00C1396B">
        <w:instrText>ADDIN CSL_CITATION { "citationItems" : [ { "id" : "ITEM-1", "itemData" : { "DOI" : "10.1080/07315724.2013.875423", "ISSN" : "0731-5724", "author" : [ { "dropping-particle" : "", "family" : "Dickinson", "given" : "Annette", "non-dropping-particle" : "", "parse-names" : false, "suffix" : "" }, { "dropping-particle" : "", "family" : "Blatman", "given" : "Judy", "non-dropping-particle" : "", "parse-names" : false, "suffix" : "" }, { "dropping-particle" : "", "family" : "El-Dash", "given" : "Neale", "non-dropping-particle" : "", "parse-names" : false, "suffix" : "" }, { "dropping-particle" : "", "family" : "Franco", "given" : "Julio C.", "non-dropping-particle" : "", "parse-names" : false, "suffix" : "" } ], "container-title" : "Journal of the American College of Nutrition", "id" : "ITEM-1", "issue" : "2", "issued" : { "date-parts" : [ [ "2014" ] ] }, "page" : "176-182", "title" : "Consumer Usage and Reasons for Using Dietary Supplements: Report of a Series of Surveys", "type" : "article-journal", "volume" : "33" }, "uris" : [ "http://www.mendeley.com/documents/?uuid=7ad2fe9d-2d37-49b4-a68a-76d541cacf69" ] }, { "id" : "ITEM-2", "itemData" : { "ISSN" : "1939-022X", "PMID" : "23725527", "abstract" : "OBJECTIVE: Supplement use has increased over time and measurements of supplement use are dependent on instruments chosen. Therefore, we investigated three different questionnaires to measure supplement use and whether these results were associated with age, year of recruitment (secular trend, 1993-1998), and seasonal trends. DESIGN: The questionnaires were self-administered within a median time interval of 54 days and included a Health and Lifestyle Questionnaire (1-year recall), a Food Frequency Questionnaire (1-year recall), and a 7-day diet diary. SETTING: Men and women, aged 40-79 years from the general population living in Norfolk (East Anglia, UK), recruited between 1993 and 1998 in the European Prospective Investigation into Cancer Study (EPIC-Norfolk). RESULTS: The prevalence of supplement use estimated with different instruments ranged from 31.7% to 39.0% for men and 45.0% to 54.3% for women. Agreement was substantial with kappa-statistics between 0.72 and 0.81. Participants' age (men only) and recruitment year were independently associated with supplement use; season showed inconsistent results. CONCLUSIONS: The diary provides a good agreement as measured by the kappa-statistic, compared to more long-term measures of supplement use classification. The secular and seasonal trends in supplement use and type of assessment instrument need to be taken into account in studies on health and supplement use.", "author" : [ { "dropping-particle" : "", "family" : "Lentjes", "given" : "Marleen A H", "non-dropping-particle" : "", "parse-names" : false, "suffix" : "" }, { "dropping-particle" : "", "family" : "Welch", "given" : "Ailsa A", "non-dropping-particle" : "", "parse-names" : false, "suffix" : "" }, { "dropping-particle" : "", "family" : "Luben", "given" : "Robert N", "non-dropping-particle" : "", "parse-names" : false, "suffix" : "" }, { "dropping-particle" : "", "family" : "Khaw", "given" : "Kay-Tee", "non-dropping-particle" : "", "parse-names" : false, "suffix" : "" } ], "container-title" : "Journal of dietary supplements", "id" : "ITEM-2", "issue" : "2", "issued" : { "date-parts" : [ [ "2013", "6" ] ] }, "page" : "142-51", "title" : "Differences in dietary supplement use and secular and seasonal trends assessed using three different instruments in the EPIC-Norfolk population study.", "type" : "article-journal", "volume" : "10" }, "uris" : [ "http://www.mendeley.com/documents/?uuid=2cc99685-7414-4c1b-89d4-563f594ef625" ] } ], "mendeley" : { "formattedCitation" : "&lt;sup&gt;(21,22)&lt;/sup&gt;", "plainTextFormattedCitation" : "(21,22)", "previouslyFormattedCitation" : "&lt;sup&gt;(21,22)&lt;/sup&gt;" }, "properties" : { "noteIndex" : 0 }, "schema" : "https://github.com/citation-style-language/schema/raw/master/csl-citation.json" }</w:instrText>
      </w:r>
      <w:r w:rsidR="00F5736B">
        <w:fldChar w:fldCharType="separate"/>
      </w:r>
      <w:r w:rsidR="00975B94" w:rsidRPr="00975B94">
        <w:rPr>
          <w:noProof/>
          <w:vertAlign w:val="superscript"/>
        </w:rPr>
        <w:t>(21,22)</w:t>
      </w:r>
      <w:r w:rsidR="00F5736B">
        <w:fldChar w:fldCharType="end"/>
      </w:r>
      <w:r w:rsidR="00F5736B" w:rsidRPr="589C4AF9">
        <w:t xml:space="preserve">. </w:t>
      </w:r>
      <w:r w:rsidR="00890A20" w:rsidRPr="589C4AF9">
        <w:t xml:space="preserve"> </w:t>
      </w:r>
      <w:r w:rsidR="00133C6B">
        <w:t xml:space="preserve">In a </w:t>
      </w:r>
      <w:r w:rsidR="00133C6B" w:rsidRPr="589C4AF9">
        <w:rPr>
          <w:i/>
          <w:iCs/>
        </w:rPr>
        <w:t>Supplement Frequency Questionnaire (SFQ)</w:t>
      </w:r>
      <w:r w:rsidR="00133C6B">
        <w:t>, s</w:t>
      </w:r>
      <w:r w:rsidR="00133C6B" w:rsidRPr="00F429DC">
        <w:t>upplements are grouped, for example ‘fish oils’, ‘</w:t>
      </w:r>
      <w:r w:rsidR="00204DC4">
        <w:t>v</w:t>
      </w:r>
      <w:r w:rsidR="00133C6B" w:rsidRPr="00F429DC">
        <w:t>itamin</w:t>
      </w:r>
      <w:r w:rsidR="00204DC4">
        <w:t xml:space="preserve"> C</w:t>
      </w:r>
      <w:r w:rsidR="00133C6B" w:rsidRPr="00F429DC">
        <w:t>’, ‘one a day multivitamins’ and frequency and/or amount of use are asked for each supplement group</w:t>
      </w:r>
      <w:r w:rsidR="000F09BF">
        <w:t>, sometimes specifying a minimal frequency of use required</w:t>
      </w:r>
      <w:r w:rsidR="00153444" w:rsidRPr="589C4AF9">
        <w:t xml:space="preserve"> </w:t>
      </w:r>
      <w:r w:rsidR="00153444">
        <w:fldChar w:fldCharType="begin" w:fldLock="1"/>
      </w:r>
      <w:r w:rsidR="00C1396B">
        <w:instrText>ADDIN CSL_CITATION { "citationItems" : [ { "id" : "ITEM-1", "itemData" : { "ISSN" : "0002-9262", "abstract" : "Vitamin and mineral supplements are among the most commonly used drugs in the United States, despite limited evidence on their benefits or risks. This paper describes the design, implementation, and participant characteristics of the VITamins And Lifestyle (VITAL) Study, a cohort study of the associations of supplement use with cancer risk. A total of 77,738 men and women in western Washington State, aged 50-76 years, entered the study in 2000-2002 by completing a detailed questionnaire on supplement use, diet, and other cancer risk factors, and 70% provided DNA through self-collected buccal cell specimens. Supplement users were targeted in recruitment: 66% used multivitamins, 46% used individual vitamin C, 47% used individual vitamin E, and 46% used calcium, typically for 5-8 of the past 10 years. Analyses to identify confounding factors, the main study limitation, showed that regular nonsteroidal anti-inflammatory drug use, intake of fruits and vegetables, and recreational physical activity were strongly associated with supplement use (p &lt; 0.001). The authors describe a follow-up system in which cancers, deaths, and changes of residence are tracked efficiently, primarily through linkage to public databases. These methods may be useful to other researchers implementing a large cohort study or designing a passive follow-up system", "author" : [ { "dropping-particle" : "", "family" : "White", "given" : "E", "non-dropping-particle" : "", "parse-names" : false, "suffix" : "" }, { "dropping-particle" : "", "family" : "Patterson", "given" : "R E", "non-dropping-particle" : "", "parse-names" : false, "suffix" : "" }, { "dropping-particle" : "", "family" : "Kristal", "given" : "A R", "non-dropping-particle" : "", "parse-names" : false, "suffix" : "" }, { "dropping-particle" : "", "family" : "Thornquist", "given" : "M", "non-dropping-particle" : "", "parse-names" : false, "suffix" : "" }, { "dropping-particle" : "", "family" : "King", "given" : "I", "non-dropping-particle" : "", "parse-names" : false, "suffix" : "" }, { "dropping-particle" : "", "family" : "Shattuck", "given" : "A L", "non-dropping-particle" : "", "parse-names" : false, "suffix" : "" }, { "dropping-particle" : "", "family" : "Evans", "given" : "I", "non-dropping-particle" : "", "parse-names" : false, "suffix" : "" }, { "dropping-particle" : "", "family" : "Satia-Abouta", "given" : "J", "non-dropping-particle" : "", "parse-names" : false, "suffix" : "" }, { "dropping-particle" : "", "family" : "Littman", "given" : "A J", "non-dropping-particle" : "", "parse-names" : false, "suffix" : "" }, { "dropping-particle" : "", "family" : "Potter", "given" : "J D", "non-dropping-particle" : "", "parse-names" : false, "suffix" : "" } ], "container-title" : "Am J Epidemiol", "id" : "ITEM-1", "issue" : "1", "issued" : { "date-parts" : [ [ "2004", "1", "1" ] ] }, "page" : "83-93", "title" : "VITamins And Lifestyle cohort study: Study design and characteristics of supplement users", "type" : "article-journal", "volume" : "159" }, "uris" : [ "http://www.mendeley.com/documents/?uuid=f7dcbc4a-0da6-4887-98af-e3e7dfd9bb1c" ] } ], "mendeley" : { "formattedCitation" : "&lt;sup&gt;(23)&lt;/sup&gt;", "plainTextFormattedCitation" : "(23)", "previouslyFormattedCitation" : "&lt;sup&gt;(23)&lt;/sup&gt;" }, "properties" : { "noteIndex" : 0 }, "schema" : "https://github.com/citation-style-language/schema/raw/master/csl-citation.json" }</w:instrText>
      </w:r>
      <w:r w:rsidR="00153444">
        <w:fldChar w:fldCharType="separate"/>
      </w:r>
      <w:r w:rsidR="00975B94" w:rsidRPr="00975B94">
        <w:rPr>
          <w:noProof/>
          <w:vertAlign w:val="superscript"/>
        </w:rPr>
        <w:t>(23)</w:t>
      </w:r>
      <w:r w:rsidR="00153444">
        <w:fldChar w:fldCharType="end"/>
      </w:r>
      <w:r w:rsidR="00133C6B" w:rsidRPr="00F429DC">
        <w:t xml:space="preserve">.  The nutrient intake is calculated by assuming a nutrient formulation for each of these </w:t>
      </w:r>
      <w:proofErr w:type="gramStart"/>
      <w:r w:rsidR="005870CD">
        <w:t>supplement</w:t>
      </w:r>
      <w:proofErr w:type="gramEnd"/>
      <w:r w:rsidR="005870CD">
        <w:t xml:space="preserve"> </w:t>
      </w:r>
      <w:r w:rsidR="00133C6B" w:rsidRPr="00F429DC">
        <w:t xml:space="preserve">groups.  </w:t>
      </w:r>
      <w:r w:rsidR="00133C6B">
        <w:t xml:space="preserve">The recall period varies between studies and can be up to 10 years </w:t>
      </w:r>
      <w:r w:rsidR="00133C6B">
        <w:fldChar w:fldCharType="begin" w:fldLock="1"/>
      </w:r>
      <w:r w:rsidR="00C1396B">
        <w:instrText>ADDIN CSL_CITATION { "citationItems" : [ { "id" : "ITEM-1", "itemData" : { "ISSN" : "0002-9262", "abstract" : "Vitamin and mineral supplements are among the most commonly used drugs in the United States, despite limited evidence on their benefits or risks. This paper describes the design, implementation, and participant characteristics of the VITamins And Lifestyle (VITAL) Study, a cohort study of the associations of supplement use with cancer risk. A total of 77,738 men and women in western Washington State, aged 50-76 years, entered the study in 2000-2002 by completing a detailed questionnaire on supplement use, diet, and other cancer risk factors, and 70% provided DNA through self-collected buccal cell specimens. Supplement users were targeted in recruitment: 66% used multivitamins, 46% used individual vitamin C, 47% used individual vitamin E, and 46% used calcium, typically for 5-8 of the past 10 years. Analyses to identify confounding factors, the main study limitation, showed that regular nonsteroidal anti-inflammatory drug use, intake of fruits and vegetables, and recreational physical activity were strongly associated with supplement use (p &lt; 0.001). The authors describe a follow-up system in which cancers, deaths, and changes of residence are tracked efficiently, primarily through linkage to public databases. These methods may be useful to other researchers implementing a large cohort study or designing a passive follow-up system", "author" : [ { "dropping-particle" : "", "family" : "White", "given" : "E", "non-dropping-particle" : "", "parse-names" : false, "suffix" : "" }, { "dropping-particle" : "", "family" : "Patterson", "given" : "R E", "non-dropping-particle" : "", "parse-names" : false, "suffix" : "" }, { "dropping-particle" : "", "family" : "Kristal", "given" : "A R", "non-dropping-particle" : "", "parse-names" : false, "suffix" : "" }, { "dropping-particle" : "", "family" : "Thornquist", "given" : "M", "non-dropping-particle" : "", "parse-names" : false, "suffix" : "" }, { "dropping-particle" : "", "family" : "King", "given" : "I", "non-dropping-particle" : "", "parse-names" : false, "suffix" : "" }, { "dropping-particle" : "", "family" : "Shattuck", "given" : "A L", "non-dropping-particle" : "", "parse-names" : false, "suffix" : "" }, { "dropping-particle" : "", "family" : "Evans", "given" : "I", "non-dropping-particle" : "", "parse-names" : false, "suffix" : "" }, { "dropping-particle" : "", "family" : "Satia-Abouta", "given" : "J", "non-dropping-particle" : "", "parse-names" : false, "suffix" : "" }, { "dropping-particle" : "", "family" : "Littman", "given" : "A J", "non-dropping-particle" : "", "parse-names" : false, "suffix" : "" }, { "dropping-particle" : "", "family" : "Potter", "given" : "J D", "non-dropping-particle" : "", "parse-names" : false, "suffix" : "" } ], "container-title" : "Am J Epidemiol", "id" : "ITEM-1", "issue" : "1", "issued" : { "date-parts" : [ [ "2004", "1", "1" ] ] }, "page" : "83-93", "title" : "VITamins And Lifestyle cohort study: Study design and characteristics of supplement users", "type" : "article-journal", "volume" : "159" }, "uris" : [ "http://www.mendeley.com/documents/?uuid=f7dcbc4a-0da6-4887-98af-e3e7dfd9bb1c" ] } ], "mendeley" : { "formattedCitation" : "&lt;sup&gt;(23)&lt;/sup&gt;", "plainTextFormattedCitation" : "(23)", "previouslyFormattedCitation" : "&lt;sup&gt;(23)&lt;/sup&gt;" }, "properties" : { "noteIndex" : 0 }, "schema" : "https://github.com/citation-style-language/schema/raw/master/csl-citation.json" }</w:instrText>
      </w:r>
      <w:r w:rsidR="00133C6B">
        <w:fldChar w:fldCharType="separate"/>
      </w:r>
      <w:r w:rsidR="00975B94" w:rsidRPr="00975B94">
        <w:rPr>
          <w:noProof/>
          <w:vertAlign w:val="superscript"/>
        </w:rPr>
        <w:t>(23)</w:t>
      </w:r>
      <w:r w:rsidR="00133C6B">
        <w:fldChar w:fldCharType="end"/>
      </w:r>
      <w:r w:rsidR="00133C6B" w:rsidRPr="589C4AF9">
        <w:t>.</w:t>
      </w:r>
      <w:r w:rsidR="00890A20" w:rsidRPr="589C4AF9">
        <w:t xml:space="preserve">  </w:t>
      </w:r>
      <w:r w:rsidR="00133C6B">
        <w:t xml:space="preserve">A </w:t>
      </w:r>
      <w:r w:rsidR="00133C6B" w:rsidRPr="589C4AF9">
        <w:rPr>
          <w:i/>
          <w:iCs/>
        </w:rPr>
        <w:t>recall</w:t>
      </w:r>
      <w:r w:rsidR="00133C6B">
        <w:t xml:space="preserve"> covers a period of 24h</w:t>
      </w:r>
      <w:r w:rsidR="00133C6B" w:rsidRPr="00F429DC">
        <w:t>, whereby</w:t>
      </w:r>
      <w:r w:rsidR="005870CD">
        <w:t xml:space="preserve"> </w:t>
      </w:r>
      <w:r w:rsidR="00CD6714">
        <w:t>supplement</w:t>
      </w:r>
      <w:r w:rsidR="00133C6B" w:rsidRPr="00F429DC">
        <w:t xml:space="preserve"> nutrient intake can be calculated using default nutrient profiles or manufacturers’ data matched to the exact supplement used, multiplied by t</w:t>
      </w:r>
      <w:r w:rsidR="00133C6B">
        <w:t xml:space="preserve">he frequency of consumption.  The number of days collected will influence the findings regarding prevalence of supplement use </w:t>
      </w:r>
      <w:r w:rsidR="00133C6B">
        <w:fldChar w:fldCharType="begin" w:fldLock="1"/>
      </w:r>
      <w:r w:rsidR="00C1396B">
        <w:instrText>ADDIN CSL_CITATION { "citationItems" : [ { "id" : "ITEM-1", "itemData" : { "ISSN" : "0002-9262", "PMID" : "12244036", "abstract" : "Although methods of collecting food intake data have been studied intensively, there have been fewer investigations into the collection of supplement intake data. Use of eight types of vitamin and mineral supplements was reported between 1994 and 1997 by 2,377 subjects participating in a calibration substudy of the Hawaii-Los Angeles Multiethnic Cohort Study. Subjects gave information on supplement use as part of a dietary questionnaire (administered twice) and during three 24-hour dietary recalls. Multivitamins were the most commonly used supplements (55% of the subjects), followed by vitamin C (40%), vitamin E (33%), and calcium (29%). Vitamin A, beta-carotene, selenium, and iron supplements were each used by fewer than 10% of the subjects. Weighted kappa statistics for agreement between the recalls and the questionnaire across six categories of frequency of use ranged from 0.74 for vitamin E to 0.16 for vitamin A and were generally higher for frequently used supplements. The reproducibility of questionnaire responses at two time points varied from 0.64 to 0.39. In comparison with three recalls, a brief questionnaire can accurately and reproducibly capture data on supplement use for frequently consumed products, but it may perform less well for products used less often or more intermittently.", "author" : [ { "dropping-particle" : "", "family" : "Murphy", "given" : "Suzanne P.", "non-dropping-particle" : "", "parse-names" : false, "suffix" : "" }, { "dropping-particle" : "", "family" : "Wilkens", "given" : "Lynne R", "non-dropping-particle" : "", "parse-names" : false, "suffix" : "" }, { "dropping-particle" : "", "family" : "Hankin", "given" : "Jean H", "non-dropping-particle" : "", "parse-names" : false, "suffix" : "" }, { "dropping-particle" : "", "family" : "Foote", "given" : "Janet A", "non-dropping-particle" : "", "parse-names" : false, "suffix" : "" }, { "dropping-particle" : "", "family" : "Monroe", "given" : "Kristine R", "non-dropping-particle" : "", "parse-names" : false, "suffix" : "" }, { "dropping-particle" : "", "family" : "Henderson", "given" : "Brian E", "non-dropping-particle" : "", "parse-names" : false, "suffix" : "" }, { "dropping-particle" : "", "family" : "Kolonel", "given" : "Laurence N", "non-dropping-particle" : "", "parse-names" : false, "suffix" : "" } ], "container-title" : "American journal of epidemiology", "id" : "ITEM-1", "issue" : "7", "issued" : { "date-parts" : [ [ "2002", "10", "1" ] ] }, "page" : "669-75", "title" : "Comparison of two instruments for quantifying intake of vitamin and mineral supplements: a brief questionnaire versus three 24-hour recalls.", "type" : "article-journal", "volume" : "156" }, "uris" : [ "http://www.mendeley.com/documents/?uuid=0aa3fea0-01ed-4494-9c92-a6254c4dfe40" ] } ], "mendeley" : { "formattedCitation" : "&lt;sup&gt;(24)&lt;/sup&gt;", "plainTextFormattedCitation" : "(24)", "previouslyFormattedCitation" : "&lt;sup&gt;(24)&lt;/sup&gt;" }, "properties" : { "noteIndex" : 0 }, "schema" : "https://github.com/citation-style-language/schema/raw/master/csl-citation.json" }</w:instrText>
      </w:r>
      <w:r w:rsidR="00133C6B">
        <w:fldChar w:fldCharType="separate"/>
      </w:r>
      <w:r w:rsidR="00975B94" w:rsidRPr="00975B94">
        <w:rPr>
          <w:noProof/>
          <w:vertAlign w:val="superscript"/>
        </w:rPr>
        <w:t>(24)</w:t>
      </w:r>
      <w:r w:rsidR="00133C6B">
        <w:fldChar w:fldCharType="end"/>
      </w:r>
      <w:r w:rsidR="00133C6B" w:rsidRPr="589C4AF9">
        <w:t>.</w:t>
      </w:r>
      <w:r w:rsidR="00890A20" w:rsidRPr="589C4AF9">
        <w:t xml:space="preserve">  </w:t>
      </w:r>
      <w:r w:rsidR="00133C6B">
        <w:t xml:space="preserve">In </w:t>
      </w:r>
      <w:r w:rsidR="00133C6B" w:rsidRPr="589C4AF9">
        <w:rPr>
          <w:i/>
          <w:iCs/>
        </w:rPr>
        <w:t>records</w:t>
      </w:r>
      <w:r w:rsidR="00133C6B">
        <w:t>, supplements can be recorded as they are consumed, which could minimise omissions due to forgetfulness (and thereby the potential for recall bias</w:t>
      </w:r>
      <w:r w:rsidR="00133C6B" w:rsidRPr="589C4AF9">
        <w:t>)</w:t>
      </w:r>
      <w:r w:rsidR="00133C6B">
        <w:t xml:space="preserve"> and capture full label content.  Participants are asked </w:t>
      </w:r>
      <w:r w:rsidR="00133C6B" w:rsidRPr="00F429DC">
        <w:t xml:space="preserve">to </w:t>
      </w:r>
      <w:r w:rsidR="00133C6B">
        <w:t>fully describe the supplement, the dose (or enclose the label), the quantity and potentially also the</w:t>
      </w:r>
      <w:r w:rsidR="00133C6B" w:rsidRPr="589C4AF9">
        <w:t xml:space="preserve"> </w:t>
      </w:r>
      <w:r w:rsidR="001B3AAB">
        <w:t xml:space="preserve">clock </w:t>
      </w:r>
      <w:r w:rsidR="00133C6B" w:rsidRPr="00F429DC">
        <w:t>tim</w:t>
      </w:r>
      <w:r w:rsidR="001B3AAB">
        <w:t>e</w:t>
      </w:r>
      <w:r w:rsidR="00133C6B" w:rsidRPr="589C4AF9">
        <w:t xml:space="preserve">.  </w:t>
      </w:r>
      <w:r w:rsidR="00133C6B">
        <w:t>The number of days collected will influence the results regarding prevalence of supplement use.</w:t>
      </w:r>
      <w:r w:rsidR="00890A20" w:rsidRPr="589C4AF9">
        <w:t xml:space="preserve">  </w:t>
      </w:r>
      <w:r w:rsidR="00133C6B" w:rsidRPr="589C4AF9">
        <w:rPr>
          <w:i/>
          <w:iCs/>
        </w:rPr>
        <w:t>Biomarkers</w:t>
      </w:r>
      <w:r w:rsidR="00133C6B">
        <w:t xml:space="preserve">, such as blood or urine samples, tend to be used to measure concentrations of the compound of interest or its metabolite.  </w:t>
      </w:r>
      <w:r w:rsidR="00133C6B" w:rsidRPr="00972DF6">
        <w:t>Biomarkers</w:t>
      </w:r>
      <w:r w:rsidR="00133C6B">
        <w:t xml:space="preserve"> cannot differentiate between sources of the nutrient (</w:t>
      </w:r>
      <w:r w:rsidR="00133C6B" w:rsidRPr="589C4AF9">
        <w:rPr>
          <w:i/>
          <w:iCs/>
        </w:rPr>
        <w:t>i.e.</w:t>
      </w:r>
      <w:r w:rsidR="00133C6B">
        <w:t xml:space="preserve"> whether the vitamin C was derived from foods or supplements), they vary in reference time (</w:t>
      </w:r>
      <w:r w:rsidR="00204DC4">
        <w:t xml:space="preserve">they may </w:t>
      </w:r>
      <w:r w:rsidR="00133C6B">
        <w:t>reflect recent or long-term exposure) and some nutrients are homeostatic</w:t>
      </w:r>
      <w:r w:rsidR="00DF60B7">
        <w:t xml:space="preserve"> or may be affected by illness</w:t>
      </w:r>
      <w:r w:rsidR="00133C6B">
        <w:t>.  Laboratory measures are independent of errors made during self-report, but sample collection can be burdensome for the participant as well as expensive.</w:t>
      </w:r>
    </w:p>
    <w:p w14:paraId="2397A84B" w14:textId="4B98162A" w:rsidR="00094DE5" w:rsidRDefault="00094DE5" w:rsidP="00BD3793">
      <w:r>
        <w:t xml:space="preserve">In summary, all these instruments have limitations and the quality of the data obtained will influence how the obtained data may be used in analysis.  </w:t>
      </w:r>
      <w:r w:rsidR="00054360">
        <w:t>Supplement</w:t>
      </w:r>
      <w:r w:rsidR="00DF60B7">
        <w:t>-disease</w:t>
      </w:r>
      <w:r>
        <w:t xml:space="preserve"> analysis may be fraught with confounding when simply comparing </w:t>
      </w:r>
      <w:r w:rsidR="00A82CF4">
        <w:t>SU</w:t>
      </w:r>
      <w:r>
        <w:t xml:space="preserve"> against </w:t>
      </w:r>
      <w:r w:rsidR="00A82CF4">
        <w:t>NSU</w:t>
      </w:r>
      <w:r w:rsidRPr="589C4AF9">
        <w:t xml:space="preserve">; </w:t>
      </w:r>
      <w:r w:rsidR="00DF60B7">
        <w:t xml:space="preserve">supplement nutrient intake </w:t>
      </w:r>
      <w:r>
        <w:t xml:space="preserve">may require researchers to maintain </w:t>
      </w:r>
      <w:r w:rsidR="009755B7">
        <w:t xml:space="preserve">time-consuming, </w:t>
      </w:r>
      <w:r>
        <w:t xml:space="preserve">detailed </w:t>
      </w:r>
      <w:r w:rsidR="00204DC4">
        <w:t xml:space="preserve">supplement </w:t>
      </w:r>
      <w:r>
        <w:t>composition data</w:t>
      </w:r>
      <w:r w:rsidR="00054360" w:rsidRPr="589C4AF9">
        <w:t>;</w:t>
      </w:r>
      <w:r w:rsidRPr="589C4AF9">
        <w:t xml:space="preserve"> </w:t>
      </w:r>
      <w:r w:rsidR="00DF60B7">
        <w:t>while biomarker</w:t>
      </w:r>
      <w:r w:rsidR="009324EA">
        <w:t>s</w:t>
      </w:r>
      <w:r w:rsidR="00DF60B7" w:rsidRPr="589C4AF9">
        <w:t xml:space="preserve"> </w:t>
      </w:r>
      <w:r>
        <w:t>will leave the researcher with a sample concentration, but without an idea of what was actually consumed.  Indeed</w:t>
      </w:r>
      <w:r w:rsidR="00054360" w:rsidRPr="589C4AF9">
        <w:t>,</w:t>
      </w:r>
      <w:r>
        <w:t xml:space="preserve"> a combination of instruments might be </w:t>
      </w:r>
      <w:r w:rsidR="00054360">
        <w:t xml:space="preserve">a better way forward </w:t>
      </w:r>
      <w:r w:rsidR="00054360">
        <w:fldChar w:fldCharType="begin" w:fldLock="1"/>
      </w:r>
      <w:r w:rsidR="00C1396B">
        <w:instrText>ADDIN CSL_CITATION { "citationItems" : [ { "id" : "ITEM-1", "itemData" : { "DOI" : "10.3945/jn.115.211466", "ISSN" : "0022-3166", "PMID" : "26019244", "author" : [ { "dropping-particle" : "", "family" : "Nicastro", "given" : "H. L.", "non-dropping-particle" : "", "parse-names" : false, "suffix" : "" }, { "dropping-particle" : "", "family" : "Bailey", "given" : "R. L.", "non-dropping-particle" : "", "parse-names" : false, "suffix" : "" }, { "dropping-particle" : "", "family" : "Dodd", "given" : "K. W.", "non-dropping-particle" : "", "parse-names" : false, "suffix" : "" } ], "container-title" : "Journal of Nutrition", "id" : "ITEM-1", "issue" : "7", "issued" : { "date-parts" : [ [ "2015", "7", "1" ] ] }, "page" : "1630-1634", "title" : "Using 2 Assessment Methods May Better Describe Dietary Supplement Intakes in the United States.", "type" : "article-journal", "volume" : "145" }, "uris" : [ "http://www.mendeley.com/documents/?uuid=0c9906c7-8ed3-4ce4-a0cb-7c6cdf1b5659" ] }, { "id" : "ITEM-2", "itemData" : { "ISSN" : "0954-3007", "PMID" : "9881887", "abstract" : "Objective: To compare the evidence derived from blood biochemical status indices with the evidence from a questionnaire and from a 4-day weighed dietary record of micronutrient supplement use in the British National Diet and Nutrition Survey (NDNS) of People Aged 65 Years and Over; to resolve some apparent incompatibility between nutrient intake and status estimates, and to recommend an approach towards supplement recording that should improve accuracy. Design: The survey procedures described in the National Diet and Nutrition Survey Report (1998) included a health-and-lifestyle questionnaire, a 4-day weighed diet record, and fasting blood and urine sample for biochemical indices, including a wide range of micronutrients. Setting: Eighty randomly selected postcode sectors from mainland Britain during 1994-1995. Subjects: Of 2060 people interviewed, 1467 provided a blood sample and 1217 provided both a blood sample, and a complete 4-day diet record. About 20% were living in institutions such as nursing homes, and the remainder were living in private households. Results: After assigning the subjects to four categories by the use of dietary supplements (A, those not taking supplements (by questionnaire or by the 4-day record); B, those taking supplements (excluding prescribed ones) by questionnaire only; C, those taking supplements by 4-day record only; and D, those taking supplements by both questionnaire and 4-day record), these categories were then compared with respect to estimated total nutrient intakes and blood biochemical indices. Those in category B had estimated (4-day) nutrient intakes (from foods and supplements) that were indistinguishable from those in category A, but had biochemical indices that indicated significantly higher dietary intakes of several vitamins. Conclusions and recommendation: The 4-day weighed intake record may not have identified all of the subjects who were regularly taking micronutrient supplements in amounts sufficient to improve their biochemical status. Because survey respondents may use supplements irregularly or change their usual patterns of supplement use during a period of intensive diet-recording, it is important to design a dietary instrument that will minimise this potential source of inaccuracy. We therefore recommend that population surveys in which an accurate estimate of micronutrient intakes is required, from supplements as well as from food, should record supplement use for a period longer than 4-days. I\u2026", "author" : [ { "dropping-particle" : "", "family" : "Bates", "given" : "C J", "non-dropping-particle" : "", "parse-names" : false, "suffix" : "" }, { "dropping-particle" : "", "family" : "Prentice", "given" : "A", "non-dropping-particle" : "", "parse-names" : false, "suffix" : "" }, { "dropping-particle" : "", "family" : "Pols", "given" : "J C", "non-dropping-particle" : "van der", "parse-names" : false, "suffix" : "" }, { "dropping-particle" : "", "family" : "Walmsley", "given" : "C", "non-dropping-particle" : "", "parse-names" : false, "suffix" : "" }, { "dropping-particle" : "", "family" : "Pentieva", "given" : "K D", "non-dropping-particle" : "", "parse-names" : false, "suffix" : "" }, { "dropping-particle" : "", "family" : "Finch", "given" : "S", "non-dropping-particle" : "", "parse-names" : false, "suffix" : "" }, { "dropping-particle" : "", "family" : "Smithers", "given" : "G", "non-dropping-particle" : "", "parse-names" : false, "suffix" : "" }, { "dropping-particle" : "", "family" : "Clarke", "given" : "P C", "non-dropping-particle" : "", "parse-names" : false, "suffix" : "" } ], "container-title" : "Eur J Clin Nutr", "id" : "ITEM-2", "issue" : "12", "issued" : { "date-parts" : [ [ "1998", "12" ] ] }, "page" : "917-23", "title" : "Estimation of the use of dietary supplements in the National Diet and Nutrition Survey: people aged 65 years and Over. An observed paradox and a recommendation.", "type" : "article-journal", "volume" : "52" }, "uris" : [ "http://www.mendeley.com/documents/?uuid=5883d321-58c4-4534-bc1e-361ff6cf8e42" ] } ], "mendeley" : { "formattedCitation" : "&lt;sup&gt;(18,25)&lt;/sup&gt;", "plainTextFormattedCitation" : "(18,25)", "previouslyFormattedCitation" : "&lt;sup&gt;(18,25)&lt;/sup&gt;" }, "properties" : { "noteIndex" : 0 }, "schema" : "https://github.com/citation-style-language/schema/raw/master/csl-citation.json" }</w:instrText>
      </w:r>
      <w:r w:rsidR="00054360">
        <w:fldChar w:fldCharType="separate"/>
      </w:r>
      <w:r w:rsidR="00975B94" w:rsidRPr="00975B94">
        <w:rPr>
          <w:noProof/>
          <w:vertAlign w:val="superscript"/>
        </w:rPr>
        <w:t>(18,25)</w:t>
      </w:r>
      <w:r w:rsidR="00054360">
        <w:fldChar w:fldCharType="end"/>
      </w:r>
      <w:r w:rsidR="00054360" w:rsidRPr="589C4AF9">
        <w:t>.</w:t>
      </w:r>
    </w:p>
    <w:p w14:paraId="425F526F" w14:textId="2EBFB17A" w:rsidR="0006238E" w:rsidRPr="004B12E1" w:rsidRDefault="00214346" w:rsidP="00BD3793">
      <w:r>
        <w:lastRenderedPageBreak/>
        <w:t>The choice of instrument</w:t>
      </w:r>
      <w:r w:rsidR="00E70A36">
        <w:t xml:space="preserve"> is reflected in the prevalence of dietary supplement use observed.  </w:t>
      </w:r>
      <w:r w:rsidR="00BF0B8D">
        <w:t xml:space="preserve">By using a similar instrument, secular trends can be monitored.  </w:t>
      </w:r>
      <w:r w:rsidR="004B12E1">
        <w:t>Using a one year recall, t</w:t>
      </w:r>
      <w:r w:rsidR="00387C86">
        <w:t xml:space="preserve">he NDNS </w:t>
      </w:r>
      <w:r w:rsidR="004B12E1">
        <w:t xml:space="preserve">in </w:t>
      </w:r>
      <w:r w:rsidR="003132E6">
        <w:t>2012/13-2013/</w:t>
      </w:r>
      <w:r w:rsidR="004B12E1">
        <w:t xml:space="preserve">14 estimated the use </w:t>
      </w:r>
      <w:r w:rsidR="00387C86">
        <w:t>of any type of dietary supplement in the UK</w:t>
      </w:r>
      <w:r w:rsidR="005042BB">
        <w:t xml:space="preserve"> </w:t>
      </w:r>
      <w:r w:rsidR="004B12E1">
        <w:t xml:space="preserve">among adults aged 19-64 years to be </w:t>
      </w:r>
      <w:r w:rsidR="00FB70EB">
        <w:t>15</w:t>
      </w:r>
      <w:r w:rsidR="004B12E1">
        <w:t xml:space="preserve">% in men and </w:t>
      </w:r>
      <w:r w:rsidR="00FB70EB">
        <w:t>24</w:t>
      </w:r>
      <w:r w:rsidR="004B12E1">
        <w:t>% in women</w:t>
      </w:r>
      <w:r w:rsidR="00686A32">
        <w:t xml:space="preserve"> and for those &gt;=65 years</w:t>
      </w:r>
      <w:r w:rsidR="00941436">
        <w:t>,</w:t>
      </w:r>
      <w:r w:rsidR="00686A32">
        <w:t xml:space="preserve"> 30% and 41% respectively</w:t>
      </w:r>
      <w:r w:rsidR="0088619F">
        <w:t xml:space="preserve"> </w:t>
      </w:r>
      <w:r w:rsidR="0088619F">
        <w:fldChar w:fldCharType="begin" w:fldLock="1"/>
      </w:r>
      <w:r w:rsidR="00C1396B">
        <w:instrText>ADDIN CSL_CITATION { "citationItems" : [ { "id" : "ITEM-1", "itemData" : { "author" : [ { "dropping-particle" : "", "family" : "NatCen", "given" : "Social Research", "non-dropping-particle" : "", "parse-names" : false, "suffix" : "" }, { "dropping-particle" : "", "family" : "MRC", "given" : "Elsie Widdowson Laboratory", "non-dropping-particle" : "", "parse-names" : false, "suffix" : "" }, { "dropping-particle" : "", "family" : "University College London", "given" : "Medical School", "non-dropping-particle" : "", "parse-names" : false, "suffix" : "" } ], "edition" : "8", "id" : "ITEM-1", "issued" : { "date-parts" : [ [ "2017" ] ] }, "publisher" : "UK Data Archive", "publisher-place" : "Colchester, Essex", "title" : "National Diet and Nutrition Survey Years 1-6, 2008/09-2013/14 [computer file]", "type" : "book" }, "uris" : [ "http://www.mendeley.com/documents/?uuid=f5989500-db3a-42f2-9d81-7bc57349ed79" ] } ], "mendeley" : { "formattedCitation" : "&lt;sup&gt;(26)&lt;/sup&gt;", "plainTextFormattedCitation" : "(26)", "previouslyFormattedCitation" : "&lt;sup&gt;(26)&lt;/sup&gt;" }, "properties" : { "noteIndex" : 0 }, "schema" : "https://github.com/citation-style-language/schema/raw/master/csl-citation.json" }</w:instrText>
      </w:r>
      <w:r w:rsidR="0088619F">
        <w:fldChar w:fldCharType="separate"/>
      </w:r>
      <w:r w:rsidR="00975B94" w:rsidRPr="00975B94">
        <w:rPr>
          <w:noProof/>
          <w:vertAlign w:val="superscript"/>
        </w:rPr>
        <w:t>(26)</w:t>
      </w:r>
      <w:r w:rsidR="0088619F">
        <w:fldChar w:fldCharType="end"/>
      </w:r>
      <w:r w:rsidR="004B12E1">
        <w:t xml:space="preserve">.  </w:t>
      </w:r>
      <w:r w:rsidR="00686A32">
        <w:t>In years 5 and 6 of the rolling programme, t</w:t>
      </w:r>
      <w:r w:rsidR="004B12E1">
        <w:t>he percentage using dietary supplements has not changed greatly</w:t>
      </w:r>
      <w:r w:rsidR="00686A32">
        <w:t xml:space="preserve"> for the oldest age category (38% and 41% respectively); for the younger age groups, up to a threefold increase was observed</w:t>
      </w:r>
      <w:r w:rsidR="004B12E1">
        <w:t xml:space="preserve">.  </w:t>
      </w:r>
      <w:r w:rsidR="00686A32">
        <w:t>C</w:t>
      </w:r>
      <w:r w:rsidR="004B12E1">
        <w:t>ompared to</w:t>
      </w:r>
      <w:r w:rsidR="003132E6">
        <w:t xml:space="preserve"> earlier</w:t>
      </w:r>
      <w:r w:rsidR="004B12E1">
        <w:t xml:space="preserve"> </w:t>
      </w:r>
      <w:r w:rsidR="00686A32">
        <w:t xml:space="preserve">adult survey </w:t>
      </w:r>
      <w:r w:rsidR="004B12E1">
        <w:t>data collections</w:t>
      </w:r>
      <w:r w:rsidR="00686A32">
        <w:t xml:space="preserve"> in 1986/87</w:t>
      </w:r>
      <w:r w:rsidR="004B12E1">
        <w:t xml:space="preserve">, the change has been substantial since it was estimated to be approx. </w:t>
      </w:r>
      <w:r w:rsidR="008C6338">
        <w:t>9</w:t>
      </w:r>
      <w:r w:rsidR="004B12E1">
        <w:t xml:space="preserve">% and </w:t>
      </w:r>
      <w:r w:rsidR="008C6338">
        <w:t>17</w:t>
      </w:r>
      <w:r w:rsidR="004B12E1">
        <w:t>% respectively</w:t>
      </w:r>
      <w:r w:rsidR="00552A4B">
        <w:t xml:space="preserve"> </w:t>
      </w:r>
      <w:r w:rsidR="00552A4B">
        <w:fldChar w:fldCharType="begin" w:fldLock="1"/>
      </w:r>
      <w:r w:rsidR="00C1396B">
        <w:instrText>ADDIN CSL_CITATION { "citationItems" : [ { "id" : "ITEM-1", "itemData" : { "author" : [ { "dropping-particle" : "", "family" : "Henderson", "given" : "Lynne", "non-dropping-particle" : "", "parse-names" : false, "suffix" : "" }, { "dropping-particle" : "", "family" : "Irving", "given" : "Karen", "non-dropping-particle" : "", "parse-names" : false, "suffix" : "" }, { "dropping-particle" : "", "family" : "Gregory", "given" : "Jan", "non-dropping-particle" : "", "parse-names" : false, "suffix" : "" }, { "dropping-particle" : "", "family" : "Bates", "given" : "Christopher J", "non-dropping-particle" : "", "parse-names" : false, "suffix" : "" }, { "dropping-particle" : "", "family" : "Prentice", "given" : "Ann", "non-dropping-particle" : "", "parse-names" : false, "suffix" : "" }, { "dropping-particle" : "", "family" : "Perks", "given" : "Jayne", "non-dropping-particle" : "", "parse-names" : false, "suffix" : "" }, { "dropping-particle" : "", "family" : "Swan", "given" : "Gillian", "non-dropping-particle" : "", "parse-names" : false, "suffix" : "" }, { "dropping-particle" : "", "family" : "Farron", "given" : "Melanie", "non-dropping-particle" : "", "parse-names" : false, "suffix" : "" } ], "id" : "ITEM-1", "issued" : { "date-parts" : [ [ "2003" ] ] }, "publisher" : "The Stationery Office (TSO)", "publisher-place" : "London", "title" : "The National Diet &amp; Nutrition Survey : adults aged 19 to 64 years. Vitamin and mineral intake and urinary analytes", "type" : "report", "volume" : "3" }, "uris" : [ "http://www.mendeley.com/documents/?uuid=90b3aefa-e63e-4b36-8600-8ce201939cd8" ] } ], "mendeley" : { "formattedCitation" : "&lt;sup&gt;(27)&lt;/sup&gt;", "plainTextFormattedCitation" : "(27)", "previouslyFormattedCitation" : "&lt;sup&gt;(27)&lt;/sup&gt;" }, "properties" : { "noteIndex" : 0 }, "schema" : "https://github.com/citation-style-language/schema/raw/master/csl-citation.json" }</w:instrText>
      </w:r>
      <w:r w:rsidR="00552A4B">
        <w:fldChar w:fldCharType="separate"/>
      </w:r>
      <w:r w:rsidR="00975B94" w:rsidRPr="00975B94">
        <w:rPr>
          <w:noProof/>
          <w:vertAlign w:val="superscript"/>
        </w:rPr>
        <w:t>(27)</w:t>
      </w:r>
      <w:r w:rsidR="00552A4B">
        <w:fldChar w:fldCharType="end"/>
      </w:r>
      <w:r w:rsidR="004B12E1">
        <w:t xml:space="preserve">.  </w:t>
      </w:r>
      <w:r w:rsidR="004B12E1" w:rsidRPr="004B12E1">
        <w:t>Secul</w:t>
      </w:r>
      <w:r w:rsidR="004B12E1">
        <w:t xml:space="preserve">ar trends have also been observed in the US, where the use of any type of supplement </w:t>
      </w:r>
      <w:r w:rsidR="00295EA1">
        <w:t>might have</w:t>
      </w:r>
      <w:r w:rsidR="004B12E1">
        <w:t xml:space="preserve"> stabilised, but</w:t>
      </w:r>
      <w:r w:rsidR="00295EA1">
        <w:t>, for example,</w:t>
      </w:r>
      <w:r w:rsidR="004B12E1">
        <w:t xml:space="preserve"> vitamin D supplementation increased </w:t>
      </w:r>
      <w:r w:rsidR="00295EA1">
        <w:t xml:space="preserve">between 1999 and 2012 </w:t>
      </w:r>
      <w:r w:rsidR="004B12E1">
        <w:t xml:space="preserve">from </w:t>
      </w:r>
      <w:r w:rsidR="006302DB">
        <w:t>5% to 19% and omega</w:t>
      </w:r>
      <w:r w:rsidR="006302DB">
        <w:softHyphen/>
      </w:r>
      <w:r w:rsidR="006302DB">
        <w:noBreakHyphen/>
        <w:t xml:space="preserve">3 containing supplements increased 7-fold up to 13% </w:t>
      </w:r>
      <w:r w:rsidR="006302DB">
        <w:fldChar w:fldCharType="begin" w:fldLock="1"/>
      </w:r>
      <w:r w:rsidR="00C1396B">
        <w:instrText>ADDIN CSL_CITATION { "citationItems" : [ { "id" : "ITEM-1", "itemData" : { "DOI" : "10.1001/jama.2016.14403", "ISBN" : "0098-7484", "ISSN" : "0098-7484", "PMID" : "27727382", "abstract" : "IMPORTANCE Dietary supplements are commonly used by US adults; yet, little is known about recent trends in supplement use. OBJECTIVE To report trends in dietary supplement use amongUS adults. DESIGN, SETTING,ANDPARTICIPANTS Serial cross-sectional study using nationally representative data from the National Health and Nutrition Examination Survey (NHANES) collected between 1999 and 2012. Participants include noninstitutionalized adults residing in the United States, surveyed over 7 continuous 2-year cycles (sample size per cycle, 4863 to 6213). EXPOSURES Calendar time, as represented by NHANES cycle. MAIN OUTCOMES AND MEASURES In an in-home interview, participantswere queried on use of supplements in the preceding 30days to estimate the prevalence of use within each NHANES cycle, and trendswere evaluated across cycles. Outcomes included use of any supplements; use of multivitamins/multiminerals (MVMM; defined as a product containing?10 vitamins and/or minerals); and use of individual vitamins, minerals, and nonvitamin, nonmineral supplements.Datawere analyzed overall and by population subgroup (including age, sex, race/ethnicity, and educational status), andwereweighted to be nationally representative. RESULTS A total of 37 958 adultswere included in the study (weighted mean age, 46.4 years; women, 52.0%), with an overall response rate of 74%.Overall, the use of supplements remained stable between 1999 and 2012, with 52%ofUS adults reporting use of any supplements in 2011-2012 (P for trend = .19). This trend varied by population subgroup. Use ofMVMMdecreased, with 37%reporting use ofMVMMin 1999-2000and 31% reporting use in 2011-2012 (difference, \u22125.7%[95%CI, \u22128.6%to \u22122.7%], P for trend &lt; .001). VitaminD supplementation from sources other thanMVMMincreased from 5.1% to 19% (difference, 14%[95%CI, 12%to 17%], P for trend &lt; .001) and use of fish oil supplements increased from 1.3%to 12%(difference, 11% [95%CI, 9.1% to 12%], P for trend &lt; .001) over the study period, whereas use of a number of other supplements decreased. CONCLUSIONS AND RELEVANCE Among adults in the United States, overall use of dietary supplements remained stable from 1999-2012, use ofMVMMdecreased, and trends in use of individual supplements varied andwere heterogeneous by population subgroups.", "author" : [ { "dropping-particle" : "", "family" : "Kantor", "given" : "Elizabeth D.", "non-dropping-particle" : "", "parse-names" : false, "suffix" : "" }, { "dropping-particle" : "", "family" : "Rehm", "given" : "Colin D.", "non-dropping-particle" : "", "parse-names" : false, "suffix" : "" }, { "dropping-particle" : "", "family" : "Du", "given" : "Mengmeng", "non-dropping-particle" : "", "parse-names" : false, "suffix" : "" }, { "dropping-particle" : "", "family" : "White", "given" : "Emily", "non-dropping-particle" : "", "parse-names" : false, "suffix" : "" }, { "dropping-particle" : "", "family" : "Giovannucci", "given" : "Edward L.", "non-dropping-particle" : "", "parse-names" : false, "suffix" : "" } ], "container-title" : "Jama", "id" : "ITEM-1", "issue" : "14", "issued" : { "date-parts" : [ [ "2016" ] ] }, "page" : "1464", "title" : "Trends in Dietary Supplement Use Among US Adults From 1999-2012", "type" : "article-journal", "volume" : "316" }, "uris" : [ "http://www.mendeley.com/documents/?uuid=81cbed89-9de7-48ff-858f-df85a280fb3d" ] } ], "mendeley" : { "formattedCitation" : "&lt;sup&gt;(28)&lt;/sup&gt;", "plainTextFormattedCitation" : "(28)", "previouslyFormattedCitation" : "&lt;sup&gt;(28)&lt;/sup&gt;" }, "properties" : { "noteIndex" : 0 }, "schema" : "https://github.com/citation-style-language/schema/raw/master/csl-citation.json" }</w:instrText>
      </w:r>
      <w:r w:rsidR="006302DB">
        <w:fldChar w:fldCharType="separate"/>
      </w:r>
      <w:r w:rsidR="00975B94" w:rsidRPr="00975B94">
        <w:rPr>
          <w:noProof/>
          <w:vertAlign w:val="superscript"/>
        </w:rPr>
        <w:t>(28)</w:t>
      </w:r>
      <w:r w:rsidR="006302DB">
        <w:fldChar w:fldCharType="end"/>
      </w:r>
      <w:r w:rsidR="004B12E1">
        <w:t xml:space="preserve">. </w:t>
      </w:r>
      <w:r w:rsidR="004B12E1" w:rsidRPr="004B12E1">
        <w:t xml:space="preserve"> </w:t>
      </w:r>
      <w:r w:rsidR="006302DB">
        <w:t>A trend analysis of</w:t>
      </w:r>
      <w:r w:rsidR="00020660">
        <w:t xml:space="preserve"> supplement use in</w:t>
      </w:r>
      <w:r w:rsidR="006302DB">
        <w:t xml:space="preserve"> the Health Professionals Follow-</w:t>
      </w:r>
      <w:r w:rsidR="00A64E8C">
        <w:t>U</w:t>
      </w:r>
      <w:r w:rsidR="006302DB">
        <w:t>p Study and the Nurses</w:t>
      </w:r>
      <w:r w:rsidR="00A64E8C">
        <w:t>’</w:t>
      </w:r>
      <w:r w:rsidR="006302DB">
        <w:t xml:space="preserve"> Health Study </w:t>
      </w:r>
      <w:r w:rsidR="00020660">
        <w:t xml:space="preserve">indicated continued increase of supplement use up to 2006, but </w:t>
      </w:r>
      <w:r w:rsidR="00A64E8C">
        <w:t xml:space="preserve">a </w:t>
      </w:r>
      <w:r w:rsidR="00020660">
        <w:t>marked decrease of beta-carotene after 1994</w:t>
      </w:r>
      <w:r w:rsidR="00A64E8C">
        <w:t>, partly because trials suggested potential h</w:t>
      </w:r>
      <w:r w:rsidR="00A64E8C" w:rsidRPr="00A64E8C">
        <w:t>arm</w:t>
      </w:r>
      <w:r w:rsidR="00020660" w:rsidRPr="00A64E8C">
        <w:t xml:space="preserve"> </w:t>
      </w:r>
      <w:r w:rsidR="004B12E1" w:rsidRPr="00A64E8C">
        <w:fldChar w:fldCharType="begin" w:fldLock="1"/>
      </w:r>
      <w:r w:rsidR="00C1396B">
        <w:instrText>ADDIN CSL_CITATION { "citationItems" : [ { "id" : "ITEM-1", "itemData" : { "DOI" : "10.1016/j.jand.2013.07.039", "ISSN" : "2212-2672", "PMID" : "24119503", "abstract" : "Most studies on the prevalence of supplement use in the United States were cross-sectional or evaluated trends in limited variety of supplements. The objective of this study was to describe the longitudinal and secular trend of dietary supplement use over the past 20 years in health professionals using data from two large prospective cohorts. We analyzed cohort data from 1986 to 2006 in the Nurses' Health Study (NHS) and the Health Professionals Follow-Up Study (HPFS). In 1986, 74,194 women aged 40 to 65 years in the NHS and 50,497 men aged 40 to 75 years in the HPFS were included. Use of dietary supplements including multivitamins, vitamins, and minerals was repeatedly asked every 4 years. Generalized estimating equation models were used for repeated analysis. Prevalence of use of any supplement increased among both women (71.3% to 88.3%) and men (56.4% to 80.7%) from 1986 to 2006. Notably, longitudinal increases in the prevalence of use of vitamin D (2.2% to 32.2% for women and 1.1% to 6.7% for men), folic acid (0.8% to 10.7% for women and 1.1% to 13.8% for men), and fish oil (1.6% to 18.1% for women and 3.3% to 22.2% for men) supplements were observed from 1990 to 2006. However, the use of vitamin A, beta carotene, vitamin C, and vitamin E supplements peaked in 1994 or 1998, then declined steadily. A secular increase in use of multivitamins, vitamin D, folic acid, and fish oil across same age group was noted. In conclusion, the use of many types of dietary supplements has increased over time, but the use of antioxidant supplements has declined. The secular increase in the prevalence of use of supplements across the same age group suggests that aging of the population is not the primary reason for the increase. These findings in health professionals need to be replicated in the general populations.", "author" : [ { "dropping-particle" : "", "family" : "Kim", "given" : "Hyun Ja", "non-dropping-particle" : "", "parse-names" : false, "suffix" : "" }, { "dropping-particle" : "", "family" : "Giovannucci", "given" : "Edward", "non-dropping-particle" : "", "parse-names" : false, "suffix" : "" }, { "dropping-particle" : "", "family" : "Rosner", "given" : "Bernard", "non-dropping-particle" : "", "parse-names" : false, "suffix" : "" }, { "dropping-particle" : "", "family" : "Willett", "given" : "Walter C", "non-dropping-particle" : "", "parse-names" : false, "suffix" : "" }, { "dropping-particle" : "", "family" : "Cho", "given" : "Eunyoung", "non-dropping-particle" : "", "parse-names" : false, "suffix" : "" } ], "container-title" : "Journal of the Academy of Nutrition and Dietetics", "id" : "ITEM-1", "issue" : "3", "issued" : { "date-parts" : [ [ "2014", "3" ] ] }, "page" : "436-43", "title" : "Longitudinal and secular trends in dietary supplement use: Nurses' Health Study and Health Professionals Follow-Up Study, 1986-2006.", "type" : "article-journal", "volume" : "114" }, "uris" : [ "http://www.mendeley.com/documents/?uuid=c7ef8647-6435-40c4-b4ac-544e3a15d75d" ] } ], "mendeley" : { "formattedCitation" : "&lt;sup&gt;(29)&lt;/sup&gt;", "plainTextFormattedCitation" : "(29)", "previouslyFormattedCitation" : "&lt;sup&gt;(29)&lt;/sup&gt;" }, "properties" : { "noteIndex" : 0 }, "schema" : "https://github.com/citation-style-language/schema/raw/master/csl-citation.json" }</w:instrText>
      </w:r>
      <w:r w:rsidR="004B12E1" w:rsidRPr="00A64E8C">
        <w:fldChar w:fldCharType="separate"/>
      </w:r>
      <w:r w:rsidR="00975B94" w:rsidRPr="00975B94">
        <w:rPr>
          <w:noProof/>
          <w:vertAlign w:val="superscript"/>
        </w:rPr>
        <w:t>(29)</w:t>
      </w:r>
      <w:r w:rsidR="004B12E1" w:rsidRPr="00A64E8C">
        <w:fldChar w:fldCharType="end"/>
      </w:r>
      <w:r w:rsidR="00A64E8C" w:rsidRPr="00A64E8C">
        <w:t>.</w:t>
      </w:r>
      <w:r w:rsidR="00E254BA">
        <w:t xml:space="preserve">  </w:t>
      </w:r>
      <w:bookmarkStart w:id="4" w:name="_Hlk522009926"/>
      <w:r w:rsidR="00996A3E" w:rsidRPr="00ED6425">
        <w:t>The changes in trends may be a consequence of health policies (</w:t>
      </w:r>
      <w:r w:rsidR="00996A3E" w:rsidRPr="00ED6425">
        <w:rPr>
          <w:i/>
        </w:rPr>
        <w:t>e.g.</w:t>
      </w:r>
      <w:r w:rsidR="00996A3E" w:rsidRPr="00ED6425">
        <w:t xml:space="preserve"> Healthy Start) and/or media coverage of trials.</w:t>
      </w:r>
      <w:r w:rsidR="00996A3E">
        <w:t xml:space="preserve">  </w:t>
      </w:r>
      <w:bookmarkEnd w:id="4"/>
      <w:r w:rsidR="00E254BA">
        <w:t xml:space="preserve">Supplement use varies greatly across Europe </w:t>
      </w:r>
      <w:r w:rsidR="00E254BA">
        <w:fldChar w:fldCharType="begin" w:fldLock="1"/>
      </w:r>
      <w:r w:rsidR="00C1396B">
        <w:instrText>ADDIN CSL_CITATION { "citationItems" : [ { "id" : "ITEM-1", "itemData" : { "DOI" : "10.3402/fnr.v53i0.2129", "ISSN" : "16546628", "PMID" : "20011225", "abstract" : "BACKGROUND: Recent European Union regulation requires setting of maximum amount of micronutrients in dietary supplements or foods taking into account the tolerable upper intake level (ULs) established by scientific risk assessment and population reference intakes. OBJECTIVE: To collect and evaluate recently available data on intakes of selected vitamins and minerals from conventional foods, food supplements and fortified foods in adults and children. Intake of calcium, copper, iodine, iron, magnesium, phosphorus, selenium, zinc, folic acid, niacin and total vitamin A/retinol, B(6), D and E was derived from nationally representative surveys in Denmark, Germany, Finland, Ireland, Italy, the Netherlands, Poland, Spain and the United Kingdom. Intake of high consumers, defined as the 95th percentile of each nutrient, was compared to the UL. RESULTS: For most nutrients, adults and children generally consume considerably less than the UL with exceptions being retinol, zinc, iodine, copper and magnesium. The major contributor to intakes for all nutrients and in all countries is from foods in the base diet. The patterns of food supplements and voluntary fortification vary widely among countries with food supplements being responsible for the largest differences in total intakes. In the present study, for those countries with data on fortified foods, fortified foods do not significantly contribute to higher intakes for any nutrient. Total nutrient intake expressed as percentage of the UL is generally higher in children than in adults. CONCLUSION: The risk of excessive intakes is relatively low for the majority of nutrients with a few exceptions. Children are the most vulnerable group as they are more likely to exhibit high intakes relative to the UL. There is a need to develop improved methods for estimating intakes of micronutrients from fortified foods and food supplements in future dietary surveys.", "author" : [ { "dropping-particle" : "", "family" : "Flynn", "given" : "Albert", "non-dropping-particle" : "", "parse-names" : false, "suffix" : "" }, { "dropping-particle" : "", "family" : "Hirvonen", "given" : "Tero", "non-dropping-particle" : "", "parse-names" : false, "suffix" : "" }, { "dropping-particle" : "", "family" : "Mensink", "given" : "Gert B M", "non-dropping-particle" : "", "parse-names" : false, "suffix" : "" }, { "dropping-particle" : "", "family" : "Ock\u00e9", "given" : "Marga C.", "non-dropping-particle" : "", "parse-names" : false, "suffix" : "" }, { "dropping-particle" : "", "family" : "Serra-Majem", "given" : "Lluis", "non-dropping-particle" : "", "parse-names" : false, "suffix" : "" }, { "dropping-particle" : "", "family" : "Stos", "given" : "Katarzyna", "non-dropping-particle" : "", "parse-names" : false, "suffix" : "" }, { "dropping-particle" : "", "family" : "Szponar", "given" : "Lucjan", "non-dropping-particle" : "", "parse-names" : false, "suffix" : "" }, { "dropping-particle" : "", "family" : "Tetens", "given" : "Inge", "non-dropping-particle" : "", "parse-names" : false, "suffix" : "" }, { "dropping-particle" : "", "family" : "Turrini", "given" : "Aida", "non-dropping-particle" : "", "parse-names" : false, "suffix" : "" }, { "dropping-particle" : "", "family" : "Fletcher", "given" : "Reg", "non-dropping-particle" : "", "parse-names" : false, "suffix" : "" }, { "dropping-particle" : "", "family" : "Wildemann", "given" : "Tanja", "non-dropping-particle" : "", "parse-names" : false, "suffix" : "" } ], "container-title" : "Food and Nutrition Research", "id" : "ITEM-1", "issue" : "SUPPL. 1", "issued" : { "date-parts" : [ [ "2009" ] ] }, "title" : "Intake of selected nutrients from foods, from fortification and from supplements in various European countries", "type" : "article-journal", "volume" : "53" }, "uris" : [ "http://www.mendeley.com/documents/?uuid=1720893c-05d7-429a-89bd-2194bb05ce65" ] } ], "mendeley" : { "formattedCitation" : "&lt;sup&gt;(30)&lt;/sup&gt;", "plainTextFormattedCitation" : "(30)", "previouslyFormattedCitation" : "&lt;sup&gt;(30)&lt;/sup&gt;" }, "properties" : { "noteIndex" : 0 }, "schema" : "https://github.com/citation-style-language/schema/raw/master/csl-citation.json" }</w:instrText>
      </w:r>
      <w:r w:rsidR="00E254BA">
        <w:fldChar w:fldCharType="separate"/>
      </w:r>
      <w:r w:rsidR="00975B94" w:rsidRPr="00975B94">
        <w:rPr>
          <w:noProof/>
          <w:vertAlign w:val="superscript"/>
        </w:rPr>
        <w:t>(30)</w:t>
      </w:r>
      <w:r w:rsidR="00E254BA">
        <w:fldChar w:fldCharType="end"/>
      </w:r>
      <w:r w:rsidR="00E254BA">
        <w:t xml:space="preserve">, both in prevalence and in the type of supplement consumed.  Comparisons across countries </w:t>
      </w:r>
      <w:r w:rsidR="005333CA">
        <w:t>are</w:t>
      </w:r>
      <w:r w:rsidR="00E254BA">
        <w:t xml:space="preserve"> hampered by the variety in recall time and choice of instrument.  In EPIC-Europe, the choice of a single 24h recall between 1995-2000 might have underestimated the </w:t>
      </w:r>
      <w:r w:rsidR="008D05FB">
        <w:t>‘usual’ supplement</w:t>
      </w:r>
      <w:r w:rsidR="00E254BA">
        <w:t xml:space="preserve"> exposure</w:t>
      </w:r>
      <w:r w:rsidR="00923159">
        <w:t>; however</w:t>
      </w:r>
      <w:r w:rsidR="00E254BA">
        <w:t xml:space="preserve">, a clear North-South gradient </w:t>
      </w:r>
      <w:r w:rsidR="00867956">
        <w:t>wa</w:t>
      </w:r>
      <w:r w:rsidR="00E254BA">
        <w:t>s observed</w:t>
      </w:r>
      <w:r w:rsidR="00867956">
        <w:t xml:space="preserve"> (</w:t>
      </w:r>
      <w:r w:rsidR="005B1A14">
        <w:t>Figure 1</w:t>
      </w:r>
      <w:r w:rsidR="00867956">
        <w:t>)</w:t>
      </w:r>
      <w:r w:rsidR="00E254BA">
        <w:t xml:space="preserve">, as well as positive trends </w:t>
      </w:r>
      <w:r w:rsidR="00867956">
        <w:t>with</w:t>
      </w:r>
      <w:r w:rsidR="00E254BA">
        <w:t xml:space="preserve"> age </w:t>
      </w:r>
      <w:r w:rsidR="00E254BA">
        <w:fldChar w:fldCharType="begin" w:fldLock="1"/>
      </w:r>
      <w:r w:rsidR="00C1396B">
        <w:instrText>ADDIN CSL_CITATION { "citationItems" : [ { "id" : "ITEM-1", "itemData" : { "ISSN" : "0954-3007", "PMID" : "19888276", "abstract" : "BACKGROUND Dietary supplement use is increasing, but there are few comparable data on supplement intakes and how they affect the nutrition and health of European consumers. The aim of this study was to describe the use of dietary supplements in subsamples of the 10 countries participating in the European Prospective Investigation into Cancer and Nutrition (EPIC). METHODS Specific questions on dietary supplement use were asked as a part of single 24-h recalls performed on 36,034 men and women aged 35-74 years from 1995 to 2000. RESULTS Between countries, the mean percentage of dietary supplement use varied almost 10-fold among women and even more among men. There was a clear north-south gradient in use, with a higher consumption in northern countries. The lowest crude mean percentage of use was found in Greece (2.0% among men, 6.7% among women), and the highest was in Denmark (51.0% among men, 65.8% among women). Use was higher in women than in men. Vitamins, minerals or combinations of them were the predominant types of supplements reported, but there were striking differences between countries. CONCLUSIONS This study indicates that there are wide variations in supplement use in Europe, which may affect individual and population nutrient intakes. The results underline the need to monitor consumption of dietary supplements in Europe, as well as to evaluate the risks and benefits.", "author" : [ { "dropping-particle" : "", "family" : "Skeie", "given" : "G.", "non-dropping-particle" : "", "parse-names" : false, "suffix" : "" }, { "dropping-particle" : "", "family" : "Braaten", "given" : "T.", "non-dropping-particle" : "", "parse-names" : false, "suffix" : "" }, { "dropping-particle" : "", "family" : "Hjart\u00e5ker", "given" : "A.", "non-dropping-particle" : "", "parse-names" : false, "suffix" : "" }, { "dropping-particle" : "", "family" : "Lentjes", "given" : "M.", "non-dropping-particle" : "", "parse-names" : false, "suffix" : "" }, { "dropping-particle" : "", "family" : "Amiano", "given" : "P.", "non-dropping-particle" : "", "parse-names" : false, "suffix" : "" }, { "dropping-particle" : "", "family" : "Jakszyn", "given" : "P.", "non-dropping-particle" : "", "parse-names" : false, "suffix" : "" }, { "dropping-particle" : "", "family" : "Pala", "given" : "V.", "non-dropping-particle" : "", "parse-names" : false, "suffix" : "" }, { "dropping-particle" : "", "family" : "Palanca", "given" : "A.", "non-dropping-particle" : "", "parse-names" : false, "suffix" : "" }, { "dropping-particle" : "", "family" : "Niekerk", "given" : "E.M. M", "non-dropping-particle" : "", "parse-names" : false, "suffix" : "" }, { "dropping-particle" : "", "family" : "Verhagen", "given" : "H.", "non-dropping-particle" : "", "parse-names" : false, "suffix" : "" }, { "dropping-particle" : "", "family" : "Avloniti", "given" : "K.", "non-dropping-particle" : "", "parse-names" : false, "suffix" : "" }, { "dropping-particle" : "", "family" : "Psaltopoulou", "given" : "T.", "non-dropping-particle" : "", "parse-names" : false, "suffix" : "" }, { "dropping-particle" : "", "family" : "Niravong", "given" : "M.", "non-dropping-particle" : "", "parse-names" : false, "suffix" : "" }, { "dropping-particle" : "", "family" : "Touvier", "given" : "M.", "non-dropping-particle" : "", "parse-names" : false, "suffix" : "" }, { "dropping-particle" : "", "family" : "Nimptsch", "given" : "K.", "non-dropping-particle" : "", "parse-names" : false, "suffix" : "" }, { "dropping-particle" : "", "family" : "Haubrock", "given" : "J.", "non-dropping-particle" : "", "parse-names" : false, "suffix" : "" }, { "dropping-particle" : "", "family" : "Walker", "given" : "L.", "non-dropping-particle" : "", "parse-names" : false, "suffix" : "" }, { "dropping-particle" : "", "family" : "Spencer", "given" : "E.A. a", "non-dropping-particle" : "", "parse-names" : false, "suffix" : "" }, { "dropping-particle" : "", "family" : "Roswall", "given" : "N.", "non-dropping-particle" : "", "parse-names" : false, "suffix" : "" }, { "dropping-particle" : "", "family" : "Olsen", "given" : "A.", "non-dropping-particle" : "", "parse-names" : false, "suffix" : "" }, { "dropping-particle" : "", "family" : "Wallstr\u00f6m", "given" : "P.", "non-dropping-particle" : "", "parse-names" : false, "suffix" : "" }, { "dropping-particle" : "", "family" : "Nilsson", "given" : "S.", "non-dropping-particle" : "", "parse-names" : false, "suffix" : "" }, { "dropping-particle" : "", "family" : "Casagrande", "given" : "C.", "non-dropping-particle" : "", "parse-names" : false, "suffix" : "" }, { "dropping-particle" : "", "family" : "Deharveng", "given" : "G.", "non-dropping-particle" : "", "parse-names" : false, "suffix" : "" }, { "dropping-particle" : "", "family" : "Hellstr\u00f6m", "given" : "V.", "non-dropping-particle" : "", "parse-names" : false, "suffix" : "" }, { "dropping-particle" : "", "family" : "Boutron-Ruault", "given" : "M-C", "non-dropping-particle" : "", "parse-names" : false, "suffix" : "" }, { "dropping-particle" : "", "family" : "Tj\u00f8nneland", "given" : "A.", "non-dropping-particle" : "", "parse-names" : false, "suffix" : "" }, { "dropping-particle" : "", "family" : "Joensen", "given" : "A.M. M", "non-dropping-particle" : "", "parse-names" : false, "suffix" : "" }, { "dropping-particle" : "", "family" : "Clavel-Chapelon", "given" : "F.", "non-dropping-particle" : "", "parse-names" : false, "suffix" : "" }, { "dropping-particle" : "", "family" : "Trichopoulou", "given" : "A.", "non-dropping-particle" : "", "parse-names" : false, "suffix" : "" }, { "dropping-particle" : "", "family" : "Martinez", "given" : "C.", "non-dropping-particle" : "", "parse-names" : false, "suffix" : "" }, { "dropping-particle" : "", "family" : "Rodr\u00edguez", "given" : "L.", "non-dropping-particle" : "", "parse-names" : false, "suffix" : "" }, { "dropping-particle" : "", "family" : "Frasca", "given" : "G.", "non-dropping-particle" : "", "parse-names" : false, "suffix" : "" }, { "dropping-particle" : "", "family" : "Sacerdote", "given" : "C.", "non-dropping-particle" : "", "parse-names" : false, "suffix" : "" }, { "dropping-particle" : "", "family" : "Peeters", "given" : "P.H.M. H M", "non-dropping-particle" : "", "parse-names" : false, "suffix" : "" }, { "dropping-particle" : "", "family" : "Linseisen", "given" : "J.", "non-dropping-particle" : "", "parse-names" : false, "suffix" : "" }, { "dropping-particle" : "", "family" : "Schienkiewitz", "given" : "A.", "non-dropping-particle" : "", "parse-names" : false, "suffix" : "" }, { "dropping-particle" : "", "family" : "Welch", "given" : "A.A. A", "non-dropping-particle" : "", "parse-names" : false, "suffix" : "" }, { "dropping-particle" : "", "family" : "Manjer", "given" : "J.", "non-dropping-particle" : "", "parse-names" : false, "suffix" : "" }, { "dropping-particle" : "", "family" : "Ferrari", "given" : "P.", "non-dropping-particle" : "", "parse-names" : false, "suffix" : "" }, { "dropping-particle" : "", "family" : "Riboli", "given" : "E.", "non-dropping-particle" : "", "parse-names" : false, "suffix" : "" }, { "dropping-particle" : "", "family" : "Bingham", "given" : "S.", "non-dropping-particle" : "", "parse-names" : false, "suffix" : "" }, { "dropping-particle" : "", "family" : "Engeset", "given" : "D.", "non-dropping-particle" : "", "parse-names" : false, "suffix" : "" }, { "dropping-particle" : "", "family" : "Lund", "given" : "E.", "non-dropping-particle" : "", "parse-names" : false, "suffix" : "" }, { "dropping-particle" : "", "family" : "Slimani", "given" : "N.", "non-dropping-particle" : "", "parse-names" : false, "suffix" : "" } ], "container-title" : "European Journal of Clinical Nutrition", "id" : "ITEM-1", "issue" : "SUPPL. 4", "issued" : { "date-parts" : [ [ "2009", "11" ] ] }, "note" : "From Duplicate 2 (Use of dietary supplements in the European Prospective Investigation into Cancer and Nutrition calibration study. - Skeie, G; Braaten, T; Hjart\u00e5ker, A; Lentjes, M; Amiano, P; Jakszyn, P; Pala, V; Palanca, A; Niekerk, E M; Verhagen, H; Avloniti, K; Psaltopoulou, T; Niravong, M; Touvier, M; Nimptsch, K; Haubrock, J; Walker, L; Spencer, E a; Roswall, N; Olsen, A; Wallstr\u00f6m, P; Nilsson, S; Casagrande, C; Deharveng, G; Hellstr\u00f6m, V; Boutron-Ruault, M-C; Tj\u00f8nneland, A; Joensen, A M; Clavel-Chapelon, F; Trichopoulou, A; Martinez, C; Rodr\u00edguez, L; Frasca, G; Sacerdote, C; Peeters, P H M; Linseisen, J; Schienkiewitz, A; Welch, A A; Manjer, J; Ferrari, P; Riboli, E; Bingham, S; Engeset, D; Lund, E; Slimani, N)\n\nFrom Duplicate 2 ( Use of dietary supplements in the European Prospective Investigation into Cancer and Nutrition calibration study - Skeie, G; Braaten, T; Hjartaker, A; Lentjes, M; Amiano, P; Jakszyn, P; Pala, V; Palanca, A; Niekerk, E M; Verhagen, H; Avloniti, K; Psaltopoulou, T; Niravong, M; Touvier, M; Nimptsch, K; Haubrock, J; Walker, L; Spencer, E A; Roswall, N; Olsen, A; Wallstrom, P; Nilsson, S; Casagrande, C; Deharveng, G; Hellstrom, V; Boutron-Ruault, M C; Tjonneland, A; Joensen, A M; Clavel-Chapelon, F; Trichopoulou, A; Martinez, C; Rodriguez, L; Frasca, G; Sacerdote, C; Peeters, P H M; Linseisen, J; Schienkiewitz, A; Welch, A A; Manjer, J; Ferrari, P; Riboli, E; Bingham, S; Engeset, D; Lund, E; Slimani, N )\n\nTimes Cited: 4\nArticle\nEnglish\nSkeie, G\nUniv Tromso, Inst Community Med, N-9037 Tromso, Norway\nCited References Count: 48\n515LB\nNATURE PUBLISHING GROUP\nMACMILLAN BUILDING, 4 CRINAN ST, LONDON N1 9XW, ENGLAND\nLONDON\nSuppl. 4", "page" : "S226-S238", "title" : "Use of dietary supplements in the European Prospective Investigation into Cancer and Nutrition calibration study", "type" : "article-journal", "volume" : "63" }, "uris" : [ "http://www.mendeley.com/documents/?uuid=947d9376-ed85-449f-bd62-107b2db32dec" ] } ], "mendeley" : { "formattedCitation" : "&lt;sup&gt;(31)&lt;/sup&gt;", "plainTextFormattedCitation" : "(31)", "previouslyFormattedCitation" : "&lt;sup&gt;(31)&lt;/sup&gt;" }, "properties" : { "noteIndex" : 0 }, "schema" : "https://github.com/citation-style-language/schema/raw/master/csl-citation.json" }</w:instrText>
      </w:r>
      <w:r w:rsidR="00E254BA">
        <w:fldChar w:fldCharType="separate"/>
      </w:r>
      <w:r w:rsidR="00975B94" w:rsidRPr="00975B94">
        <w:rPr>
          <w:noProof/>
          <w:vertAlign w:val="superscript"/>
        </w:rPr>
        <w:t>(31)</w:t>
      </w:r>
      <w:r w:rsidR="00E254BA">
        <w:fldChar w:fldCharType="end"/>
      </w:r>
      <w:r w:rsidR="00E254BA">
        <w:t>.</w:t>
      </w:r>
      <w:r w:rsidR="00923159">
        <w:t xml:space="preserve">  The stark differences in the prevalence of supplement use between countries and continents needs to be considered when comparing results regarding supplement-sourced nutrient intake between studies.</w:t>
      </w:r>
    </w:p>
    <w:p w14:paraId="60194D8C" w14:textId="77777777" w:rsidR="00ED7818" w:rsidRPr="004B12E1" w:rsidRDefault="7AF5BD86" w:rsidP="00ED7818">
      <w:pPr>
        <w:pStyle w:val="Heading1"/>
      </w:pPr>
      <w:r>
        <w:t>Supplement nutrient intake - extremes of the distribution</w:t>
      </w:r>
    </w:p>
    <w:p w14:paraId="0FCA499E" w14:textId="346BC024" w:rsidR="00235C3D" w:rsidRPr="00ED6425" w:rsidRDefault="00235C3D" w:rsidP="00235C3D">
      <w:r w:rsidRPr="004B12E1">
        <w:t xml:space="preserve">All </w:t>
      </w:r>
      <w:r w:rsidR="007055AA" w:rsidRPr="004B12E1">
        <w:t xml:space="preserve">of the </w:t>
      </w:r>
      <w:r w:rsidRPr="004B12E1">
        <w:t xml:space="preserve">above </w:t>
      </w:r>
      <w:r w:rsidR="00A64E8C">
        <w:t xml:space="preserve">listed assessment instrument </w:t>
      </w:r>
      <w:r w:rsidRPr="004B12E1">
        <w:t>-except the biomarkers- require the researcher to make assumptions regarding the supplement nutrient composition.  The pre-structured questionnaires will assume a default nutrient composition</w:t>
      </w:r>
      <w:r w:rsidR="000248C3" w:rsidRPr="004B12E1">
        <w:t>.  O</w:t>
      </w:r>
      <w:r w:rsidRPr="004B12E1">
        <w:t>pen-ended questionnaires</w:t>
      </w:r>
      <w:r w:rsidR="008F5DD1" w:rsidRPr="589C4AF9">
        <w:t xml:space="preserve">, </w:t>
      </w:r>
      <w:r w:rsidRPr="004B12E1">
        <w:t>such as</w:t>
      </w:r>
      <w:r w:rsidR="008F5DD1" w:rsidRPr="004B12E1">
        <w:t xml:space="preserve"> used in</w:t>
      </w:r>
      <w:r w:rsidRPr="004B12E1">
        <w:t xml:space="preserve"> the</w:t>
      </w:r>
      <w:r w:rsidR="008F5DD1" w:rsidRPr="004B12E1">
        <w:t xml:space="preserve"> </w:t>
      </w:r>
      <w:r w:rsidR="00C96628" w:rsidRPr="004B12E1">
        <w:t>NDNS</w:t>
      </w:r>
      <w:r w:rsidR="008F5DD1" w:rsidRPr="589C4AF9">
        <w:t xml:space="preserve"> </w:t>
      </w:r>
      <w:r w:rsidR="008F5DD1">
        <w:fldChar w:fldCharType="begin" w:fldLock="1"/>
      </w:r>
      <w:r w:rsidR="00C1396B">
        <w:instrText>ADDIN CSL_CITATION { "citationItems" : [ { "id" : "ITEM-1", "itemData" : { "DOI" : "2014051", "abstract" : "About Public Health England Public Health England's mission is to protect and improve the nation's health and to address inequalities through working with national and local government, the NHS, industry and the voluntary and community sector. PHE is an operationally autonomous executive agency of the Department of Health.", "author" : [ { "dropping-particle" : "", "family" : "Bates", "given" : "Beverley", "non-dropping-particle" : "", "parse-names" : false, "suffix" : "" }, { "dropping-particle" : "", "family" : "Lennox", "given" : "Alison", "non-dropping-particle" : "", "parse-names" : false, "suffix" : "" }, { "dropping-particle" : "", "family" : "Prentice", "given" : "Ann", "non-dropping-particle" : "", "parse-names" : false, "suffix" : "" }, { "dropping-particle" : "", "family" : "Bates", "given" : "Chris", "non-dropping-particle" : "", "parse-names" : false, "suffix" : "" }, { "dropping-particle" : "", "family" : "Page", "given" : "Polly", "non-dropping-particle" : "", "parse-names" : false, "suffix" : "" }, { "dropping-particle" : "", "family" : "Nicholson", "given" : "Sonja", "non-dropping-particle" : "", "parse-names" : false, "suffix" : "" }, { "dropping-particle" : "", "family" : "Swan", "given" : "Gillian", "non-dropping-particle" : "", "parse-names" : false, "suffix" : "" } ], "id" : "ITEM-1", "issued" : { "date-parts" : [ [ "2014" ] ] }, "page" : "1-27", "title" : "National Diet and Nutrition Survey: Results from Years 1, 2, 3 and 4 (combined) of the Rolling Programme", "type" : "article-journal", "volume" : "4" }, "uris" : [ "http://www.mendeley.com/documents/?uuid=88c8ba7e-1c29-4e2f-846b-264a30ec17e8" ] }, { "id" : "ITEM-2", "itemData" : { "editor" : [ { "dropping-particle" : "", "family" : "Bates", "given" : "Beverley", "non-dropping-particle" : "", "parse-names" : false, "suffix" : "" }, { "dropping-particle" : "", "family" : "Cox", "given" : "Lorna", "non-dropping-particle" : "", "parse-names" : false, "suffix" : "" }, { "dropping-particle" : "", "family" : "Nicholson", "given" : "Sonja", "non-dropping-particle" : "", "parse-names" : false, "suffix" : "" }, { "dropping-particle" : "", "family" : "Page", "given" : "Polly", "non-dropping-particle" : "", "parse-names" : false, "suffix" : "" }, { "dropping-particle" : "", "family" : "Prentice", "given" : "Ann", "non-dropping-particle" : "", "parse-names" : false, "suffix" : "" }, { "dropping-particle" : "", "family" : "Steer", "given" : "Toni", "non-dropping-particle" : "", "parse-names" : false, "suffix" : "" }, { "dropping-particle" : "", "family" : "Swan", "given" : "Gillian", "non-dropping-particle" : "", "parse-names" : false, "suffix" : "" } ], "id" : "ITEM-2", "issued" : { "date-parts" : [ [ "2016" ] ] }, "number-of-pages" : "1-29", "publisher" : "Public Health England", "publisher-place" : "London", "title" : "National Diet and Nutrition Survey Results from Years 5 and 6 (combined) of the Rolling Programme (2012/2013 \u2013 2013/2014)", "type" : "book" }, "uris" : [ "http://www.mendeley.com/documents/?uuid=bc6564ae-a367-4be2-bba6-4821a2a2b61e" ] } ], "mendeley" : { "formattedCitation" : "&lt;sup&gt;(32,33)&lt;/sup&gt;", "plainTextFormattedCitation" : "(32,33)", "previouslyFormattedCitation" : "&lt;sup&gt;(32,33)&lt;/sup&gt;" }, "properties" : { "noteIndex" : 0 }, "schema" : "https://github.com/citation-style-language/schema/raw/master/csl-citation.json" }</w:instrText>
      </w:r>
      <w:r w:rsidR="008F5DD1">
        <w:fldChar w:fldCharType="separate"/>
      </w:r>
      <w:r w:rsidR="00975B94" w:rsidRPr="00975B94">
        <w:rPr>
          <w:noProof/>
          <w:vertAlign w:val="superscript"/>
        </w:rPr>
        <w:t>(32,33)</w:t>
      </w:r>
      <w:r w:rsidR="008F5DD1">
        <w:fldChar w:fldCharType="end"/>
      </w:r>
      <w:r w:rsidR="008F5DD1">
        <w:t xml:space="preserve"> and in </w:t>
      </w:r>
      <w:r w:rsidR="00005280">
        <w:t xml:space="preserve">the </w:t>
      </w:r>
      <w:r w:rsidR="000248C3">
        <w:t xml:space="preserve">Norfolk arm of the </w:t>
      </w:r>
      <w:r w:rsidR="00C96628">
        <w:t>European Prospective Investigation into Cancer</w:t>
      </w:r>
      <w:r w:rsidR="000248C3" w:rsidRPr="589C4AF9">
        <w:t xml:space="preserve"> (</w:t>
      </w:r>
      <w:r>
        <w:t>EPIC</w:t>
      </w:r>
      <w:r w:rsidR="008F5DD1">
        <w:noBreakHyphen/>
        <w:t>N</w:t>
      </w:r>
      <w:r>
        <w:t>orfolk</w:t>
      </w:r>
      <w:r w:rsidR="000248C3" w:rsidRPr="589C4AF9">
        <w:t>)</w:t>
      </w:r>
      <w:r w:rsidR="008F5DD1" w:rsidRPr="589C4AF9">
        <w:t xml:space="preserve"> </w:t>
      </w:r>
      <w:r w:rsidR="00005280">
        <w:t xml:space="preserve">study </w:t>
      </w:r>
      <w:r w:rsidR="008F5DD1">
        <w:fldChar w:fldCharType="begin" w:fldLock="1"/>
      </w:r>
      <w:r w:rsidR="00C1396B">
        <w:instrText>ADDIN CSL_CITATION { "citationItems" : [ { "id" : "ITEM-1", "itemData" : { "DOI" : "10.1017/S1368980010002867", "ISBN" : "1368-9800", "ISSN" : "1475-2727", "PMID" : "21083969", "abstract" : "OBJECTIVE Supplements are an important source of micronutrient intake, which, unless taken into account, can misclassify individuals with regard to levels of nutrient exposure. A label-based vitamin and mineral supplements (ViMiS) database was developed to contain manufacturers' information and to enter supplement use by participants in the European Prospective Investigation into Cancer and Nutrition in Norfolk (EPIC-Norfolk). The ViMiS database contains information on all ingredients, broken down into nutrient information in order to be combined with nutrient intake derived from food consumption. DESIGN Development of the ViMiS database and cross-sectional analysis of supplement use in a population-based study. SETTING Men and women aged 40-79 years from the general population participating in the EPIC-Norfolk study between 1993 and 1997, with data available from 7 d diet diaries (7dDD). SUBJECTS A subset of 19 330 participants with available 7dDD and known supplement status. RESULTS To date, the ViMiS database includes 2066 supplements, which altogether contain 16 586 ingredients, with a median of eleven nutrient/ingredients per supplement. Forty per cent of the cohort took a supplement, of which cod liver oil was the most common (24\u00b75 %). CONCLUSIONS The ViMiS database provides a flexible tool for estimating total nutrient intake. The high prevalence of supplement use in the general population indicates that supplement use needs to be taken into account when examining the relationship of intake of particular nutrients to health outcomes.", "author" : [ { "dropping-particle" : "", "family" : "Lentjes", "given" : "Marleen A H", "non-dropping-particle" : "", "parse-names" : false, "suffix" : "" }, { "dropping-particle" : "", "family" : "Bhaniani", "given" : "Amit", "non-dropping-particle" : "", "parse-names" : false, "suffix" : "" }, { "dropping-particle" : "", "family" : "Mulligan", "given" : "Angela A", "non-dropping-particle" : "", "parse-names" : false, "suffix" : "" }, { "dropping-particle" : "", "family" : "Khaw", "given" : "Kay-Tee", "non-dropping-particle" : "", "parse-names" : false, "suffix" : "" }, { "dropping-particle" : "", "family" : "Welch", "given" : "Ailsa A", "non-dropping-particle" : "", "parse-names" : false, "suffix" : "" } ], "container-title" : "Public health nutrition", "id" : "ITEM-1", "issue" : "3", "issued" : { "date-parts" : [ [ "2011", "3", "17" ] ] }, "page" : "459-71", "title" : "Developing a database of vitamin and mineral supplements (ViMiS) for the Norfolk arm of the European Prospective Investigation into Cancer (EPIC-Norfolk).", "type" : "article-journal", "volume" : "14" }, "uris" : [ "http://www.mendeley.com/documents/?uuid=45242884-1fae-4a0c-b14e-715d73902b24" ] } ], "mendeley" : { "formattedCitation" : "&lt;sup&gt;(34)&lt;/sup&gt;", "plainTextFormattedCitation" : "(34)", "previouslyFormattedCitation" : "&lt;sup&gt;(34)&lt;/sup&gt;" }, "properties" : { "noteIndex" : 0 }, "schema" : "https://github.com/citation-style-language/schema/raw/master/csl-citation.json" }</w:instrText>
      </w:r>
      <w:r w:rsidR="008F5DD1">
        <w:fldChar w:fldCharType="separate"/>
      </w:r>
      <w:r w:rsidR="00975B94" w:rsidRPr="00975B94">
        <w:rPr>
          <w:noProof/>
          <w:vertAlign w:val="superscript"/>
        </w:rPr>
        <w:t>(34)</w:t>
      </w:r>
      <w:r w:rsidR="008F5DD1">
        <w:fldChar w:fldCharType="end"/>
      </w:r>
      <w:r w:rsidR="008F5DD1" w:rsidRPr="589C4AF9">
        <w:t>,</w:t>
      </w:r>
      <w:r>
        <w:t xml:space="preserve"> can be more specific, but will </w:t>
      </w:r>
      <w:r w:rsidR="00005280">
        <w:t>equally</w:t>
      </w:r>
      <w:r>
        <w:t xml:space="preserve"> rely on the labels printed on dietary supplement packaging</w:t>
      </w:r>
      <w:r w:rsidR="007B78C5">
        <w:t>, and therefore the potential for label-transcription errors</w:t>
      </w:r>
      <w:r w:rsidR="00CA7F8C" w:rsidRPr="589C4AF9">
        <w:t xml:space="preserve"> </w:t>
      </w:r>
      <w:r w:rsidR="00CA7F8C">
        <w:fldChar w:fldCharType="begin" w:fldLock="1"/>
      </w:r>
      <w:r w:rsidR="00C1396B">
        <w:instrText>ADDIN CSL_CITATION { "citationItems" : [ { "id" : "ITEM-1", "itemData" : { "DOI" : "10.1016/j.jand.2014.04.015", "ISSN" : "22122672", "author" : [ { "dropping-particle" : "", "family" : "Dwyer", "given" : "Johanna T.", "non-dropping-particle" : "", "parse-names" : false, "suffix" : "" }, { "dropping-particle" : "", "family" : "Saldanha", "given" : "Leila G.", "non-dropping-particle" : "", "parse-names" : false, "suffix" : "" }, { "dropping-particle" : "", "family" : "Bailen", "given" : "Richard a.", "non-dropping-particle" : "", "parse-names" : false, "suffix" : "" }, { "dropping-particle" : "", "family" : "Bailey", "given" : "Regan L.", "non-dropping-particle" : "", "parse-names" : false, "suffix" : "" }, { "dropping-particle" : "", "family" : "Costello", "given" : "Rebecca B.", "non-dropping-particle" : "", "parse-names" : false, "suffix" : "" }, { "dropping-particle" : "", "family" : "Betz", "given" : "Joseph M.", "non-dropping-particle" : "", "parse-names" : false, "suffix" : "" }, { "dropping-particle" : "", "family" : "Chang", "given" : "Florence F.", "non-dropping-particle" : "", "parse-names" : false, "suffix" : "" }, { "dropping-particle" : "", "family" : "Goshorn", "given" : "Jeanne", "non-dropping-particle" : "", "parse-names" : false, "suffix" : "" }, { "dropping-particle" : "", "family" : "Andrews", "given" : "Karen W.", "non-dropping-particle" : "", "parse-names" : false, "suffix" : "" }, { "dropping-particle" : "", "family" : "Pehrsson", "given" : "Pamela R.", "non-dropping-particle" : "", "parse-names" : false, "suffix" : "" }, { "dropping-particle" : "", "family" : "Milner", "given" : "John a.", "non-dropping-particle" : "", "parse-names" : false, "suffix" : "" }, { "dropping-particle" : "", "family" : "Burt", "given" : "Vicki L.", "non-dropping-particle" : "", "parse-names" : false, "suffix" : "" }, { "dropping-particle" : "", "family" : "Gahche", "given" : "Jaime J.", "non-dropping-particle" : "", "parse-names" : false, "suffix" : "" }, { "dropping-particle" : "", "family" : "Hardy", "given" : "Constance J.", "non-dropping-particle" : "", "parse-names" : false, "suffix" : "" }, { "dropping-particle" : "", "family" : "Emenaker", "given" : "Nancy J.", "non-dropping-particle" : "", "parse-names" : false, "suffix" : "" } ], "container-title" : "Journal of the Academy of Nutrition and Dietetics", "id" : "ITEM-1", "issue" : "10", "issued" : { "date-parts" : [ [ "2014", "10" ] ] }, "page" : "1512-1517", "title" : "A Free New Dietary Supplement Label Database for Registered Dietitian Nutritionists", "type" : "article-journal", "volume" : "114" }, "uris" : [ "http://www.mendeley.com/documents/?uuid=0131cfff-1479-4036-a3c9-94e035c346ff" ] } ], "mendeley" : { "formattedCitation" : "&lt;sup&gt;(35)&lt;/sup&gt;", "plainTextFormattedCitation" : "(35)", "previouslyFormattedCitation" : "&lt;sup&gt;(35)&lt;/sup&gt;" }, "properties" : { "noteIndex" : 0 }, "schema" : "https://github.com/citation-style-language/schema/raw/master/csl-citation.json" }</w:instrText>
      </w:r>
      <w:r w:rsidR="00CA7F8C">
        <w:fldChar w:fldCharType="separate"/>
      </w:r>
      <w:r w:rsidR="00975B94" w:rsidRPr="00975B94">
        <w:rPr>
          <w:noProof/>
          <w:vertAlign w:val="superscript"/>
        </w:rPr>
        <w:t>(35)</w:t>
      </w:r>
      <w:r w:rsidR="00CA7F8C">
        <w:fldChar w:fldCharType="end"/>
      </w:r>
      <w:r>
        <w:t>.</w:t>
      </w:r>
      <w:bookmarkStart w:id="5" w:name="_Hlk522026879"/>
      <w:r>
        <w:t xml:space="preserve"> </w:t>
      </w:r>
      <w:bookmarkStart w:id="6" w:name="_Hlk522027453"/>
      <w:r>
        <w:t xml:space="preserve"> The packaging may contain errors, the supplement may have been kept in poor storage conditions or the supplement may contain ‘overages</w:t>
      </w:r>
      <w:r w:rsidRPr="00ED6425">
        <w:t>’</w:t>
      </w:r>
      <w:r w:rsidR="00053842" w:rsidRPr="00ED6425">
        <w:t>, the latter mainly for vitamins</w:t>
      </w:r>
      <w:r w:rsidR="00C40694" w:rsidRPr="00ED6425">
        <w:t xml:space="preserve">, and </w:t>
      </w:r>
      <w:r w:rsidR="0044140C" w:rsidRPr="00ED6425">
        <w:t>t</w:t>
      </w:r>
      <w:r w:rsidR="00C40694" w:rsidRPr="00ED6425">
        <w:t>aking into account safety limits,</w:t>
      </w:r>
      <w:r w:rsidR="00053842" w:rsidRPr="00ED6425">
        <w:t xml:space="preserve"> in the range of 5-100%</w:t>
      </w:r>
      <w:r w:rsidR="00C40694" w:rsidRPr="00ED6425">
        <w:t xml:space="preserve"> of the label value</w:t>
      </w:r>
      <w:r w:rsidR="00FF07B9" w:rsidRPr="00ED6425">
        <w:t xml:space="preserve"> </w:t>
      </w:r>
      <w:r w:rsidR="00FF07B9" w:rsidRPr="00ED6425">
        <w:fldChar w:fldCharType="begin" w:fldLock="1"/>
      </w:r>
      <w:r w:rsidR="00BC0A34" w:rsidRPr="00ED6425">
        <w:instrText>ADDIN CSL_CITATION { "citationItems" : [ { "id" : "ITEM-1", "itemData" : { "abstract" : "The Expert Group on Vitamins and Minerals (EVM) is an independent expert advisory committee which was asked to advise on safe levels of intakes of vitamins and minerals in food supplements and fortified foods. The EVM was asked to consider only vitamins and minerals sold under food law. Review of nutritional or non-nutritional beneficial effects or non nutritional use in medicines was outside the terms of reference of the group. The use of vitamins and minerals in medicines is within the remit of the Medicines and Healthcare products Regulatory Agency (MHRA). The EVM considered a detailed review of the relevant evidence for each substance and then a risk assessment which was based on this evidence. The detailed reviews covered both nutritional and toxicological information. Thirty-four substances were assessed in detail. Safe Upper Levels (SULs) were recommended for eight vitamins and minerals and guidance was issued for twenty-two. Recommendations for SULs made by the EVM depend on the availability of good data on both the nature and the frequency of adverse effects detected at different levels of intake. The database supporting the safety-in-use of vitamins and minerals is generally poor. There is a particular lack of reasonable-sized, well-designed comparative human studies of significant duration at different levels of intake, and with adequate assessment of possible adverse effects. Moreover, there has rarely been adequate consideration of potentially vulnerable population sub-groups such as children or older people. For some nutrients the EVM had to rely on animal data, with the use of empirical uncertainty factors in order to allow the extrapolation of the data to humans. For some vitamins and minerals the animal data were too limited for this purpose. As a consequence, the ability to give clear advice on SULs was often compromised and, in many cases, the EVM considered the evidence base inadequate to set a SUL. In such cases, and where possible, Guidance Levels have been given instead. These are based on very limited data; Guidance Levels must not be confused with, or used as, SULs. The determination of SULs or Guidance Levels entails the determination of doses of vitamins and minerals that potentially susceptible individuals could take daily on a life-long basis, without medical supervision in reasonable safety. The setting of these levels provides a framework within which the consumer can make an informed decision about intake, having confiden\u2026", "author" : [ { "dropping-particle" : "", "family" : "Expert group on vitamins and minerals", "given" : "", "non-dropping-particle" : "", "parse-names" : false, "suffix" : "" } ], "id" : "ITEM-1", "issue" : "May", "issued" : { "date-parts" : [ [ "2003" ] ] }, "publisher" : "Food Standards Agency", "publisher-place" : "London", "title" : "Safe Upper Levels for Vitamins and Minerals", "type" : "report" }, "uris" : [ "http://www.mendeley.com/documents/?uuid=0dbc1101-8251-4b23-b660-4130a89a62b1" ] }, { "id" : "ITEM-2", "itemData" : { "URL" : "www.foodsupplementseurope.org", "accessed" : { "date-parts" : [ [ "2018", "8", "14" ] ] }, "author" : [ { "dropping-particle" : "", "family" : "Food Supplements Europe", "given" : "", "non-dropping-particle" : "", "parse-names" : false, "suffix" : "" } ], "id" : "ITEM-2", "issued" : { "date-parts" : [ [ "2014" ] ] }, "page" : "108", "title" : "Guide to Good Manufacturing Practice for Manufacturers of Food Supplements", "type" : "webpage" }, "uris" : [ "http://www.mendeley.com/documents/?uuid=23a2e69d-471c-4947-9139-c3ae2452c2a5" ] } ], "mendeley" : { "formattedCitation" : "&lt;sup&gt;(36,37)&lt;/sup&gt;", "plainTextFormattedCitation" : "(36,37)", "previouslyFormattedCitation" : "&lt;sup&gt;(36,37)&lt;/sup&gt;" }, "properties" : { "noteIndex" : 0 }, "schema" : "https://github.com/citation-style-language/schema/raw/master/csl-citation.json" }</w:instrText>
      </w:r>
      <w:r w:rsidR="00FF07B9" w:rsidRPr="00ED6425">
        <w:fldChar w:fldCharType="separate"/>
      </w:r>
      <w:r w:rsidR="00C1396B" w:rsidRPr="00ED6425">
        <w:rPr>
          <w:noProof/>
          <w:vertAlign w:val="superscript"/>
        </w:rPr>
        <w:t>(36,37)</w:t>
      </w:r>
      <w:r w:rsidR="00FF07B9" w:rsidRPr="00ED6425">
        <w:fldChar w:fldCharType="end"/>
      </w:r>
      <w:r w:rsidRPr="00ED6425">
        <w:t>.</w:t>
      </w:r>
      <w:r>
        <w:t xml:space="preserve">  All these factors make what is </w:t>
      </w:r>
      <w:r w:rsidR="003C540C" w:rsidRPr="589C4AF9">
        <w:t>‘</w:t>
      </w:r>
      <w:r>
        <w:t>on the label</w:t>
      </w:r>
      <w:r w:rsidR="003C540C" w:rsidRPr="589C4AF9">
        <w:t>’</w:t>
      </w:r>
      <w:r>
        <w:t xml:space="preserve"> not an accurate reflection of what is </w:t>
      </w:r>
      <w:r w:rsidR="003C540C" w:rsidRPr="589C4AF9">
        <w:t>‘</w:t>
      </w:r>
      <w:r>
        <w:t>in the dietary supplement</w:t>
      </w:r>
      <w:r w:rsidR="003C540C" w:rsidRPr="589C4AF9">
        <w:t>’</w:t>
      </w:r>
      <w:r>
        <w:t xml:space="preserve"> and therefore a less accurate</w:t>
      </w:r>
      <w:r w:rsidR="005333CA">
        <w:t xml:space="preserve"> -or possibly even biased-</w:t>
      </w:r>
      <w:r>
        <w:t xml:space="preserve"> measure of supplement nutrient intake</w:t>
      </w:r>
      <w:r w:rsidR="00DF60B7" w:rsidRPr="589C4AF9">
        <w:t xml:space="preserve"> (</w:t>
      </w:r>
      <w:r w:rsidR="005333CA">
        <w:t xml:space="preserve">at least </w:t>
      </w:r>
      <w:r w:rsidR="00FF07B9">
        <w:t xml:space="preserve">attenuating any association </w:t>
      </w:r>
      <w:r w:rsidR="00FF07B9">
        <w:lastRenderedPageBreak/>
        <w:t xml:space="preserve">between nutrient </w:t>
      </w:r>
      <w:proofErr w:type="gramStart"/>
      <w:r w:rsidR="00FF07B9">
        <w:t>intake</w:t>
      </w:r>
      <w:proofErr w:type="gramEnd"/>
      <w:r w:rsidR="00FF07B9">
        <w:t xml:space="preserve"> and</w:t>
      </w:r>
      <w:r w:rsidR="007055AA">
        <w:t xml:space="preserve"> the</w:t>
      </w:r>
      <w:r w:rsidR="00FF07B9">
        <w:t xml:space="preserve"> biomarker or disease</w:t>
      </w:r>
      <w:r w:rsidR="00DF60B7" w:rsidRPr="589C4AF9">
        <w:t>)</w:t>
      </w:r>
      <w:r w:rsidRPr="589C4AF9">
        <w:t>.</w:t>
      </w:r>
      <w:r w:rsidR="00BC0A34">
        <w:t xml:space="preserve">  </w:t>
      </w:r>
      <w:r w:rsidR="00BC0A34" w:rsidRPr="00ED6425">
        <w:t>A long-term process of developing a composition table based on analytical data has for these reasons been proposed</w:t>
      </w:r>
      <w:r w:rsidR="00053842" w:rsidRPr="00ED6425">
        <w:t xml:space="preserve"> and developed</w:t>
      </w:r>
      <w:r w:rsidR="00BC0A34" w:rsidRPr="00ED6425">
        <w:t xml:space="preserve"> </w:t>
      </w:r>
      <w:r w:rsidR="00BC0A34" w:rsidRPr="00ED6425">
        <w:fldChar w:fldCharType="begin" w:fldLock="1"/>
      </w:r>
      <w:r w:rsidR="009241D8" w:rsidRPr="00ED6425">
        <w:instrText>ADDIN CSL_CITATION { "citationItems" : [ { "id" : "ITEM-1", "itemData" : { "ISSN" : "0889-1575", "abstract" : "Although an estimated 50% of adults in the United States consume dietary supplements, analytically substantiated data on their bioactive constituents are sparse. Several programs funded by the Office of Dietary Supplements (ODS) at the National Institutes of Health enhance dietary supplement database development and help to better describe the quantitative and qualitative contributions of dietary supplements to total dietary intakes. ODS, in collaboration with the United States Department of Agriculture, is developing a Dietary Supplement Ingredient Database (DSID) verified by chemical analysis. The products chosen initially for analytical verification are adult multivitamin-mineral supplements (MVMs). These products are widely used, analytical methods are available for determining key constituents, and a certified reference material is in development. Also MVMs have no standard scientific, regulatory, or marketplace definitions and have widely varying compositions, characteristics, and bioavailability. Furthermore, the extent to which actual amounts of vitamins and minerals in a product deviate from label values is not known. Ultimately, DSID will prove useful to professionals in permitting more accurate estimation of the contribution of dietary supplements to total dietary intakes of nutrients and better evaluation of the role of dietary supplements in promoting health and well-being. ODS is also collaborating with the National Center for Health Statistics to enhance the National Health and Nutrition Examination Survey dietary supplement label database. The newest ODS effort explores the feasibility and practicality of developing a database of all dietary supplement labels marketed in the US. This article describes these and supporting projects. Published by Elsevier Inc", "author" : [ { "dropping-particle" : "", "family" : "Dwyer", "given" : "J T", "non-dropping-particle" : "", "parse-names" : false, "suffix" : "" }, { "dropping-particle" : "", "family" : "Picciano", "given" : "M F", "non-dropping-particle" : "", "parse-names" : false, "suffix" : "" }, { "dropping-particle" : "", "family" : "Betz", "given" : "J M", "non-dropping-particle" : "", "parse-names" : false, "suffix" : "" }, { "dropping-particle" : "", "family" : "Fisher", "given" : "K D", "non-dropping-particle" : "", "parse-names" : false, "suffix" : "" }, { "dropping-particle" : "", "family" : "Saldanha", "given" : "L G", "non-dropping-particle" : "", "parse-names" : false, "suffix" : "" }, { "dropping-particle" : "", "family" : "Yetley", "given" : "E A", "non-dropping-particle" : "", "parse-names" : false, "suffix" : "" }, { "dropping-particle" : "", "family" : "Coates", "given" : "P M", "non-dropping-particle" : "", "parse-names" : false, "suffix" : "" }, { "dropping-particle" : "", "family" : "Milner", "given" : "J A", "non-dropping-particle" : "", "parse-names" : false, "suffix" : "" }, { "dropping-particle" : "", "family" : "Whitted", "given" : "J", "non-dropping-particle" : "", "parse-names" : false, "suffix" : "" }, { "dropping-particle" : "", "family" : "Burt", "given" : "V", "non-dropping-particle" : "", "parse-names" : false, "suffix" : "" }, { "dropping-particle" : "", "family" : "Radimer", "given" : "K", "non-dropping-particle" : "", "parse-names" : false, "suffix" : "" }, { "dropping-particle" : "", "family" : "Wilger", "given" : "J", "non-dropping-particle" : "", "parse-names" : false, "suffix" : "" }, { "dropping-particle" : "", "family" : "Sharpless", "given" : "K E", "non-dropping-particle" : "", "parse-names" : false, "suffix" : "" }, { "dropping-particle" : "", "family" : "Holden", "given" : "J M", "non-dropping-particle" : "", "parse-names" : false, "suffix" : "" }, { "dropping-particle" : "", "family" : "Andrews", "given" : "K", "non-dropping-particle" : "", "parse-names" : false, "suffix" : "" }, { "dropping-particle" : "", "family" : "Roseland", "given" : "J", "non-dropping-particle" : "", "parse-names" : false, "suffix" : "" }, { "dropping-particle" : "", "family" : "Zhao", "given" : "C", "non-dropping-particle" : "", "parse-names" : false, "suffix" : "" }, { "dropping-particle" : "", "family" : "Schweitzer", "given" : "A", "non-dropping-particle" : "", "parse-names" : false, "suffix" : "" }, { "dropping-particle" : "", "family" : "Harnly", "given" : "J", "non-dropping-particle" : "", "parse-names" : false, "suffix" : "" }, { "dropping-particle" : "", "family" : "Wolf", "given" : "W R", "non-dropping-particle" : "", "parse-names" : false, "suffix" : "" }, { "dropping-particle" : "", "family" : "Perry", "given" : "C R", "non-dropping-particle" : "", "parse-names" : false, "suffix" : "" } ], "container-title" : "Journal of Food Composition and Analysis", "id" : "ITEM-1", "issued" : { "date-parts" : [ [ "2008", "2" ] ] }, "note" : "Times Cited: 2\nProceedings Paper\nEnglish\nDwyer, J. T\nUS Dept HHS, Natl Inst Hlth, Off Dietary Supplement, Bethesda, MD USA\nCited References Count: 40\n240TR\nACADEMIC PRESS INC ELSEVIER SCIENCE\n525 B ST, STE 1900, SAN DIEGO, CA 92101-4495 USA\nSAN DIEGO\nSuppl. S", "page" : "S83-S93", "title" : "Progress in developing analytical and label-based dietary supplement databases at the NIH Office of Dietary Supplements", "type" : "article-journal", "volume" : "21" }, "uris" : [ "http://www.mendeley.com/documents/?uuid=a7d5752b-ee0a-40a1-88f8-6ab4047ebe0a" ] }, { "id" : "ITEM-2", "itemData" : { "ISSN" : "0022-3166", "PMID" : "12566509", "abstract" : "This paper describes the collection process for the integrated dietary component of the National Health and Nutrition Examination Survey(NHANES) 2002 (entitled What We Eat in America-NHANES), referred to here as the integrated survey. The dietary components of previous NHANES cycles and the Continuing Survey of Food Intake in Individuals (CSFII) are also described. The collection process for foods in the integrated survey consists of an in-person 24-h recall using a computerized 5-step method and a second nonconsecutive 24-h recall via telephone. A food frequency questionnaire is being pilot-tested to provide information on the propensity to consume certain foods. Dietary supplement intakes over the past 30 d are assessed for all persons during the household interview. Other diet-related data are also obtained. Strengths of the integrated survey include information on food and supplement intakes in a representative sample of the civilian noninstitutionalized population of the United States that can be linked to anthropometric, biochemical, clinical and disease history information in NHANES. After reviewing the current state of the art on dietary and dietary supplement data collection, discussion groups consisting of members of key stakeholder community concluded that, although the most advanced methods for dietary data collection available are being used, the differences between how information on food and dietary supplement intakes is collected make it challenging to combine data describing nutrients from both sources to obtain estimates of total nutrient intakes. The discussion groups concluded that more research is needed on these issues and provided key recommendations for future efforts in this important area of public health surveillance.", "author" : [ { "dropping-particle" : "", "family" : "Dwyer", "given" : "Johanna", "non-dropping-particle" : "", "parse-names" : false, "suffix" : "" }, { "dropping-particle" : "", "family" : "Picciano", "given" : "Mary Frances", "non-dropping-particle" : "", "parse-names" : false, "suffix" : "" }, { "dropping-particle" : "", "family" : "Raiten", "given" : "Daniel J", "non-dropping-particle" : "", "parse-names" : false, "suffix" : "" } ], "container-title" : "The Journal of nutrition", "id" : "ITEM-2", "issue" : "2", "issued" : { "date-parts" : [ [ "2003", "2" ] ] }, "page" : "590S-600S", "title" : "Collection of food and dietary supplement intake data: What We Eat in America-NHANES.", "type" : "article-journal", "volume" : "133" }, "uris" : [ "http://www.mendeley.com/documents/?uuid=8baecb24-4325-42ca-83e8-20a4923bf838" ] } ], "mendeley" : { "formattedCitation" : "&lt;sup&gt;(38,39)&lt;/sup&gt;", "plainTextFormattedCitation" : "(38,39)", "previouslyFormattedCitation" : "&lt;sup&gt;(38,39)&lt;/sup&gt;" }, "properties" : { "noteIndex" : 0 }, "schema" : "https://github.com/citation-style-language/schema/raw/master/csl-citation.json" }</w:instrText>
      </w:r>
      <w:r w:rsidR="00BC0A34" w:rsidRPr="00ED6425">
        <w:fldChar w:fldCharType="separate"/>
      </w:r>
      <w:r w:rsidR="00C40694" w:rsidRPr="00ED6425">
        <w:rPr>
          <w:noProof/>
          <w:vertAlign w:val="superscript"/>
        </w:rPr>
        <w:t>(38,39)</w:t>
      </w:r>
      <w:r w:rsidR="00BC0A34" w:rsidRPr="00ED6425">
        <w:fldChar w:fldCharType="end"/>
      </w:r>
      <w:r w:rsidR="00BC0A34" w:rsidRPr="00ED6425">
        <w:t>.</w:t>
      </w:r>
      <w:bookmarkEnd w:id="5"/>
    </w:p>
    <w:p w14:paraId="6FCD5648" w14:textId="1998500C" w:rsidR="00762894" w:rsidRDefault="001C0164" w:rsidP="006D3CEA">
      <w:bookmarkStart w:id="7" w:name="_Hlk522031850"/>
      <w:bookmarkEnd w:id="6"/>
      <w:r w:rsidRPr="00ED6425">
        <w:t>Once the nutrient intake from supplements is assessed, it can be added to the food-sourced intake,</w:t>
      </w:r>
      <w:r w:rsidR="007678FC" w:rsidRPr="00ED6425">
        <w:t xml:space="preserve"> to obtain </w:t>
      </w:r>
      <w:r w:rsidR="00396114" w:rsidRPr="00ED6425">
        <w:t>TNI</w:t>
      </w:r>
      <w:r w:rsidR="00CE72F5" w:rsidRPr="00ED6425">
        <w:t xml:space="preserve">.  This </w:t>
      </w:r>
      <w:r w:rsidR="00396114" w:rsidRPr="00ED6425">
        <w:t>widen</w:t>
      </w:r>
      <w:r w:rsidR="00CE72F5" w:rsidRPr="00ED6425">
        <w:t>s</w:t>
      </w:r>
      <w:r w:rsidR="00DF27CC" w:rsidRPr="00ED6425">
        <w:t xml:space="preserve"> the range of the studied </w:t>
      </w:r>
      <w:r w:rsidR="00103760" w:rsidRPr="00ED6425">
        <w:t>nutrient</w:t>
      </w:r>
      <w:r w:rsidR="00DF27CC" w:rsidRPr="00ED6425">
        <w:t xml:space="preserve">, and therefore </w:t>
      </w:r>
      <w:r w:rsidR="00103760" w:rsidRPr="00ED6425">
        <w:t xml:space="preserve">enables </w:t>
      </w:r>
      <w:r w:rsidR="00DF27CC" w:rsidRPr="00ED6425">
        <w:t>risk</w:t>
      </w:r>
      <w:r w:rsidR="00103760" w:rsidRPr="00ED6425">
        <w:t xml:space="preserve"> assessment</w:t>
      </w:r>
      <w:r w:rsidR="00DF27CC" w:rsidRPr="00ED6425">
        <w:t xml:space="preserve"> at either side of the </w:t>
      </w:r>
      <w:r w:rsidR="00396114" w:rsidRPr="00ED6425">
        <w:t xml:space="preserve">nutrient intake </w:t>
      </w:r>
      <w:r w:rsidR="00DF27CC" w:rsidRPr="00ED6425">
        <w:t>distribution</w:t>
      </w:r>
      <w:r w:rsidR="00396114" w:rsidRPr="00ED6425">
        <w:t xml:space="preserve"> (</w:t>
      </w:r>
      <w:r w:rsidR="005B1A14" w:rsidRPr="00ED6425">
        <w:t>Figure 2</w:t>
      </w:r>
      <w:r w:rsidR="00396114" w:rsidRPr="00ED6425">
        <w:t>)</w:t>
      </w:r>
      <w:r w:rsidR="00DF27CC" w:rsidRPr="00ED6425">
        <w:t xml:space="preserve">.  </w:t>
      </w:r>
      <w:r w:rsidR="00103760" w:rsidRPr="00ED6425">
        <w:t>T</w:t>
      </w:r>
      <w:r w:rsidR="00226225" w:rsidRPr="00ED6425">
        <w:t>he ‘at risk’ population is situated in the tails of the nutrient intake distribution</w:t>
      </w:r>
      <w:r w:rsidR="002C14A8" w:rsidRPr="00ED6425">
        <w:t xml:space="preserve"> (either because the intake remains low or becomes too high after inclusion of supplement sources)</w:t>
      </w:r>
      <w:r w:rsidR="00226225" w:rsidRPr="00ED6425">
        <w:t>, t</w:t>
      </w:r>
      <w:r w:rsidR="00226225">
        <w:t>he intakes of which are less accurately measured.</w:t>
      </w:r>
      <w:bookmarkEnd w:id="7"/>
      <w:r w:rsidR="00226225">
        <w:t xml:space="preserve">  For this reason, researchers may take the upper/lower 5</w:t>
      </w:r>
      <w:r w:rsidR="00226225" w:rsidRPr="00226225">
        <w:rPr>
          <w:vertAlign w:val="superscript"/>
        </w:rPr>
        <w:t>th</w:t>
      </w:r>
      <w:r w:rsidR="00226225">
        <w:t xml:space="preserve"> centile of </w:t>
      </w:r>
      <w:r w:rsidR="00103760">
        <w:t xml:space="preserve">the nutrient </w:t>
      </w:r>
      <w:r w:rsidR="00226225">
        <w:t xml:space="preserve">intake </w:t>
      </w:r>
      <w:r w:rsidR="00103760">
        <w:t xml:space="preserve">distribution </w:t>
      </w:r>
      <w:r w:rsidR="00226225">
        <w:t>as a more stable assessment rather than t</w:t>
      </w:r>
      <w:r w:rsidR="00103760">
        <w:t xml:space="preserve">he proportion in the distribution above or below the </w:t>
      </w:r>
      <w:r w:rsidR="00226225">
        <w:t>exact</w:t>
      </w:r>
      <w:r w:rsidR="0061758F" w:rsidRPr="589C4AF9">
        <w:t xml:space="preserve"> </w:t>
      </w:r>
      <w:proofErr w:type="spellStart"/>
      <w:r w:rsidR="0061758F">
        <w:t>cutoff</w:t>
      </w:r>
      <w:proofErr w:type="spellEnd"/>
      <w:r w:rsidR="0061758F">
        <w:t xml:space="preserve"> set by the</w:t>
      </w:r>
      <w:r w:rsidR="00226225" w:rsidRPr="589C4AF9">
        <w:t xml:space="preserve"> </w:t>
      </w:r>
      <w:r w:rsidR="00226225" w:rsidRPr="589C4AF9">
        <w:rPr>
          <w:i/>
          <w:iCs/>
        </w:rPr>
        <w:t>Dietary Reference Value</w:t>
      </w:r>
      <w:r w:rsidR="0061758F" w:rsidRPr="589C4AF9">
        <w:rPr>
          <w:i/>
          <w:iCs/>
        </w:rPr>
        <w:t>s</w:t>
      </w:r>
      <w:r w:rsidR="00226225">
        <w:t xml:space="preserve"> (DRV)</w:t>
      </w:r>
      <w:r w:rsidR="00A83BA1" w:rsidRPr="589C4AF9">
        <w:t xml:space="preserve"> </w:t>
      </w:r>
      <w:r w:rsidR="00A83BA1">
        <w:fldChar w:fldCharType="begin" w:fldLock="1"/>
      </w:r>
      <w:r w:rsidR="009241D8">
        <w:instrText>ADDIN CSL_CITATION { "citationItems" : [ { "id" : "ITEM-1", "itemData" : { "author" : [ { "dropping-particle" : "", "family" : "COMA", "given" : "", "non-dropping-particle" : "", "parse-names" : false, "suffix" : "" } ], "id" : "ITEM-1", "issued" : { "date-parts" : [ [ "1991" ] ] }, "publisher" : "HMSO", "title" : "Dietary Reference Values for food energy and nutrients for the United Kingdom. Report of the Panel on Dietary Reference Values, Committee on Medical Aspects of Food Policy", "type" : "report", "volume" : "41" }, "uris" : [ "http://www.mendeley.com/documents/?uuid=d98a70ae-a0ed-4a0a-97db-ac9fb1deedb4" ] }, { "id" : "ITEM-2", "itemData" : { "DOI" : "10.2903/sp.efsa.2017.e15121", "ISSN" : "23978325", "container-title" : "EFSA Supporting Publications", "id" : "ITEM-2", "issue" : "12", "issued" : { "date-parts" : [ [ "2017" ] ] }, "title" : "Dietary Reference Values for nutrients Summary report", "type" : "article-journal", "volume" : "14" }, "uris" : [ "http://www.mendeley.com/documents/?uuid=11f7613d-0515-49f5-82fb-ac766e4ccb97" ] } ], "mendeley" : { "formattedCitation" : "&lt;sup&gt;(40,41)&lt;/sup&gt;", "plainTextFormattedCitation" : "(40,41)", "previouslyFormattedCitation" : "&lt;sup&gt;(40,41)&lt;/sup&gt;" }, "properties" : { "noteIndex" : 0 }, "schema" : "https://github.com/citation-style-language/schema/raw/master/csl-citation.json" }</w:instrText>
      </w:r>
      <w:r w:rsidR="00A83BA1">
        <w:fldChar w:fldCharType="separate"/>
      </w:r>
      <w:r w:rsidR="00C40694" w:rsidRPr="00C40694">
        <w:rPr>
          <w:noProof/>
          <w:vertAlign w:val="superscript"/>
        </w:rPr>
        <w:t>(40,41)</w:t>
      </w:r>
      <w:r w:rsidR="00A83BA1">
        <w:fldChar w:fldCharType="end"/>
      </w:r>
      <w:r w:rsidR="00226225" w:rsidRPr="589C4AF9">
        <w:t xml:space="preserve">.  </w:t>
      </w:r>
      <w:r w:rsidR="00253DF7" w:rsidRPr="00923C7A">
        <w:t>When a limited number of dietary intake days are collected, researchers</w:t>
      </w:r>
      <w:r w:rsidR="00226225" w:rsidRPr="00923C7A">
        <w:t xml:space="preserve"> prefer application of statistical techniques such as ‘Shrink &amp; add’ or ‘Add &amp; shrink’ </w:t>
      </w:r>
      <w:r w:rsidR="00923C7A" w:rsidRPr="00923C7A">
        <w:t xml:space="preserve">(see the </w:t>
      </w:r>
      <w:r w:rsidR="00226225" w:rsidRPr="00923C7A">
        <w:t xml:space="preserve">measurement error </w:t>
      </w:r>
      <w:r w:rsidR="00923C7A" w:rsidRPr="00923C7A">
        <w:t>webinar series for information about these methods</w:t>
      </w:r>
      <w:r w:rsidR="00923C7A" w:rsidRPr="589C4AF9">
        <w:t xml:space="preserve"> </w:t>
      </w:r>
      <w:r w:rsidR="00B2462F" w:rsidRPr="00923C7A">
        <w:fldChar w:fldCharType="begin" w:fldLock="1"/>
      </w:r>
      <w:r w:rsidR="009241D8">
        <w:instrText>ADDIN CSL_CITATION { "citationItems" : [ { "id" : "ITEM-1", "itemData" : { "URL" : "http://riskfactor.cancer.gov/measurementerror/", "abstract" : "Welcome to the Measurement Error Webinar Series, organized by collaborators from the National Cancer Institute, the Office of Dietary Supplements, the United States Department of Agriculture, the Gertner Institute, Texas A&amp;M University, and Wake Forest University. The series is intended for nutritionists, epidemiologists, statisticians, graduate students, and others with an interest in measurement error in dietary intake data. A basic level of familiarity with statistics and dietary assessment is recommended. The goal of the webinar series is to provide participants with an understanding of: \u2022the sources and magnitudes of dietary measurement errors; \u2022how measurement error may affect estimates of usual dietary intake distributions; \u2022how measurement error may affect analyses of diet-health relationships; and \u2022how the effects of measurement error may be mitigated. Concepts related to accounting for complex survey methods, estimating total intakes from diet and supplements, and the use of multiple dietary assessment instruments and self-report data along with biomarker data to reduce measurement error are also addressed. An archive of the webinar series, which ran from September 20th to December 6th, 2011, is provided below. Session descriptions provide details on the topics covered and the objectives, recommended resources, and key terms for each webinar. In addition to the recordings, which can be viewed online, multiple versions of the slide sets are available for download. The slides with speaking notes will display two pages at a time by default to facilitate on-screen viewing. For economical printing, a version with six slides per page is also provided. Additional supporting materials, including a glossary, are available from the links at the left of this page.", "author" : [ { "dropping-particle" : "", "family" : "National Cancer Institute", "given" : "", "non-dropping-particle" : "", "parse-names" : false, "suffix" : "" } ], "id" : "ITEM-1", "issued" : { "date-parts" : [ [ "2011" ] ] }, "title" : "Measurement error webinar series", "type" : "webpage" }, "uris" : [ "http://www.mendeley.com/documents/?uuid=110bac32-8dea-4058-8c64-b351fe3954d5" ] } ], "mendeley" : { "formattedCitation" : "&lt;sup&gt;(42)&lt;/sup&gt;", "plainTextFormattedCitation" : "(42)", "previouslyFormattedCitation" : "&lt;sup&gt;(42)&lt;/sup&gt;" }, "properties" : { "noteIndex" : 0 }, "schema" : "https://github.com/citation-style-language/schema/raw/master/csl-citation.json" }</w:instrText>
      </w:r>
      <w:r w:rsidR="00B2462F" w:rsidRPr="00923C7A">
        <w:fldChar w:fldCharType="separate"/>
      </w:r>
      <w:r w:rsidR="00C40694" w:rsidRPr="00C40694">
        <w:rPr>
          <w:noProof/>
          <w:vertAlign w:val="superscript"/>
        </w:rPr>
        <w:t>(42)</w:t>
      </w:r>
      <w:r w:rsidR="00B2462F" w:rsidRPr="00923C7A">
        <w:fldChar w:fldCharType="end"/>
      </w:r>
      <w:r w:rsidR="00923C7A" w:rsidRPr="589C4AF9">
        <w:t>).</w:t>
      </w:r>
      <w:r w:rsidR="00B2462F" w:rsidRPr="589C4AF9">
        <w:t xml:space="preserve"> </w:t>
      </w:r>
      <w:r w:rsidR="00923C7A" w:rsidRPr="589C4AF9">
        <w:t xml:space="preserve"> </w:t>
      </w:r>
      <w:r>
        <w:t xml:space="preserve">The </w:t>
      </w:r>
      <w:r w:rsidR="00AB1D9E">
        <w:t>TNI</w:t>
      </w:r>
      <w:r>
        <w:t xml:space="preserve"> distributions </w:t>
      </w:r>
      <w:r w:rsidR="00AB1D9E">
        <w:t>are</w:t>
      </w:r>
      <w:r>
        <w:t xml:space="preserve"> used </w:t>
      </w:r>
      <w:r w:rsidR="00F3493B">
        <w:t>to establish the contribution that supplements make in meeting or exceeding</w:t>
      </w:r>
      <w:r w:rsidR="0061758F" w:rsidRPr="589C4AF9">
        <w:rPr>
          <w:i/>
          <w:iCs/>
        </w:rPr>
        <w:t xml:space="preserve"> </w:t>
      </w:r>
      <w:r w:rsidR="00F3493B">
        <w:t>DRVs</w:t>
      </w:r>
      <w:r w:rsidRPr="589C4AF9">
        <w:t>.</w:t>
      </w:r>
      <w:r w:rsidR="00AD45F5" w:rsidRPr="589C4AF9">
        <w:t xml:space="preserve">  </w:t>
      </w:r>
      <w:r w:rsidR="00762894">
        <w:t xml:space="preserve">The </w:t>
      </w:r>
      <w:r w:rsidR="00762894" w:rsidRPr="589C4AF9">
        <w:rPr>
          <w:i/>
          <w:iCs/>
        </w:rPr>
        <w:t>Estimated Average Requirement</w:t>
      </w:r>
      <w:r w:rsidR="00762894">
        <w:t xml:space="preserve"> (EAR) is </w:t>
      </w:r>
      <w:r w:rsidR="00762894" w:rsidRPr="00F429DC">
        <w:t>used for comparing</w:t>
      </w:r>
      <w:r w:rsidR="00783022">
        <w:t xml:space="preserve"> </w:t>
      </w:r>
      <w:r w:rsidR="00762894" w:rsidRPr="00F429DC">
        <w:t xml:space="preserve">populations against a standard.  It is the average nutrient requirement in a </w:t>
      </w:r>
      <w:r w:rsidR="00762894">
        <w:t xml:space="preserve">healthy </w:t>
      </w:r>
      <w:r w:rsidR="00762894" w:rsidRPr="00F429DC">
        <w:t>group</w:t>
      </w:r>
      <w:r w:rsidR="00762894">
        <w:t xml:space="preserve"> of people meant to maintain sufficient concentrations of a particular biomarker (blood/tissue concentration; enzyme saturation) in order to prevent nutrient deficiencies.  The exact requirement is often unknown and assumed to be symmetrical </w:t>
      </w:r>
      <w:r w:rsidR="00762894">
        <w:fldChar w:fldCharType="begin" w:fldLock="1"/>
      </w:r>
      <w:r w:rsidR="009241D8">
        <w:instrText>ADDIN CSL_CITATION { "citationItems" : [ { "id" : "ITEM-1", "itemData" : { "author" : [ { "dropping-particle" : "", "family" : "COMA", "given" : "", "non-dropping-particle" : "", "parse-names" : false, "suffix" : "" } ], "id" : "ITEM-1", "issued" : { "date-parts" : [ [ "1991" ] ] }, "publisher" : "HMSO", "title" : "Dietary Reference Values for food energy and nutrients for the United Kingdom. Report of the Panel on Dietary Reference Values, Committee on Medical Aspects of Food Policy", "type" : "report", "volume" : "41" }, "uris" : [ "http://www.mendeley.com/documents/?uuid=d98a70ae-a0ed-4a0a-97db-ac9fb1deedb4" ] } ], "mendeley" : { "formattedCitation" : "&lt;sup&gt;(40)&lt;/sup&gt;", "plainTextFormattedCitation" : "(40)", "previouslyFormattedCitation" : "&lt;sup&gt;(40)&lt;/sup&gt;" }, "properties" : { "noteIndex" : 0 }, "schema" : "https://github.com/citation-style-language/schema/raw/master/csl-citation.json" }</w:instrText>
      </w:r>
      <w:r w:rsidR="00762894">
        <w:fldChar w:fldCharType="separate"/>
      </w:r>
      <w:r w:rsidR="00C40694" w:rsidRPr="00C40694">
        <w:rPr>
          <w:noProof/>
          <w:vertAlign w:val="superscript"/>
        </w:rPr>
        <w:t>(40)</w:t>
      </w:r>
      <w:r w:rsidR="00762894">
        <w:fldChar w:fldCharType="end"/>
      </w:r>
      <w:r w:rsidR="00762894">
        <w:t xml:space="preserve">, but reasonable estimates of the proportion at risk can be obtained using the EAR cut-point method </w:t>
      </w:r>
      <w:r w:rsidR="00762894">
        <w:fldChar w:fldCharType="begin" w:fldLock="1"/>
      </w:r>
      <w:r w:rsidR="009241D8">
        <w:instrText>ADDIN CSL_CITATION { "citationItems" : [ { "id" : "ITEM-1", "itemData" : { "ISSN" : "1368-9800", "PMID" : "10452728", "abstract" : "OBJECTIVE To describe an approach for assessing the prevalence of nutrient inadequacy in a group, using daily intake data and the new Estimated Average Requirement (EAR). DESIGN Observing the proportion of individuals in a group whose usual intake of a nutrient is below their requirement for the nutrient is not possible in general. We argue that this proportion can be well approximated in many cases by counting, instead, the number of individuals in the group whose intakes are below the EAR for the nutrient. SETTING This is a methodological paper, and thus emphasis is not on analysing specific data sets. For illustration of one of the statistical methods presented herein, we have used the 1989-91 Continuing Survey on Food Intakes by Individuals. RESULTS We show that the EAR and a reliable estimate of the usual intake distribution in the group of interest can be used to assess the proportion of individuals in the group whose usual intakes are not meeting their requirements. This approach, while simple, does not perform well in every case. For example, it cannot be used on energy, since intakes and requirements for energy are highly correlated. Similarly, iron in menstruating women presents some difficulties, due to the fact that the distribution of iron requirements in this group is known to be skewed. CONCLUSIONS The apparently intractable problem of assessing the proportion of individuals in a group whose usual intakes of a nutrient are not meeting their requirements can be solved by comparing usual intakes to the EAR for the nutrient, as long as some conditions are met. These are: (1) intakes and requirements for the nutrient must be independent, (2) the distribution of requirements must be approximately symmetric around its mean, the EAR, and (3) the variance of the distribution of requirements should be smaller than the variance of the usual intake distribution.", "author" : [ { "dropping-particle" : "", "family" : "Carriquiry", "given" : "A L", "non-dropping-particle" : "", "parse-names" : false, "suffix" : "" } ], "container-title" : "Public health nutrition", "id" : "ITEM-1", "issue" : "1", "issued" : { "date-parts" : [ [ "1999", "3" ] ] }, "note" : "DA - 19990915", "page" : "23-33", "title" : "Assessing the prevalence of nutrient inadequacy.", "type" : "article-journal", "volume" : "2" }, "uris" : [ "http://www.mendeley.com/documents/?uuid=08b6d77f-fdc0-44dc-80b9-69ad1df349f2" ] } ], "mendeley" : { "formattedCitation" : "&lt;sup&gt;(43)&lt;/sup&gt;", "plainTextFormattedCitation" : "(43)", "previouslyFormattedCitation" : "&lt;sup&gt;(43)&lt;/sup&gt;" }, "properties" : { "noteIndex" : 0 }, "schema" : "https://github.com/citation-style-language/schema/raw/master/csl-citation.json" }</w:instrText>
      </w:r>
      <w:r w:rsidR="00762894">
        <w:fldChar w:fldCharType="separate"/>
      </w:r>
      <w:r w:rsidR="00C40694" w:rsidRPr="00C40694">
        <w:rPr>
          <w:noProof/>
          <w:vertAlign w:val="superscript"/>
        </w:rPr>
        <w:t>(43)</w:t>
      </w:r>
      <w:r w:rsidR="00762894">
        <w:fldChar w:fldCharType="end"/>
      </w:r>
      <w:r w:rsidR="00762894">
        <w:t>, which assumes that the proportion below the average nutrient intake is -under certain conditions- approximately the same as the proportion of people with an intake below their average nutrient requirement.</w:t>
      </w:r>
      <w:r w:rsidR="006D3CEA">
        <w:t xml:space="preserve">  The </w:t>
      </w:r>
      <w:r w:rsidR="006D3CEA" w:rsidRPr="589C4AF9">
        <w:rPr>
          <w:i/>
          <w:iCs/>
        </w:rPr>
        <w:t>Lower Reference Nutrient Intake</w:t>
      </w:r>
      <w:r w:rsidR="006D3CEA">
        <w:t xml:space="preserve"> (L</w:t>
      </w:r>
      <w:r w:rsidR="00762894">
        <w:t>RNI</w:t>
      </w:r>
      <w:r w:rsidR="006D3CEA" w:rsidRPr="589C4AF9">
        <w:t>)</w:t>
      </w:r>
      <w:r w:rsidR="00762894">
        <w:t xml:space="preserve"> is the EAR value </w:t>
      </w:r>
      <w:r w:rsidR="00762894" w:rsidRPr="589C4AF9">
        <w:rPr>
          <w:i/>
          <w:iCs/>
        </w:rPr>
        <w:t>minus</w:t>
      </w:r>
      <w:r w:rsidR="00762894">
        <w:t xml:space="preserve"> two standard </w:t>
      </w:r>
      <w:r w:rsidR="000248C3">
        <w:t>deviations and</w:t>
      </w:r>
      <w:r w:rsidR="00762894">
        <w:t xml:space="preserve"> is likely to cover the need of only 2% of the population.</w:t>
      </w:r>
      <w:r w:rsidR="006D3CEA" w:rsidRPr="589C4AF9">
        <w:t xml:space="preserve"> </w:t>
      </w:r>
      <w:r w:rsidR="00762894" w:rsidRPr="589C4AF9">
        <w:t xml:space="preserve"> </w:t>
      </w:r>
      <w:r w:rsidR="006D3CEA">
        <w:t>T</w:t>
      </w:r>
      <w:r w:rsidR="00762894">
        <w:t xml:space="preserve">he </w:t>
      </w:r>
      <w:r w:rsidR="006D3CEA" w:rsidRPr="589C4AF9">
        <w:rPr>
          <w:i/>
          <w:iCs/>
        </w:rPr>
        <w:t>Reference Nutrient Intake</w:t>
      </w:r>
      <w:r w:rsidR="006D3CEA" w:rsidRPr="589C4AF9">
        <w:t xml:space="preserve"> (</w:t>
      </w:r>
      <w:r w:rsidR="00762894">
        <w:t>RNI</w:t>
      </w:r>
      <w:r w:rsidR="006D3CEA" w:rsidRPr="589C4AF9">
        <w:t>)</w:t>
      </w:r>
      <w:r w:rsidR="00762894" w:rsidRPr="00F429DC">
        <w:t xml:space="preserve"> is the EAR</w:t>
      </w:r>
      <w:r w:rsidR="00762894" w:rsidRPr="589C4AF9">
        <w:t xml:space="preserve"> </w:t>
      </w:r>
      <w:r w:rsidR="00762894" w:rsidRPr="00F429DC">
        <w:t xml:space="preserve">value </w:t>
      </w:r>
      <w:r w:rsidR="00762894" w:rsidRPr="589C4AF9">
        <w:rPr>
          <w:i/>
          <w:iCs/>
        </w:rPr>
        <w:t>plus</w:t>
      </w:r>
      <w:r w:rsidR="00762894" w:rsidRPr="00F429DC">
        <w:t xml:space="preserve"> two standard deviations, and covers the need of 9</w:t>
      </w:r>
      <w:r w:rsidR="00762894">
        <w:t>8</w:t>
      </w:r>
      <w:r w:rsidR="00762894" w:rsidRPr="00F429DC">
        <w:t>% of individuals in a population</w:t>
      </w:r>
      <w:r w:rsidR="00762894" w:rsidRPr="589C4AF9">
        <w:t xml:space="preserve"> </w:t>
      </w:r>
      <w:r w:rsidR="00762894">
        <w:fldChar w:fldCharType="begin" w:fldLock="1"/>
      </w:r>
      <w:r w:rsidR="009241D8">
        <w:instrText>ADDIN CSL_CITATION { "citationItems" : [ { "id" : "ITEM-1", "itemData" : { "author" : [ { "dropping-particle" : "", "family" : "COMA", "given" : "", "non-dropping-particle" : "", "parse-names" : false, "suffix" : "" } ], "id" : "ITEM-1", "issued" : { "date-parts" : [ [ "1991" ] ] }, "publisher" : "HMSO", "title" : "Dietary Reference Values for food energy and nutrients for the United Kingdom. Report of the Panel on Dietary Reference Values, Committee on Medical Aspects of Food Policy", "type" : "report", "volume" : "41" }, "uris" : [ "http://www.mendeley.com/documents/?uuid=d98a70ae-a0ed-4a0a-97db-ac9fb1deedb4" ] }, { "id" : "ITEM-2", "itemData" : { "ISSN" : "1368-9800", "PMID" : "10452728", "abstract" : "OBJECTIVE To describe an approach for assessing the prevalence of nutrient inadequacy in a group, using daily intake data and the new Estimated Average Requirement (EAR). DESIGN Observing the proportion of individuals in a group whose usual intake of a nutrient is below their requirement for the nutrient is not possible in general. We argue that this proportion can be well approximated in many cases by counting, instead, the number of individuals in the group whose intakes are below the EAR for the nutrient. SETTING This is a methodological paper, and thus emphasis is not on analysing specific data sets. For illustration of one of the statistical methods presented herein, we have used the 1989-91 Continuing Survey on Food Intakes by Individuals. RESULTS We show that the EAR and a reliable estimate of the usual intake distribution in the group of interest can be used to assess the proportion of individuals in the group whose usual intakes are not meeting their requirements. This approach, while simple, does not perform well in every case. For example, it cannot be used on energy, since intakes and requirements for energy are highly correlated. Similarly, iron in menstruating women presents some difficulties, due to the fact that the distribution of iron requirements in this group is known to be skewed. CONCLUSIONS The apparently intractable problem of assessing the proportion of individuals in a group whose usual intakes of a nutrient are not meeting their requirements can be solved by comparing usual intakes to the EAR for the nutrient, as long as some conditions are met. These are: (1) intakes and requirements for the nutrient must be independent, (2) the distribution of requirements must be approximately symmetric around its mean, the EAR, and (3) the variance of the distribution of requirements should be smaller than the variance of the usual intake distribution.", "author" : [ { "dropping-particle" : "", "family" : "Carriquiry", "given" : "A L", "non-dropping-particle" : "", "parse-names" : false, "suffix" : "" } ], "container-title" : "Public health nutrition", "id" : "ITEM-2", "issue" : "1", "issued" : { "date-parts" : [ [ "1999", "3" ] ] }, "note" : "DA - 19990915", "page" : "23-33", "title" : "Assessing the prevalence of nutrient inadequacy.", "type" : "article-journal", "volume" : "2" }, "uris" : [ "http://www.mendeley.com/documents/?uuid=08b6d77f-fdc0-44dc-80b9-69ad1df349f2" ] } ], "mendeley" : { "formattedCitation" : "&lt;sup&gt;(40,43)&lt;/sup&gt;", "plainTextFormattedCitation" : "(40,43)", "previouslyFormattedCitation" : "&lt;sup&gt;(40,43)&lt;/sup&gt;" }, "properties" : { "noteIndex" : 0 }, "schema" : "https://github.com/citation-style-language/schema/raw/master/csl-citation.json" }</w:instrText>
      </w:r>
      <w:r w:rsidR="00762894">
        <w:fldChar w:fldCharType="separate"/>
      </w:r>
      <w:r w:rsidR="00C40694" w:rsidRPr="00C40694">
        <w:rPr>
          <w:noProof/>
          <w:vertAlign w:val="superscript"/>
        </w:rPr>
        <w:t>(40,43)</w:t>
      </w:r>
      <w:r w:rsidR="00762894">
        <w:fldChar w:fldCharType="end"/>
      </w:r>
      <w:r w:rsidR="00762894" w:rsidRPr="589C4AF9">
        <w:t>.</w:t>
      </w:r>
      <w:r w:rsidR="00762894">
        <w:t xml:space="preserve">  The RNI might provide a good estimate for comparison against an individual’s requirement; however, at the population level</w:t>
      </w:r>
      <w:r w:rsidR="006D3CEA" w:rsidRPr="589C4AF9">
        <w:t>,</w:t>
      </w:r>
      <w:r w:rsidR="00762894">
        <w:t xml:space="preserve"> this measure is</w:t>
      </w:r>
      <w:r w:rsidR="00AD45F5">
        <w:t xml:space="preserve"> (too) cautious</w:t>
      </w:r>
      <w:r w:rsidR="00762894" w:rsidRPr="589C4AF9">
        <w:t xml:space="preserve"> </w:t>
      </w:r>
      <w:r w:rsidR="00762894">
        <w:fldChar w:fldCharType="begin" w:fldLock="1"/>
      </w:r>
      <w:r w:rsidR="009241D8">
        <w:instrText>ADDIN CSL_CITATION { "citationItems" : [ { "id" : "ITEM-1", "itemData" : { "ISSN" : "1368-9800", "PMID" : "10452728", "abstract" : "OBJECTIVE To describe an approach for assessing the prevalence of nutrient inadequacy in a group, using daily intake data and the new Estimated Average Requirement (EAR). DESIGN Observing the proportion of individuals in a group whose usual intake of a nutrient is below their requirement for the nutrient is not possible in general. We argue that this proportion can be well approximated in many cases by counting, instead, the number of individuals in the group whose intakes are below the EAR for the nutrient. SETTING This is a methodological paper, and thus emphasis is not on analysing specific data sets. For illustration of one of the statistical methods presented herein, we have used the 1989-91 Continuing Survey on Food Intakes by Individuals. RESULTS We show that the EAR and a reliable estimate of the usual intake distribution in the group of interest can be used to assess the proportion of individuals in the group whose usual intakes are not meeting their requirements. This approach, while simple, does not perform well in every case. For example, it cannot be used on energy, since intakes and requirements for energy are highly correlated. Similarly, iron in menstruating women presents some difficulties, due to the fact that the distribution of iron requirements in this group is known to be skewed. CONCLUSIONS The apparently intractable problem of assessing the proportion of individuals in a group whose usual intakes of a nutrient are not meeting their requirements can be solved by comparing usual intakes to the EAR for the nutrient, as long as some conditions are met. These are: (1) intakes and requirements for the nutrient must be independent, (2) the distribution of requirements must be approximately symmetric around its mean, the EAR, and (3) the variance of the distribution of requirements should be smaller than the variance of the usual intake distribution.", "author" : [ { "dropping-particle" : "", "family" : "Carriquiry", "given" : "A L", "non-dropping-particle" : "", "parse-names" : false, "suffix" : "" } ], "container-title" : "Public health nutrition", "id" : "ITEM-1", "issue" : "1", "issued" : { "date-parts" : [ [ "1999", "3" ] ] }, "note" : "DA - 19990915", "page" : "23-33", "title" : "Assessing the prevalence of nutrient inadequacy.", "type" : "article-journal", "volume" : "2" }, "uris" : [ "http://www.mendeley.com/documents/?uuid=08b6d77f-fdc0-44dc-80b9-69ad1df349f2" ] } ], "mendeley" : { "formattedCitation" : "&lt;sup&gt;(43)&lt;/sup&gt;", "plainTextFormattedCitation" : "(43)", "previouslyFormattedCitation" : "&lt;sup&gt;(43)&lt;/sup&gt;" }, "properties" : { "noteIndex" : 0 }, "schema" : "https://github.com/citation-style-language/schema/raw/master/csl-citation.json" }</w:instrText>
      </w:r>
      <w:r w:rsidR="00762894">
        <w:fldChar w:fldCharType="separate"/>
      </w:r>
      <w:r w:rsidR="00C40694" w:rsidRPr="00C40694">
        <w:rPr>
          <w:noProof/>
          <w:vertAlign w:val="superscript"/>
        </w:rPr>
        <w:t>(43)</w:t>
      </w:r>
      <w:r w:rsidR="00762894">
        <w:fldChar w:fldCharType="end"/>
      </w:r>
      <w:r w:rsidR="00762894" w:rsidRPr="589C4AF9">
        <w:t>.</w:t>
      </w:r>
      <w:r w:rsidR="00295A40" w:rsidRPr="589C4AF9">
        <w:t xml:space="preserve">  </w:t>
      </w:r>
      <w:r w:rsidR="006D3CEA">
        <w:t>Th</w:t>
      </w:r>
      <w:r w:rsidR="00762894">
        <w:t xml:space="preserve">e </w:t>
      </w:r>
      <w:r w:rsidR="006D3CEA" w:rsidRPr="589C4AF9">
        <w:rPr>
          <w:i/>
          <w:iCs/>
        </w:rPr>
        <w:t>Safe Upper Level</w:t>
      </w:r>
      <w:r w:rsidR="006D3CEA" w:rsidRPr="589C4AF9">
        <w:t xml:space="preserve"> (</w:t>
      </w:r>
      <w:r w:rsidR="00762894">
        <w:t>SUL</w:t>
      </w:r>
      <w:r w:rsidR="006D3CEA" w:rsidRPr="589C4AF9">
        <w:t>)</w:t>
      </w:r>
      <w:r w:rsidR="00762894">
        <w:t xml:space="preserve"> is defined by the Expert Group on Vitamins and Minerals (EVM) </w:t>
      </w:r>
      <w:r w:rsidR="00757203">
        <w:t xml:space="preserve">to </w:t>
      </w:r>
      <w:r w:rsidR="00762894">
        <w:t xml:space="preserve"> “represent an intake that can be consumed daily over a lifetime without significant risk to health on the basis of available evidence” </w:t>
      </w:r>
      <w:r w:rsidR="00762894">
        <w:fldChar w:fldCharType="begin" w:fldLock="1"/>
      </w:r>
      <w:r w:rsidR="00C1396B">
        <w:instrText>ADDIN CSL_CITATION { "citationItems" : [ { "id" : "ITEM-1", "itemData" : { "abstract" : "The Expert Group on Vitamins and Minerals (EVM) is an independent expert advisory committee which was asked to advise on safe levels of intakes of vitamins and minerals in food supplements and fortified foods. The EVM was asked to consider only vitamins and minerals sold under food law. Review of nutritional or non-nutritional beneficial effects or non nutritional use in medicines was outside the terms of reference of the group. The use of vitamins and minerals in medicines is within the remit of the Medicines and Healthcare products Regulatory Agency (MHRA). The EVM considered a detailed review of the relevant evidence for each substance and then a risk assessment which was based on this evidence. The detailed reviews covered both nutritional and toxicological information. Thirty-four substances were assessed in detail. Safe Upper Levels (SULs) were recommended for eight vitamins and minerals and guidance was issued for twenty-two. Recommendations for SULs made by the EVM depend on the availability of good data on both the nature and the frequency of adverse effects detected at different levels of intake. The database supporting the safety-in-use of vitamins and minerals is generally poor. There is a particular lack of reasonable-sized, well-designed comparative human studies of significant duration at different levels of intake, and with adequate assessment of possible adverse effects. Moreover, there has rarely been adequate consideration of potentially vulnerable population sub-groups such as children or older people. For some nutrients the EVM had to rely on animal data, with the use of empirical uncertainty factors in order to allow the extrapolation of the data to humans. For some vitamins and minerals the animal data were too limited for this purpose. As a consequence, the ability to give clear advice on SULs was often compromised and, in many cases, the EVM considered the evidence base inadequate to set a SUL. In such cases, and where possible, Guidance Levels have been given instead. These are based on very limited data; Guidance Levels must not be confused with, or used as, SULs. The determination of SULs or Guidance Levels entails the determination of doses of vitamins and minerals that potentially susceptible individuals could take daily on a life-long basis, without medical supervision in reasonable safety. The setting of these levels provides a framework within which the consumer can make an informed decision about intake, having confiden\u2026", "author" : [ { "dropping-particle" : "", "family" : "Expert group on vitamins and minerals", "given" : "", "non-dropping-particle" : "", "parse-names" : false, "suffix" : "" } ], "id" : "ITEM-1", "issue" : "May", "issued" : { "date-parts" : [ [ "2003" ] ] }, "publisher" : "Food Standards Agency", "publisher-place" : "London", "title" : "Safe Upper Levels for Vitamins and Minerals", "type" : "report" }, "uris" : [ "http://www.mendeley.com/documents/?uuid=0dbc1101-8251-4b23-b660-4130a89a62b1" ] } ], "mendeley" : { "formattedCitation" : "&lt;sup&gt;(36)&lt;/sup&gt;", "plainTextFormattedCitation" : "(36)", "previouslyFormattedCitation" : "&lt;sup&gt;(36)&lt;/sup&gt;" }, "properties" : { "noteIndex" : 0 }, "schema" : "https://github.com/citation-style-language/schema/raw/master/csl-citation.json" }</w:instrText>
      </w:r>
      <w:r w:rsidR="00762894">
        <w:fldChar w:fldCharType="separate"/>
      </w:r>
      <w:r w:rsidR="00975B94" w:rsidRPr="00975B94">
        <w:rPr>
          <w:noProof/>
          <w:vertAlign w:val="superscript"/>
        </w:rPr>
        <w:t>(36)</w:t>
      </w:r>
      <w:r w:rsidR="00762894">
        <w:fldChar w:fldCharType="end"/>
      </w:r>
      <w:r w:rsidR="00CD6714">
        <w:t xml:space="preserve"> and refers to the supplement-sourced intake only</w:t>
      </w:r>
      <w:r w:rsidR="00762894" w:rsidRPr="589C4AF9">
        <w:t>.</w:t>
      </w:r>
      <w:r w:rsidR="006D3CEA">
        <w:t xml:space="preserve">  T</w:t>
      </w:r>
      <w:r w:rsidR="00762894">
        <w:t xml:space="preserve">he </w:t>
      </w:r>
      <w:r w:rsidR="006D3CEA" w:rsidRPr="589C4AF9">
        <w:rPr>
          <w:i/>
          <w:iCs/>
        </w:rPr>
        <w:t>Guidance Level</w:t>
      </w:r>
      <w:r w:rsidR="006D3CEA" w:rsidRPr="589C4AF9">
        <w:t xml:space="preserve"> (</w:t>
      </w:r>
      <w:r w:rsidR="00762894">
        <w:t>GL</w:t>
      </w:r>
      <w:r w:rsidR="006D3CEA" w:rsidRPr="589C4AF9">
        <w:t>)</w:t>
      </w:r>
      <w:r w:rsidR="00762894">
        <w:t xml:space="preserve"> is defined by the EVM as “an approximate indication of levels that would not be expected to cause adverse effect, but have been derived from limited data and are less secure than SULs” </w:t>
      </w:r>
      <w:r w:rsidR="00762894">
        <w:fldChar w:fldCharType="begin" w:fldLock="1"/>
      </w:r>
      <w:r w:rsidR="00C1396B">
        <w:instrText>ADDIN CSL_CITATION { "citationItems" : [ { "id" : "ITEM-1", "itemData" : { "abstract" : "The Expert Group on Vitamins and Minerals (EVM) is an independent expert advisory committee which was asked to advise on safe levels of intakes of vitamins and minerals in food supplements and fortified foods. The EVM was asked to consider only vitamins and minerals sold under food law. Review of nutritional or non-nutritional beneficial effects or non nutritional use in medicines was outside the terms of reference of the group. The use of vitamins and minerals in medicines is within the remit of the Medicines and Healthcare products Regulatory Agency (MHRA). The EVM considered a detailed review of the relevant evidence for each substance and then a risk assessment which was based on this evidence. The detailed reviews covered both nutritional and toxicological information. Thirty-four substances were assessed in detail. Safe Upper Levels (SULs) were recommended for eight vitamins and minerals and guidance was issued for twenty-two. Recommendations for SULs made by the EVM depend on the availability of good data on both the nature and the frequency of adverse effects detected at different levels of intake. The database supporting the safety-in-use of vitamins and minerals is generally poor. There is a particular lack of reasonable-sized, well-designed comparative human studies of significant duration at different levels of intake, and with adequate assessment of possible adverse effects. Moreover, there has rarely been adequate consideration of potentially vulnerable population sub-groups such as children or older people. For some nutrients the EVM had to rely on animal data, with the use of empirical uncertainty factors in order to allow the extrapolation of the data to humans. For some vitamins and minerals the animal data were too limited for this purpose. As a consequence, the ability to give clear advice on SULs was often compromised and, in many cases, the EVM considered the evidence base inadequate to set a SUL. In such cases, and where possible, Guidance Levels have been given instead. These are based on very limited data; Guidance Levels must not be confused with, or used as, SULs. The determination of SULs or Guidance Levels entails the determination of doses of vitamins and minerals that potentially susceptible individuals could take daily on a life-long basis, without medical supervision in reasonable safety. The setting of these levels provides a framework within which the consumer can make an informed decision about intake, having confiden\u2026", "author" : [ { "dropping-particle" : "", "family" : "Expert group on vitamins and minerals", "given" : "", "non-dropping-particle" : "", "parse-names" : false, "suffix" : "" } ], "id" : "ITEM-1", "issue" : "May", "issued" : { "date-parts" : [ [ "2003" ] ] }, "publisher" : "Food Standards Agency", "publisher-place" : "London", "title" : "Safe Upper Levels for Vitamins and Minerals", "type" : "report" }, "uris" : [ "http://www.mendeley.com/documents/?uuid=0dbc1101-8251-4b23-b660-4130a89a62b1" ] } ], "mendeley" : { "formattedCitation" : "&lt;sup&gt;(36)&lt;/sup&gt;", "plainTextFormattedCitation" : "(36)", "previouslyFormattedCitation" : "&lt;sup&gt;(36)&lt;/sup&gt;" }, "properties" : { "noteIndex" : 0 }, "schema" : "https://github.com/citation-style-language/schema/raw/master/csl-citation.json" }</w:instrText>
      </w:r>
      <w:r w:rsidR="00762894">
        <w:fldChar w:fldCharType="separate"/>
      </w:r>
      <w:r w:rsidR="00975B94" w:rsidRPr="00975B94">
        <w:rPr>
          <w:noProof/>
          <w:vertAlign w:val="superscript"/>
        </w:rPr>
        <w:t>(36)</w:t>
      </w:r>
      <w:r w:rsidR="00762894">
        <w:fldChar w:fldCharType="end"/>
      </w:r>
      <w:r w:rsidR="00762894" w:rsidRPr="589C4AF9">
        <w:t>.</w:t>
      </w:r>
    </w:p>
    <w:p w14:paraId="2B7CC5D8" w14:textId="547BE38F" w:rsidR="00B8111C" w:rsidRDefault="00103760" w:rsidP="009920DF">
      <w:r>
        <w:t>Considering the variation in s</w:t>
      </w:r>
      <w:r w:rsidR="00383A79">
        <w:t xml:space="preserve">upplement use across Europe </w:t>
      </w:r>
      <w:r w:rsidR="00383A79">
        <w:fldChar w:fldCharType="begin" w:fldLock="1"/>
      </w:r>
      <w:r w:rsidR="00C1396B">
        <w:instrText>ADDIN CSL_CITATION { "citationItems" : [ { "id" : "ITEM-1", "itemData" : { "ISSN" : "0954-3007", "PMID" : "19888276", "abstract" : "BACKGROUND Dietary supplement use is increasing, but there are few comparable data on supplement intakes and how they affect the nutrition and health of European consumers. The aim of this study was to describe the use of dietary supplements in subsamples of the 10 countries participating in the European Prospective Investigation into Cancer and Nutrition (EPIC). METHODS Specific questions on dietary supplement use were asked as a part of single 24-h recalls performed on 36,034 men and women aged 35-74 years from 1995 to 2000. RESULTS Between countries, the mean percentage of dietary supplement use varied almost 10-fold among women and even more among men. There was a clear north-south gradient in use, with a higher consumption in northern countries. The lowest crude mean percentage of use was found in Greece (2.0% among men, 6.7% among women), and the highest was in Denmark (51.0% among men, 65.8% among women). Use was higher in women than in men. Vitamins, minerals or combinations of them were the predominant types of supplements reported, but there were striking differences between countries. CONCLUSIONS This study indicates that there are wide variations in supplement use in Europe, which may affect individual and population nutrient intakes. The results underline the need to monitor consumption of dietary supplements in Europe, as well as to evaluate the risks and benefits.", "author" : [ { "dropping-particle" : "", "family" : "Skeie", "given" : "G.", "non-dropping-particle" : "", "parse-names" : false, "suffix" : "" }, { "dropping-particle" : "", "family" : "Braaten", "given" : "T.", "non-dropping-particle" : "", "parse-names" : false, "suffix" : "" }, { "dropping-particle" : "", "family" : "Hjart\u00e5ker", "given" : "A.", "non-dropping-particle" : "", "parse-names" : false, "suffix" : "" }, { "dropping-particle" : "", "family" : "Lentjes", "given" : "M.", "non-dropping-particle" : "", "parse-names" : false, "suffix" : "" }, { "dropping-particle" : "", "family" : "Amiano", "given" : "P.", "non-dropping-particle" : "", "parse-names" : false, "suffix" : "" }, { "dropping-particle" : "", "family" : "Jakszyn", "given" : "P.", "non-dropping-particle" : "", "parse-names" : false, "suffix" : "" }, { "dropping-particle" : "", "family" : "Pala", "given" : "V.", "non-dropping-particle" : "", "parse-names" : false, "suffix" : "" }, { "dropping-particle" : "", "family" : "Palanca", "given" : "A.", "non-dropping-particle" : "", "parse-names" : false, "suffix" : "" }, { "dropping-particle" : "", "family" : "Niekerk", "given" : "E.M. M", "non-dropping-particle" : "", "parse-names" : false, "suffix" : "" }, { "dropping-particle" : "", "family" : "Verhagen", "given" : "H.", "non-dropping-particle" : "", "parse-names" : false, "suffix" : "" }, { "dropping-particle" : "", "family" : "Avloniti", "given" : "K.", "non-dropping-particle" : "", "parse-names" : false, "suffix" : "" }, { "dropping-particle" : "", "family" : "Psaltopoulou", "given" : "T.", "non-dropping-particle" : "", "parse-names" : false, "suffix" : "" }, { "dropping-particle" : "", "family" : "Niravong", "given" : "M.", "non-dropping-particle" : "", "parse-names" : false, "suffix" : "" }, { "dropping-particle" : "", "family" : "Touvier", "given" : "M.", "non-dropping-particle" : "", "parse-names" : false, "suffix" : "" }, { "dropping-particle" : "", "family" : "Nimptsch", "given" : "K.", "non-dropping-particle" : "", "parse-names" : false, "suffix" : "" }, { "dropping-particle" : "", "family" : "Haubrock", "given" : "J.", "non-dropping-particle" : "", "parse-names" : false, "suffix" : "" }, { "dropping-particle" : "", "family" : "Walker", "given" : "L.", "non-dropping-particle" : "", "parse-names" : false, "suffix" : "" }, { "dropping-particle" : "", "family" : "Spencer", "given" : "E.A. a", "non-dropping-particle" : "", "parse-names" : false, "suffix" : "" }, { "dropping-particle" : "", "family" : "Roswall", "given" : "N.", "non-dropping-particle" : "", "parse-names" : false, "suffix" : "" }, { "dropping-particle" : "", "family" : "Olsen", "given" : "A.", "non-dropping-particle" : "", "parse-names" : false, "suffix" : "" }, { "dropping-particle" : "", "family" : "Wallstr\u00f6m", "given" : "P.", "non-dropping-particle" : "", "parse-names" : false, "suffix" : "" }, { "dropping-particle" : "", "family" : "Nilsson", "given" : "S.", "non-dropping-particle" : "", "parse-names" : false, "suffix" : "" }, { "dropping-particle" : "", "family" : "Casagrande", "given" : "C.", "non-dropping-particle" : "", "parse-names" : false, "suffix" : "" }, { "dropping-particle" : "", "family" : "Deharveng", "given" : "G.", "non-dropping-particle" : "", "parse-names" : false, "suffix" : "" }, { "dropping-particle" : "", "family" : "Hellstr\u00f6m", "given" : "V.", "non-dropping-particle" : "", "parse-names" : false, "suffix" : "" }, { "dropping-particle" : "", "family" : "Boutron-Ruault", "given" : "M-C", "non-dropping-particle" : "", "parse-names" : false, "suffix" : "" }, { "dropping-particle" : "", "family" : "Tj\u00f8nneland", "given" : "A.", "non-dropping-particle" : "", "parse-names" : false, "suffix" : "" }, { "dropping-particle" : "", "family" : "Joensen", "given" : "A.M. M", "non-dropping-particle" : "", "parse-names" : false, "suffix" : "" }, { "dropping-particle" : "", "family" : "Clavel-Chapelon", "given" : "F.", "non-dropping-particle" : "", "parse-names" : false, "suffix" : "" }, { "dropping-particle" : "", "family" : "Trichopoulou", "given" : "A.", "non-dropping-particle" : "", "parse-names" : false, "suffix" : "" }, { "dropping-particle" : "", "family" : "Martinez", "given" : "C.", "non-dropping-particle" : "", "parse-names" : false, "suffix" : "" }, { "dropping-particle" : "", "family" : "Rodr\u00edguez", "given" : "L.", "non-dropping-particle" : "", "parse-names" : false, "suffix" : "" }, { "dropping-particle" : "", "family" : "Frasca", "given" : "G.", "non-dropping-particle" : "", "parse-names" : false, "suffix" : "" }, { "dropping-particle" : "", "family" : "Sacerdote", "given" : "C.", "non-dropping-particle" : "", "parse-names" : false, "suffix" : "" }, { "dropping-particle" : "", "family" : "Peeters", "given" : "P.H.M. H M", "non-dropping-particle" : "", "parse-names" : false, "suffix" : "" }, { "dropping-particle" : "", "family" : "Linseisen", "given" : "J.", "non-dropping-particle" : "", "parse-names" : false, "suffix" : "" }, { "dropping-particle" : "", "family" : "Schienkiewitz", "given" : "A.", "non-dropping-particle" : "", "parse-names" : false, "suffix" : "" }, { "dropping-particle" : "", "family" : "Welch", "given" : "A.A. A", "non-dropping-particle" : "", "parse-names" : false, "suffix" : "" }, { "dropping-particle" : "", "family" : "Manjer", "given" : "J.", "non-dropping-particle" : "", "parse-names" : false, "suffix" : "" }, { "dropping-particle" : "", "family" : "Ferrari", "given" : "P.", "non-dropping-particle" : "", "parse-names" : false, "suffix" : "" }, { "dropping-particle" : "", "family" : "Riboli", "given" : "E.", "non-dropping-particle" : "", "parse-names" : false, "suffix" : "" }, { "dropping-particle" : "", "family" : "Bingham", "given" : "S.", "non-dropping-particle" : "", "parse-names" : false, "suffix" : "" }, { "dropping-particle" : "", "family" : "Engeset", "given" : "D.", "non-dropping-particle" : "", "parse-names" : false, "suffix" : "" }, { "dropping-particle" : "", "family" : "Lund", "given" : "E.", "non-dropping-particle" : "", "parse-names" : false, "suffix" : "" }, { "dropping-particle" : "", "family" : "Slimani", "given" : "N.", "non-dropping-particle" : "", "parse-names" : false, "suffix" : "" } ], "container-title" : "European Journal of Clinical Nutrition", "id" : "ITEM-1", "issue" : "SUPPL. 4", "issued" : { "date-parts" : [ [ "2009", "11" ] ] }, "note" : "From Duplicate 2 (Use of dietary supplements in the European Prospective Investigation into Cancer and Nutrition calibration study. - Skeie, G; Braaten, T; Hjart\u00e5ker, A; Lentjes, M; Amiano, P; Jakszyn, P; Pala, V; Palanca, A; Niekerk, E M; Verhagen, H; Avloniti, K; Psaltopoulou, T; Niravong, M; Touvier, M; Nimptsch, K; Haubrock, J; Walker, L; Spencer, E a; Roswall, N; Olsen, A; Wallstr\u00f6m, P; Nilsson, S; Casagrande, C; Deharveng, G; Hellstr\u00f6m, V; Boutron-Ruault, M-C; Tj\u00f8nneland, A; Joensen, A M; Clavel-Chapelon, F; Trichopoulou, A; Martinez, C; Rodr\u00edguez, L; Frasca, G; Sacerdote, C; Peeters, P H M; Linseisen, J; Schienkiewitz, A; Welch, A A; Manjer, J; Ferrari, P; Riboli, E; Bingham, S; Engeset, D; Lund, E; Slimani, N)\n\nFrom Duplicate 2 ( Use of dietary supplements in the European Prospective Investigation into Cancer and Nutrition calibration study - Skeie, G; Braaten, T; Hjartaker, A; Lentjes, M; Amiano, P; Jakszyn, P; Pala, V; Palanca, A; Niekerk, E M; Verhagen, H; Avloniti, K; Psaltopoulou, T; Niravong, M; Touvier, M; Nimptsch, K; Haubrock, J; Walker, L; Spencer, E A; Roswall, N; Olsen, A; Wallstrom, P; Nilsson, S; Casagrande, C; Deharveng, G; Hellstrom, V; Boutron-Ruault, M C; Tjonneland, A; Joensen, A M; Clavel-Chapelon, F; Trichopoulou, A; Martinez, C; Rodriguez, L; Frasca, G; Sacerdote, C; Peeters, P H M; Linseisen, J; Schienkiewitz, A; Welch, A A; Manjer, J; Ferrari, P; Riboli, E; Bingham, S; Engeset, D; Lund, E; Slimani, N )\n\nTimes Cited: 4\nArticle\nEnglish\nSkeie, G\nUniv Tromso, Inst Community Med, N-9037 Tromso, Norway\nCited References Count: 48\n515LB\nNATURE PUBLISHING GROUP\nMACMILLAN BUILDING, 4 CRINAN ST, LONDON N1 9XW, ENGLAND\nLONDON\nSuppl. 4", "page" : "S226-S238", "title" : "Use of dietary supplements in the European Prospective Investigation into Cancer and Nutrition calibration study", "type" : "article-journal", "volume" : "63" }, "uris" : [ "http://www.mendeley.com/documents/?uuid=947d9376-ed85-449f-bd62-107b2db32dec" ] }, { "id" : "ITEM-2", "itemData" : { "DOI" : "10.3402/fnr.v53i0.2129", "ISSN" : "16546628", "PMID" : "20011225", "abstract" : "BACKGROUND: Recent European Union regulation requires setting of maximum amount of micronutrients in dietary supplements or foods taking into account the tolerable upper intake level (ULs) established by scientific risk assessment and population reference intakes. OBJECTIVE: To collect and evaluate recently available data on intakes of selected vitamins and minerals from conventional foods, food supplements and fortified foods in adults and children. Intake of calcium, copper, iodine, iron, magnesium, phosphorus, selenium, zinc, folic acid, niacin and total vitamin A/retinol, B(6), D and E was derived from nationally representative surveys in Denmark, Germany, Finland, Ireland, Italy, the Netherlands, Poland, Spain and the United Kingdom. Intake of high consumers, defined as the 95th percentile of each nutrient, was compared to the UL. RESULTS: For most nutrients, adults and children generally consume considerably less than the UL with exceptions being retinol, zinc, iodine, copper and magnesium. The major contributor to intakes for all nutrients and in all countries is from foods in the base diet. The patterns of food supplements and voluntary fortification vary widely among countries with food supplements being responsible for the largest differences in total intakes. In the present study, for those countries with data on fortified foods, fortified foods do not significantly contribute to higher intakes for any nutrient. Total nutrient intake expressed as percentage of the UL is generally higher in children than in adults. CONCLUSION: The risk of excessive intakes is relatively low for the majority of nutrients with a few exceptions. Children are the most vulnerable group as they are more likely to exhibit high intakes relative to the UL. There is a need to develop improved methods for estimating intakes of micronutrients from fortified foods and food supplements in future dietary surveys.", "author" : [ { "dropping-particle" : "", "family" : "Flynn", "given" : "Albert", "non-dropping-particle" : "", "parse-names" : false, "suffix" : "" }, { "dropping-particle" : "", "family" : "Hirvonen", "given" : "Tero", "non-dropping-particle" : "", "parse-names" : false, "suffix" : "" }, { "dropping-particle" : "", "family" : "Mensink", "given" : "Gert B M", "non-dropping-particle" : "", "parse-names" : false, "suffix" : "" }, { "dropping-particle" : "", "family" : "Ock\u00e9", "given" : "Marga C.", "non-dropping-particle" : "", "parse-names" : false, "suffix" : "" }, { "dropping-particle" : "", "family" : "Serra-Majem", "given" : "Lluis", "non-dropping-particle" : "", "parse-names" : false, "suffix" : "" }, { "dropping-particle" : "", "family" : "Stos", "given" : "Katarzyna", "non-dropping-particle" : "", "parse-names" : false, "suffix" : "" }, { "dropping-particle" : "", "family" : "Szponar", "given" : "Lucjan", "non-dropping-particle" : "", "parse-names" : false, "suffix" : "" }, { "dropping-particle" : "", "family" : "Tetens", "given" : "Inge", "non-dropping-particle" : "", "parse-names" : false, "suffix" : "" }, { "dropping-particle" : "", "family" : "Turrini", "given" : "Aida", "non-dropping-particle" : "", "parse-names" : false, "suffix" : "" }, { "dropping-particle" : "", "family" : "Fletcher", "given" : "Reg", "non-dropping-particle" : "", "parse-names" : false, "suffix" : "" }, { "dropping-particle" : "", "family" : "Wildemann", "given" : "Tanja", "non-dropping-particle" : "", "parse-names" : false, "suffix" : "" } ], "container-title" : "Food and Nutrition Research", "id" : "ITEM-2", "issue" : "SUPPL. 1", "issued" : { "date-parts" : [ [ "2009" ] ] }, "title" : "Intake of selected nutrients from foods, from fortification and from supplements in various European countries", "type" : "article-journal", "volume" : "53" }, "uris" : [ "http://www.mendeley.com/documents/?uuid=1720893c-05d7-429a-89bd-2194bb05ce65" ] } ], "mendeley" : { "formattedCitation" : "&lt;sup&gt;(30,31)&lt;/sup&gt;", "plainTextFormattedCitation" : "(30,31)", "previouslyFormattedCitation" : "&lt;sup&gt;(30,31)&lt;/sup&gt;" }, "properties" : { "noteIndex" : 0 }, "schema" : "https://github.com/citation-style-language/schema/raw/master/csl-citation.json" }</w:instrText>
      </w:r>
      <w:r w:rsidR="00383A79">
        <w:fldChar w:fldCharType="separate"/>
      </w:r>
      <w:r w:rsidR="00975B94" w:rsidRPr="00975B94">
        <w:rPr>
          <w:noProof/>
          <w:vertAlign w:val="superscript"/>
        </w:rPr>
        <w:t>(30,31)</w:t>
      </w:r>
      <w:r w:rsidR="00383A79">
        <w:fldChar w:fldCharType="end"/>
      </w:r>
      <w:r w:rsidR="00383A79" w:rsidRPr="589C4AF9">
        <w:t>,</w:t>
      </w:r>
      <w:r>
        <w:t xml:space="preserve"> s</w:t>
      </w:r>
      <w:r w:rsidR="006E3F82">
        <w:t>upplements</w:t>
      </w:r>
      <w:r w:rsidR="00D14DD7">
        <w:t xml:space="preserve"> vary in the contribution that they make to food-sourced intake and the proportion of the populations at risk of not meeting the sufficiency DRVs.  There are </w:t>
      </w:r>
      <w:r w:rsidR="006E3F82">
        <w:t xml:space="preserve">however </w:t>
      </w:r>
      <w:r w:rsidR="00D14DD7">
        <w:t xml:space="preserve">various complications when wanting to </w:t>
      </w:r>
      <w:r w:rsidR="00D14DD7">
        <w:lastRenderedPageBreak/>
        <w:t>assess this across countries</w:t>
      </w:r>
      <w:r w:rsidR="006E3F82">
        <w:t>, not in the least because of different dietary assessment methodologies applied in surveys, but also what is considered ‘sufficient’ across countries varies</w:t>
      </w:r>
      <w:r w:rsidR="00F05660">
        <w:t xml:space="preserve"> due to </w:t>
      </w:r>
      <w:r w:rsidR="00F05660">
        <w:fldChar w:fldCharType="begin" w:fldLock="1"/>
      </w:r>
      <w:r w:rsidR="009241D8">
        <w:instrText>ADDIN CSL_CITATION { "citationItems" : [ { "id" : "ITEM-1", "itemData" : { "DOI" : "10.1007/s00394-008-1003-5", "ISSN" : "1436-6207", "PMID" : "18427858", "abstract" : "BACKGROUND: Nowadays most countries in Europe have established their own nutrient recommendations to assess the adequacy of dietary intakes and to plan desirable dietary intakes. As yet there is no standard approach for deriving nutrient recommendations, they may vary from country to country. This results in different national recommendations causing confusion for policy-makers, health professionals, industry, and consumers within Europe. EURRECA (EURopean micronutrient RECommendations Aligned) is a network of excellence funded by the European Commission (EC), and established to identify and address the problem of differences between countries in micronutrient recommendations. The objective of this paper is to give an overview of the available micronutrient recommendations in Europe, and to provide information on their origin, concepts and definitions. Furthermore this paper aims to illustrate the diversity in European recommendations on vitamin A and vitamin D, and to explore differences and commonalities in approaches that could possibly explain variations observed. METHODS: A questionnaire was developed to get information on the process of establishing micronutrient recommendations. These questionnaires were sent to key informants in the field of micronutrient recommendations to cover all European countries/regions. Also the latest reports on nutrient recommendations in Europe were collected. Standardisation procedures were defined to enable comparison of the recommendations. Recommendations for vitamin A and vitamin D were compared per sex at the ages 3, 9 months and 5, 10, 15, 25, 50 and 70 years. Information extracted from the questionnaires and reports was compared focusing on: (1) The concept of recommendation (recommended daily allowance (RDA), adequate intake (AI) or acceptable range), (2) The year of publication of the report (proxy for available evidence), (3) Population groups defined, (4) Other methodological issues such as selected criteria of adequacy, the type of evidence used, and assumptions made. RESULTS: Twenty-two countries, the World Health Organization (WHO)/the Food and Agriculture Organization of the United Nations (FAO) and the EC have their own reports on nutrient recommendations. Thirteen countries based their micronutrient recommendations on those from other countries or organisations. Five countries, WHO/FAO and the EC defined their own recommendations. The DACH-countries (Germany, Austria and Switzerland) as well as the N\u2026", "author" : [ { "dropping-particle" : "", "family" : "Doets", "given" : "Esm\u00e9e L", "non-dropping-particle" : "", "parse-names" : false, "suffix" : "" }, { "dropping-particle" : "", "family" : "Wit", "given" : "Liesbeth S", "non-dropping-particle" : "de", "parse-names" : false, "suffix" : "" }, { "dropping-particle" : "", "family" : "Dhonukshe-Rutten", "given" : "Rosalie a M", "non-dropping-particle" : "", "parse-names" : false, "suffix" : "" }, { "dropping-particle" : "", "family" : "Cavelaars", "given" : "Adri\u00ebnne E J M", "non-dropping-particle" : "", "parse-names" : false, "suffix" : "" }, { "dropping-particle" : "", "family" : "Raats", "given" : "Monique M", "non-dropping-particle" : "", "parse-names" : false, "suffix" : "" }, { "dropping-particle" : "", "family" : "Timotijevic", "given" : "Lada", "non-dropping-particle" : "", "parse-names" : false, "suffix" : "" }, { "dropping-particle" : "", "family" : "Brzozowska", "given" : "Anna", "non-dropping-particle" : "", "parse-names" : false, "suffix" : "" }, { "dropping-particle" : "", "family" : "Wijnhoven", "given" : "Trudy M a", "non-dropping-particle" : "", "parse-names" : false, "suffix" : "" }, { "dropping-particle" : "", "family" : "Pavlovic", "given" : "Mirjana", "non-dropping-particle" : "", "parse-names" : false, "suffix" : "" }, { "dropping-particle" : "", "family" : "Totland", "given" : "Torunn Holm", "non-dropping-particle" : "", "parse-names" : false, "suffix" : "" }, { "dropping-particle" : "", "family" : "Andersen", "given" : "Lene F", "non-dropping-particle" : "", "parse-names" : false, "suffix" : "" }, { "dropping-particle" : "", "family" : "Ruprich", "given" : "Jiri", "non-dropping-particle" : "", "parse-names" : false, "suffix" : "" }, { "dropping-particle" : "", "family" : "Pijls", "given" : "Loek T J", "non-dropping-particle" : "", "parse-names" : false, "suffix" : "" }, { "dropping-particle" : "", "family" : "Ashwell", "given" : "Margaret", "non-dropping-particle" : "", "parse-names" : false, "suffix" : "" }, { "dropping-particle" : "", "family" : "Lambert", "given" : "Janet P", "non-dropping-particle" : "", "parse-names" : false, "suffix" : "" }, { "dropping-particle" : "", "family" : "'t Veer", "given" : "Pieter", "non-dropping-particle" : "van", "parse-names" : false, "suffix" : "" }, { "dropping-particle" : "", "family" : "Groot", "given" : "Lisette C P G M", "non-dropping-particle" : "de", "parse-names" : false, "suffix" : "" } ], "container-title" : "European journal of nutrition", "id" : "ITEM-1", "issued" : { "date-parts" : [ [ "2008", "4" ] ] }, "page" : "17-40", "title" : "Current micronutrient recommendations in Europe: towards understanding their differences and similarities.", "type" : "article-journal", "volume" : "47 Suppl 1" }, "uris" : [ "http://www.mendeley.com/documents/?uuid=e4cc8c87-1329-48a6-a353-5a96ab541d67" ] }, { "id" : "ITEM-2", "itemData" : { "DOI" : "10.1159/000332762", "ISBN" : "0250-6807", "ISSN" : "1421-9697", "PMID" : "22142665", "abstract" : "BACKGROUND The purpose of this study was to analyze the prevalence of nutrient intake inadequacy in Europe, applying the Nordic Nutritional Recommendations in the context of the EURRECA Network of Excellence. METHODS Nutrient data was obtained from the European Nutrition and Health Report II. Those nutritional surveys using a validated food frequency questionnaire or diet history and a food diary/ register with at least 7 days of registers or with an adjustment for intraindividual variability were included. The nutrients analyzed were: vitamin C, vitamin D, vitamin B(12), folic acid, calcium, iron, zinc, selenium, copper, and iodine. The estimated average requirement cut point was applied to estimate inadequacy. The Nordic and Institute of Medicine nutrient recommendations were used as references. RESULTS The mean prevalence of inadequacy was below 11% for zinc, iron, and vitamin B(12) (only in the elderly), and it was 11-20% for copper in adults and the elderly and for vitamin B(12) in adults and vitamin C in the elderly. The prevalence was above 20% for vitamin D, folic acid, calcium, selenium, and iodine in adults and the elderly and for vitamin C in adults. CONCLUSIONS Vitamin C, vitamin D, folic acid, calcium, selenium, and iodine were the nutrients showing a higher prevalence of inadequate intakes in Europe.", "author" : [ { "dropping-particle" : "", "family" : "Roman Vi\u00f1as", "given" : "Blanca", "non-dropping-particle" : "", "parse-names" : false, "suffix" : "" }, { "dropping-particle" : "", "family" : "Ribas Barba", "given" : "Lourdes", "non-dropping-particle" : "", "parse-names" : false, "suffix" : "" }, { "dropping-particle" : "", "family" : "Ngo", "given" : "Joy", "non-dropping-particle" : "", "parse-names" : false, "suffix" : "" }, { "dropping-particle" : "", "family" : "Gurinovic", "given" : "Mirjana", "non-dropping-particle" : "", "parse-names" : false, "suffix" : "" }, { "dropping-particle" : "", "family" : "Novakovic", "given" : "Romana", "non-dropping-particle" : "", "parse-names" : false, "suffix" : "" }, { "dropping-particle" : "", "family" : "Cavelaars", "given" : "Adri\u00ebnne", "non-dropping-particle" : "", "parse-names" : false, "suffix" : "" }, { "dropping-particle" : "", "family" : "Groot", "given" : "Lisette C P G M", "non-dropping-particle" : "de", "parse-names" : false, "suffix" : "" }, { "dropping-particle" : "", "family" : "van't Veer", "given" : "Pieter", "non-dropping-particle" : "", "parse-names" : false, "suffix" : "" }, { "dropping-particle" : "", "family" : "Matthys", "given" : "Christophe", "non-dropping-particle" : "", "parse-names" : false, "suffix" : "" }, { "dropping-particle" : "", "family" : "Serra Majem", "given" : "Llu\u00eds", "non-dropping-particle" : "", "parse-names" : false, "suffix" : "" } ], "container-title" : "Annals of nutrition &amp; metabolism", "id" : "ITEM-2", "issue" : "2-4", "issued" : { "date-parts" : [ [ "2011" ] ] }, "page" : "84-95", "title" : "Projected prevalence of inadequate nutrient intakes in Europe.", "type" : "article-journal", "volume" : "59" }, "uris" : [ "http://www.mendeley.com/documents/?uuid=1901afbf-1340-4052-9d11-37be98cf2038" ] } ], "mendeley" : { "formattedCitation" : "&lt;sup&gt;(44,45)&lt;/sup&gt;", "plainTextFormattedCitation" : "(44,45)", "previouslyFormattedCitation" : "&lt;sup&gt;(44,45)&lt;/sup&gt;" }, "properties" : { "noteIndex" : 0 }, "schema" : "https://github.com/citation-style-language/schema/raw/master/csl-citation.json" }</w:instrText>
      </w:r>
      <w:r w:rsidR="00F05660">
        <w:fldChar w:fldCharType="separate"/>
      </w:r>
      <w:r w:rsidR="00C40694" w:rsidRPr="00C40694">
        <w:rPr>
          <w:noProof/>
          <w:vertAlign w:val="superscript"/>
        </w:rPr>
        <w:t>(44,45)</w:t>
      </w:r>
      <w:r w:rsidR="00F05660">
        <w:fldChar w:fldCharType="end"/>
      </w:r>
      <w:r w:rsidR="00F05660">
        <w:t xml:space="preserve">: different expert panels, </w:t>
      </w:r>
      <w:r w:rsidR="00293B03">
        <w:t xml:space="preserve">the </w:t>
      </w:r>
      <w:r w:rsidR="00F05660">
        <w:t xml:space="preserve">currency of the evidence assessed, </w:t>
      </w:r>
      <w:r w:rsidR="00DC13E4">
        <w:t xml:space="preserve">use of different DRVs, </w:t>
      </w:r>
      <w:r w:rsidR="00F05660">
        <w:t xml:space="preserve">different </w:t>
      </w:r>
      <w:r w:rsidR="006E3F82">
        <w:t>cut-off points for age groups</w:t>
      </w:r>
      <w:r w:rsidR="00F05660">
        <w:t>, criteria for adequacy (</w:t>
      </w:r>
      <w:r w:rsidR="00F05660" w:rsidRPr="589C4AF9">
        <w:rPr>
          <w:i/>
          <w:iCs/>
        </w:rPr>
        <w:t>i.e.</w:t>
      </w:r>
      <w:r w:rsidR="00F05660" w:rsidRPr="589C4AF9">
        <w:t xml:space="preserve"> </w:t>
      </w:r>
      <w:r w:rsidR="007143F8">
        <w:t>the condition that</w:t>
      </w:r>
      <w:r w:rsidR="00F05660" w:rsidRPr="589C4AF9">
        <w:t xml:space="preserve"> </w:t>
      </w:r>
      <w:r w:rsidR="00C93627">
        <w:t xml:space="preserve">the nutrient </w:t>
      </w:r>
      <w:r w:rsidR="00F05660">
        <w:t>needs to prevent)</w:t>
      </w:r>
      <w:r w:rsidR="00DC13E4">
        <w:t xml:space="preserve"> and the extrapolation of data</w:t>
      </w:r>
      <w:r w:rsidR="006E3F82" w:rsidRPr="589C4AF9">
        <w:t>.</w:t>
      </w:r>
      <w:r w:rsidR="00B8111C" w:rsidRPr="589C4AF9">
        <w:t xml:space="preserve">  </w:t>
      </w:r>
      <w:proofErr w:type="spellStart"/>
      <w:r w:rsidR="00295A40">
        <w:t>Mensink</w:t>
      </w:r>
      <w:proofErr w:type="spellEnd"/>
      <w:r w:rsidR="00295A40" w:rsidRPr="589C4AF9">
        <w:t xml:space="preserve"> </w:t>
      </w:r>
      <w:r w:rsidR="00295A40" w:rsidRPr="589C4AF9">
        <w:rPr>
          <w:i/>
          <w:iCs/>
        </w:rPr>
        <w:t>et al.</w:t>
      </w:r>
      <w:r w:rsidR="00295A40" w:rsidRPr="589C4AF9">
        <w:t xml:space="preserve"> </w:t>
      </w:r>
      <w:r w:rsidR="00295A40">
        <w:fldChar w:fldCharType="begin" w:fldLock="1"/>
      </w:r>
      <w:r w:rsidR="009241D8">
        <w:instrText>ADDIN CSL_CITATION { "citationItems" : [ { "id" : "ITEM-1", "itemData" : { "DOI" : "10.1017/S000711451200565X", "ISSN" : "1475-2662", "PMID" : "23312136", "abstract" : "Achieving an understanding of the extent of micronutrient adequacy across Europe is a major challenge. The main objective of the present study was to collect and evaluate the prevalence of low micronutrient intakes of different European countries by comparing recent nationally representative dietary survey data from Belgium, Denmark, France, Germany, The Netherlands, Poland, Spain and the United Kingdom. Dietary intake information was evaluated for intakes of Ca, Cu, I, Fe, Mg, K, Se, Zn and the vitamins A, B\u2081, B\u2082, B\u2086, B\u2081\u2082, C, D, E and folate. The mean and 5th percentile of the intake distributions were estimated for these countries, for a number of defined sex and age groups. The percentages of those with intakes below the lower reference nutrient intake and the estimated average requirement were calculated. Reference intakes were derived from the UK and Nordic Nutrition Recommendations. The impact of dietary supplement intake as well as inclusion of apparently low energy reporters on the estimates was evaluated. Except for vitamin D, the present study suggests that the current intakes of vitamins from foods lead to low risk of low intakes in all age and sex groups. For current minerals, the study suggests that the risk of low intakes is likely to appear more often in specific age groups. In spite of the limitations of the data, the present study provides valuable new information about micronutrient intakes across Europe and the likelihood of inadequacy country by country.", "author" : [ { "dropping-particle" : "", "family" : "Mensink", "given" : "G B M", "non-dropping-particle" : "", "parse-names" : false, "suffix" : "" }, { "dropping-particle" : "", "family" : "Fletcher", "given" : "R", "non-dropping-particle" : "", "parse-names" : false, "suffix" : "" }, { "dropping-particle" : "", "family" : "Gurinovic", "given" : "M", "non-dropping-particle" : "", "parse-names" : false, "suffix" : "" }, { "dropping-particle" : "", "family" : "Huybrechts", "given" : "I", "non-dropping-particle" : "", "parse-names" : false, "suffix" : "" }, { "dropping-particle" : "", "family" : "Lafay", "given" : "L", "non-dropping-particle" : "", "parse-names" : false, "suffix" : "" }, { "dropping-particle" : "", "family" : "Serra-Majem", "given" : "L", "non-dropping-particle" : "", "parse-names" : false, "suffix" : "" }, { "dropping-particle" : "", "family" : "Szponar", "given" : "L", "non-dropping-particle" : "", "parse-names" : false, "suffix" : "" }, { "dropping-particle" : "", "family" : "Tetens", "given" : "I", "non-dropping-particle" : "", "parse-names" : false, "suffix" : "" }, { "dropping-particle" : "", "family" : "Verkaik-Kloosterman", "given" : "J", "non-dropping-particle" : "", "parse-names" : false, "suffix" : "" }, { "dropping-particle" : "", "family" : "Baka", "given" : "A", "non-dropping-particle" : "", "parse-names" : false, "suffix" : "" }, { "dropping-particle" : "", "family" : "Stephen", "given" : "a M", "non-dropping-particle" : "", "parse-names" : false, "suffix" : "" } ], "container-title" : "The British journal of nutrition", "id" : "ITEM-1", "issue" : "4", "issued" : { "date-parts" : [ [ "2013", "8", "14" ] ] }, "page" : "755-73", "title" : "Mapping low intake of micronutrients across Europe.", "type" : "article-journal", "volume" : "110" }, "uris" : [ "http://www.mendeley.com/documents/?uuid=e895f410-0f59-45ab-9314-26a31ab59032" ] } ], "mendeley" : { "formattedCitation" : "&lt;sup&gt;(46)&lt;/sup&gt;", "plainTextFormattedCitation" : "(46)", "previouslyFormattedCitation" : "&lt;sup&gt;(46)&lt;/sup&gt;" }, "properties" : { "noteIndex" : 0 }, "schema" : "https://github.com/citation-style-language/schema/raw/master/csl-citation.json" }</w:instrText>
      </w:r>
      <w:r w:rsidR="00295A40">
        <w:fldChar w:fldCharType="separate"/>
      </w:r>
      <w:r w:rsidR="00C40694" w:rsidRPr="00C40694">
        <w:rPr>
          <w:noProof/>
          <w:vertAlign w:val="superscript"/>
        </w:rPr>
        <w:t>(46)</w:t>
      </w:r>
      <w:r w:rsidR="00295A40">
        <w:fldChar w:fldCharType="end"/>
      </w:r>
      <w:r w:rsidR="00295A40">
        <w:t xml:space="preserve"> streamlined participant-level data with regard to DRVs and age </w:t>
      </w:r>
      <w:proofErr w:type="spellStart"/>
      <w:r w:rsidR="00295A40">
        <w:t>cutoffs</w:t>
      </w:r>
      <w:proofErr w:type="spellEnd"/>
      <w:r w:rsidR="00295A40">
        <w:t xml:space="preserve"> from dietary surveys in </w:t>
      </w:r>
      <w:r w:rsidR="00BC6901">
        <w:t>eight</w:t>
      </w:r>
      <w:r w:rsidR="00295A40">
        <w:t xml:space="preserve"> countries in the European Union</w:t>
      </w:r>
      <w:r w:rsidRPr="589C4AF9">
        <w:t>,</w:t>
      </w:r>
      <w:r w:rsidR="004D7866" w:rsidRPr="589C4AF9">
        <w:t xml:space="preserve"> </w:t>
      </w:r>
      <w:r>
        <w:t>with data collection</w:t>
      </w:r>
      <w:r w:rsidR="00C0701C">
        <w:t>s</w:t>
      </w:r>
      <w:r>
        <w:t xml:space="preserve"> </w:t>
      </w:r>
      <w:r w:rsidR="004D7866">
        <w:t>between 1997 and 2010</w:t>
      </w:r>
      <w:r w:rsidR="00295A40" w:rsidRPr="589C4AF9">
        <w:t>.</w:t>
      </w:r>
      <w:r w:rsidRPr="589C4AF9">
        <w:t xml:space="preserve"> </w:t>
      </w:r>
      <w:r w:rsidR="00295A40">
        <w:t xml:space="preserve"> Using</w:t>
      </w:r>
      <w:r w:rsidR="000D38A4">
        <w:t xml:space="preserve"> vitamin C</w:t>
      </w:r>
      <w:r w:rsidR="00295A40">
        <w:t xml:space="preserve"> from this publication</w:t>
      </w:r>
      <w:r w:rsidR="000D38A4">
        <w:t xml:space="preserve"> as an example, </w:t>
      </w:r>
      <w:r w:rsidR="00B5677C">
        <w:t xml:space="preserve">mean </w:t>
      </w:r>
      <w:r w:rsidR="000D38A4">
        <w:t>food-sourced intake</w:t>
      </w:r>
      <w:r w:rsidR="005F65B4">
        <w:t xml:space="preserve"> in adults age</w:t>
      </w:r>
      <w:r w:rsidR="00DA2C41">
        <w:t>d</w:t>
      </w:r>
      <w:r w:rsidR="005F65B4">
        <w:t xml:space="preserve"> 18-60 years</w:t>
      </w:r>
      <w:r w:rsidR="000D38A4">
        <w:t xml:space="preserve"> varied from 81 (PO) -</w:t>
      </w:r>
      <w:r w:rsidR="00295457" w:rsidRPr="589C4AF9">
        <w:t xml:space="preserve"> </w:t>
      </w:r>
      <w:r w:rsidR="000D38A4">
        <w:t xml:space="preserve">152 (G) mg/d in women </w:t>
      </w:r>
      <w:r w:rsidR="005F65B4">
        <w:t>and from 81 (F, NL) -152 (D) mg/d in men.  After the contribution of supplements</w:t>
      </w:r>
      <w:r w:rsidR="00033905" w:rsidRPr="589C4AF9">
        <w:t>,</w:t>
      </w:r>
      <w:r w:rsidR="005F65B4">
        <w:t xml:space="preserve"> TNI ranged from 96 (F) -175 (D) mg/d in women and from 87 (F) -173 (D) mg/d in men.  </w:t>
      </w:r>
      <w:r w:rsidR="00033905">
        <w:t>T</w:t>
      </w:r>
      <w:r w:rsidR="005F65B4">
        <w:t>here</w:t>
      </w:r>
      <w:r w:rsidR="005F3D7A">
        <w:t xml:space="preserve"> was</w:t>
      </w:r>
      <w:r w:rsidR="005F65B4">
        <w:t xml:space="preserve"> a very small decrease (0-1% women; 0-0.7% men) in the percentage of the populations meeting the EAR after inclusion </w:t>
      </w:r>
      <w:r w:rsidR="00033905">
        <w:t>of</w:t>
      </w:r>
      <w:r w:rsidR="005F65B4">
        <w:t xml:space="preserve"> supplements</w:t>
      </w:r>
      <w:r w:rsidR="008D7114">
        <w:t>; o</w:t>
      </w:r>
      <w:r w:rsidR="005F65B4">
        <w:t>nly among the 65+ age group were reductions of 0-4% obtained.</w:t>
      </w:r>
      <w:r w:rsidR="00033905" w:rsidRPr="589C4AF9">
        <w:t xml:space="preserve">  </w:t>
      </w:r>
      <w:r w:rsidR="0061530A">
        <w:t>Particularly</w:t>
      </w:r>
      <w:r w:rsidR="008D7114">
        <w:t xml:space="preserve"> for the</w:t>
      </w:r>
      <w:r w:rsidR="0061530A" w:rsidRPr="589C4AF9">
        <w:t xml:space="preserve"> </w:t>
      </w:r>
      <w:r w:rsidR="00A761EA">
        <w:t>vitamins A, D and E</w:t>
      </w:r>
      <w:r w:rsidR="00C93627">
        <w:t xml:space="preserve">, and the minerals </w:t>
      </w:r>
      <w:r w:rsidR="00A761EA">
        <w:t xml:space="preserve">iron (among women) </w:t>
      </w:r>
      <w:r w:rsidR="00C93627">
        <w:t xml:space="preserve">and </w:t>
      </w:r>
      <w:r w:rsidR="00A761EA">
        <w:t>selenium</w:t>
      </w:r>
      <w:r w:rsidR="00C93627" w:rsidRPr="589C4AF9">
        <w:t>,</w:t>
      </w:r>
      <w:r w:rsidR="0061530A" w:rsidRPr="589C4AF9">
        <w:t xml:space="preserve"> </w:t>
      </w:r>
      <w:r w:rsidR="00C93627">
        <w:t xml:space="preserve">a </w:t>
      </w:r>
      <w:r w:rsidR="0061530A">
        <w:t xml:space="preserve">lower prevalence of intakes below the EAR </w:t>
      </w:r>
      <w:r w:rsidR="00BB71F6">
        <w:t xml:space="preserve">(up to 34% </w:t>
      </w:r>
      <w:r w:rsidR="004D7866">
        <w:t xml:space="preserve">decrease </w:t>
      </w:r>
      <w:r w:rsidR="00BB71F6">
        <w:t xml:space="preserve">for vitamin D) </w:t>
      </w:r>
      <w:r w:rsidR="00C93627">
        <w:t>were observed after inclusion of supplement sources of these nutrients in adults.</w:t>
      </w:r>
      <w:r w:rsidR="00295A40" w:rsidRPr="589C4AF9">
        <w:t xml:space="preserve">  </w:t>
      </w:r>
      <w:r w:rsidR="0061530A">
        <w:t>When it comes to exceeding upper limits</w:t>
      </w:r>
      <w:r w:rsidR="008F4767">
        <w:t xml:space="preserve"> due to supplements</w:t>
      </w:r>
      <w:r w:rsidR="0061530A" w:rsidRPr="589C4AF9">
        <w:t xml:space="preserve">, </w:t>
      </w:r>
      <w:r w:rsidR="00B8111C" w:rsidRPr="000D38A4">
        <w:t>Flynn</w:t>
      </w:r>
      <w:r w:rsidR="0061530A" w:rsidRPr="589C4AF9">
        <w:t xml:space="preserve"> </w:t>
      </w:r>
      <w:r w:rsidR="0061530A" w:rsidRPr="589C4AF9">
        <w:rPr>
          <w:i/>
          <w:iCs/>
        </w:rPr>
        <w:t>et al.</w:t>
      </w:r>
      <w:r w:rsidR="00B8111C" w:rsidRPr="589C4AF9">
        <w:t xml:space="preserve"> </w:t>
      </w:r>
      <w:r w:rsidR="00B8111C">
        <w:fldChar w:fldCharType="begin" w:fldLock="1"/>
      </w:r>
      <w:r w:rsidR="00C1396B">
        <w:instrText>ADDIN CSL_CITATION { "citationItems" : [ { "id" : "ITEM-1", "itemData" : { "DOI" : "10.3402/fnr.v53i0.2129", "ISSN" : "16546628", "PMID" : "20011225", "abstract" : "BACKGROUND: Recent European Union regulation requires setting of maximum amount of micronutrients in dietary supplements or foods taking into account the tolerable upper intake level (ULs) established by scientific risk assessment and population reference intakes. OBJECTIVE: To collect and evaluate recently available data on intakes of selected vitamins and minerals from conventional foods, food supplements and fortified foods in adults and children. Intake of calcium, copper, iodine, iron, magnesium, phosphorus, selenium, zinc, folic acid, niacin and total vitamin A/retinol, B(6), D and E was derived from nationally representative surveys in Denmark, Germany, Finland, Ireland, Italy, the Netherlands, Poland, Spain and the United Kingdom. Intake of high consumers, defined as the 95th percentile of each nutrient, was compared to the UL. RESULTS: For most nutrients, adults and children generally consume considerably less than the UL with exceptions being retinol, zinc, iodine, copper and magnesium. The major contributor to intakes for all nutrients and in all countries is from foods in the base diet. The patterns of food supplements and voluntary fortification vary widely among countries with food supplements being responsible for the largest differences in total intakes. In the present study, for those countries with data on fortified foods, fortified foods do not significantly contribute to higher intakes for any nutrient. Total nutrient intake expressed as percentage of the UL is generally higher in children than in adults. CONCLUSION: The risk of excessive intakes is relatively low for the majority of nutrients with a few exceptions. Children are the most vulnerable group as they are more likely to exhibit high intakes relative to the UL. There is a need to develop improved methods for estimating intakes of micronutrients from fortified foods and food supplements in future dietary surveys.", "author" : [ { "dropping-particle" : "", "family" : "Flynn", "given" : "Albert", "non-dropping-particle" : "", "parse-names" : false, "suffix" : "" }, { "dropping-particle" : "", "family" : "Hirvonen", "given" : "Tero", "non-dropping-particle" : "", "parse-names" : false, "suffix" : "" }, { "dropping-particle" : "", "family" : "Mensink", "given" : "Gert B M", "non-dropping-particle" : "", "parse-names" : false, "suffix" : "" }, { "dropping-particle" : "", "family" : "Ock\u00e9", "given" : "Marga C.", "non-dropping-particle" : "", "parse-names" : false, "suffix" : "" }, { "dropping-particle" : "", "family" : "Serra-Majem", "given" : "Lluis", "non-dropping-particle" : "", "parse-names" : false, "suffix" : "" }, { "dropping-particle" : "", "family" : "Stos", "given" : "Katarzyna", "non-dropping-particle" : "", "parse-names" : false, "suffix" : "" }, { "dropping-particle" : "", "family" : "Szponar", "given" : "Lucjan", "non-dropping-particle" : "", "parse-names" : false, "suffix" : "" }, { "dropping-particle" : "", "family" : "Tetens", "given" : "Inge", "non-dropping-particle" : "", "parse-names" : false, "suffix" : "" }, { "dropping-particle" : "", "family" : "Turrini", "given" : "Aida", "non-dropping-particle" : "", "parse-names" : false, "suffix" : "" }, { "dropping-particle" : "", "family" : "Fletcher", "given" : "Reg", "non-dropping-particle" : "", "parse-names" : false, "suffix" : "" }, { "dropping-particle" : "", "family" : "Wildemann", "given" : "Tanja", "non-dropping-particle" : "", "parse-names" : false, "suffix" : "" } ], "container-title" : "Food and Nutrition Research", "id" : "ITEM-1", "issue" : "SUPPL. 1", "issued" : { "date-parts" : [ [ "2009" ] ] }, "title" : "Intake of selected nutrients from foods, from fortification and from supplements in various European countries", "type" : "article-journal", "volume" : "53" }, "uris" : [ "http://www.mendeley.com/documents/?uuid=1720893c-05d7-429a-89bd-2194bb05ce65" ] } ], "mendeley" : { "formattedCitation" : "&lt;sup&gt;(30)&lt;/sup&gt;", "plainTextFormattedCitation" : "(30)", "previouslyFormattedCitation" : "&lt;sup&gt;(30)&lt;/sup&gt;" }, "properties" : { "noteIndex" : 0 }, "schema" : "https://github.com/citation-style-language/schema/raw/master/csl-citation.json" }</w:instrText>
      </w:r>
      <w:r w:rsidR="00B8111C">
        <w:fldChar w:fldCharType="separate"/>
      </w:r>
      <w:r w:rsidR="00975B94" w:rsidRPr="00975B94">
        <w:rPr>
          <w:noProof/>
          <w:vertAlign w:val="superscript"/>
        </w:rPr>
        <w:t>(30)</w:t>
      </w:r>
      <w:r w:rsidR="00B8111C">
        <w:fldChar w:fldCharType="end"/>
      </w:r>
      <w:r w:rsidR="0061530A" w:rsidRPr="589C4AF9">
        <w:t xml:space="preserve"> </w:t>
      </w:r>
      <w:r w:rsidR="00340801">
        <w:t xml:space="preserve">studied </w:t>
      </w:r>
      <w:r w:rsidR="00D40A80">
        <w:t xml:space="preserve">dietary </w:t>
      </w:r>
      <w:r w:rsidR="00340801">
        <w:t xml:space="preserve">survey data </w:t>
      </w:r>
      <w:r w:rsidR="00D40A80">
        <w:t xml:space="preserve">of seven vitamin and eight mineral nutrient distributions </w:t>
      </w:r>
      <w:r w:rsidR="00340801">
        <w:t xml:space="preserve">gathered in a selection of European countries between 1994 and 2006.  </w:t>
      </w:r>
      <w:r w:rsidR="00D40A80">
        <w:t xml:space="preserve">Food-sourced intake (with fortified foods making a small contribution) was responsible for the majority of the populations’ intakes.  </w:t>
      </w:r>
      <w:r w:rsidR="00340801">
        <w:t>T</w:t>
      </w:r>
      <w:r w:rsidR="008F4767">
        <w:t xml:space="preserve">he </w:t>
      </w:r>
      <w:r w:rsidR="004D7866">
        <w:t xml:space="preserve">nutrient intake associated with the </w:t>
      </w:r>
      <w:r w:rsidR="00340801">
        <w:t>95</w:t>
      </w:r>
      <w:r w:rsidR="00340801" w:rsidRPr="00340801">
        <w:rPr>
          <w:vertAlign w:val="superscript"/>
        </w:rPr>
        <w:t>th</w:t>
      </w:r>
      <w:r w:rsidR="00340801">
        <w:t xml:space="preserve"> centile of </w:t>
      </w:r>
      <w:r w:rsidR="008F4767">
        <w:t xml:space="preserve">retinol, zinc, iodine, copper and magnesium </w:t>
      </w:r>
      <w:r w:rsidR="004D7866">
        <w:t xml:space="preserve">increased considerably after inclusion of supplement sources; however, it </w:t>
      </w:r>
      <w:r w:rsidR="00340801">
        <w:t>only exceeded the upper limits in a small percentage of the studied populations.</w:t>
      </w:r>
    </w:p>
    <w:p w14:paraId="6204B945" w14:textId="5FCCCD44" w:rsidR="00295A40" w:rsidRDefault="007055AA" w:rsidP="00295A40">
      <w:r>
        <w:t>W</w:t>
      </w:r>
      <w:r w:rsidR="00E1728D">
        <w:t>hen supplement use is compared between countries or continents, its use and contribution do not only vary because of participant-associated variation (</w:t>
      </w:r>
      <w:r w:rsidR="00E1728D" w:rsidRPr="7AF5BD86">
        <w:rPr>
          <w:i/>
          <w:iCs/>
        </w:rPr>
        <w:t>i.e.</w:t>
      </w:r>
      <w:r w:rsidR="00E1728D">
        <w:t xml:space="preserve"> the choice of supplement), but also due to the choices in data handling an</w:t>
      </w:r>
      <w:r w:rsidR="00794680">
        <w:t>d</w:t>
      </w:r>
      <w:r w:rsidR="00E1728D">
        <w:t xml:space="preserve"> analysis by researchers.  </w:t>
      </w:r>
      <w:r w:rsidR="00794680">
        <w:t xml:space="preserve">When comparing publications, large differences between studies may be explained </w:t>
      </w:r>
      <w:r w:rsidR="00DE358B">
        <w:t>due to</w:t>
      </w:r>
      <w:r w:rsidR="00794680">
        <w:t xml:space="preserve"> </w:t>
      </w:r>
      <w:r w:rsidR="00EC3CAB">
        <w:t>SUs</w:t>
      </w:r>
      <w:r w:rsidR="00A82CF4">
        <w:t xml:space="preserve"> all</w:t>
      </w:r>
      <w:r w:rsidR="00E1728D">
        <w:t xml:space="preserve"> </w:t>
      </w:r>
      <w:r w:rsidR="00DE358B">
        <w:t>being</w:t>
      </w:r>
      <w:r w:rsidR="00E1728D">
        <w:t xml:space="preserve"> grouped together </w:t>
      </w:r>
      <w:r w:rsidR="00DE358B" w:rsidRPr="7AF5BD86">
        <w:rPr>
          <w:i/>
          <w:iCs/>
        </w:rPr>
        <w:t>vs.</w:t>
      </w:r>
      <w:r w:rsidR="00DE358B">
        <w:t xml:space="preserve"> </w:t>
      </w:r>
      <w:r w:rsidR="00E1728D">
        <w:t xml:space="preserve">nutrient-by-nutrient distinction </w:t>
      </w:r>
      <w:r w:rsidR="00DE358B">
        <w:t xml:space="preserve">among </w:t>
      </w:r>
      <w:r w:rsidR="00A82CF4">
        <w:t>SU</w:t>
      </w:r>
      <w:r w:rsidR="00DE358B">
        <w:t>s.  T</w:t>
      </w:r>
      <w:r w:rsidR="00E1728D">
        <w:t>h</w:t>
      </w:r>
      <w:r w:rsidR="00DE358B">
        <w:t>is</w:t>
      </w:r>
      <w:r w:rsidR="00E1728D">
        <w:t xml:space="preserve"> is the case when interpreting publications using NHANES data</w:t>
      </w:r>
      <w:r w:rsidR="00DE358B">
        <w:t xml:space="preserve"> for example</w:t>
      </w:r>
      <w:r w:rsidR="00C43C71">
        <w:t xml:space="preserve"> </w:t>
      </w:r>
      <w:r w:rsidR="00C43C71">
        <w:fldChar w:fldCharType="begin" w:fldLock="1"/>
      </w:r>
      <w:r w:rsidR="009241D8">
        <w:instrText>ADDIN CSL_CITATION { "citationItems" : [ { "id" : "ITEM-1", "itemData" : { "ISSN" : "2212-2672", "PMID" : "22709770", "abstract" : "BACKGROUND: More than half of US adults use dietary supplements. Some reports suggest that supplement users have higher vitamin intakes from foods than nonusers, but this observation has not been examined using nationally representative survey data. OBJECTIVE: The purpose of this analysis was to examine vitamin intakes from foods by supplement use and how dietary supplements contribute to meeting or exceeding the Dietary Reference Intakes for selected vitamins using data from the National Health and Nutrition Examination Survey among adults (aged &gt;/=19 years) in 2003-2006 (n=8,860). RESULTS: Among male users, mean intakes of folate and vitamins A, E, and K from food sources were significantly higher than among nonusers. Among women, mean intakes of folate and vitamins A, C, D, and E from foods were higher among users than nonusers. Total intakes (food and supplements) were higher for every vitamin we examined among users than the dietary vitamin intakes of nonusers. Supplement use helped lower the prevalence of intakes below the Estimated Average Requirement for every vitamin we examined, but for folic acid and vitamins A, B-6, and C, supplement use increased the likelihood of intakes above the Tolerable Upper Intake Level. CONCLUSIONS: Supplement use was associated with higher mean intakes of some vitamins from foods among users than nonusers, but it was not associated with the prevalence of intakes less than the Estimated Average Requirement from foods. Those who do not use vitamin supplements had significantly higher prevalence of inadequate vitamin intakes; however, the use of supplements can contribute to excess intake for some vitamins", "author" : [ { "dropping-particle" : "", "family" : "Bailey", "given" : "Regan Lucas", "non-dropping-particle" : "", "parse-names" : false, "suffix" : "" }, { "dropping-particle" : "", "family" : "Fulgoni", "given" : "Victor L", "non-dropping-particle" : "", "parse-names" : false, "suffix" : "" }, { "dropping-particle" : "", "family" : "Keast", "given" : "Debra R", "non-dropping-particle" : "", "parse-names" : false, "suffix" : "" }, { "dropping-particle" : "", "family" : "Dwyer", "given" : "Johanna T", "non-dropping-particle" : "", "parse-names" : false, "suffix" : "" } ], "container-title" : "J Acad Nutr Diet", "id" : "ITEM-1", "issue" : "5", "issued" : { "date-parts" : [ [ "2012", "5" ] ] }, "page" : "657-663.e4", "title" : "Examination of vitamin intakes among US adults by dietary supplement use.", "type" : "article-journal", "volume" : "112" }, "uris" : [ "http://www.mendeley.com/documents/?uuid=1589b212-e7b4-49bb-ae32-514a518a8a6e" ] }, { "id" : "ITEM-2", "itemData" : { "DOI" : "10.3945/jn.111.142257", "ISSN" : "1541-6100", "PMID" : "21865568", "abstract" : "Limited data are available on the source of usual nutrient intakes in the United States. This analysis aimed to assess contributions of micronutrients to usual intakes derived from all sources (naturally occurring, fortified and enriched, and dietary supplements) and to compare usual intakes to the Dietary Reference Intake for U.S. residents aged \u22652 y according to NHANES 2003-2006 (n = 16,110). We used the National Cancer Institute method to assess usual intakes of 19 micronutrients by source. Only a small percentage of the population had total usual intakes (from dietary intakes and supplements) below the estimated average requirement (EAR) for the following: vitamin B-6 (8%), folate (8%), zinc (8%), thiamin, riboflavin, niacin, vitamin B-12, phosphorus, iron, copper, and selenium (&lt;6% for all). However, more of the population had total usual intakes below the EAR for vitamins A, C, D, and E (34, 25, 70, and 60%, respectively), calcium (38%), and magnesium (45%). Only 3 and 35% had total usual intakes of potassium and vitamin K, respectively, greater than the adequate intake. Enrichment and/or fortification largely contributed to intakes of vitamins A, C, and D, thiamin, iron, and folate. Dietary supplements further reduced the percentage of the population consuming less than the EAR for all nutrients. The percentage of the population with total intakes greater than the tolerable upper intake level (UL) was very low for most nutrients, whereas 10.3 and 8.4% of the population had intakes greater than the UL for niacin and zinc, respectively. Without enrichment and/or fortification and supplementation, many Americans did not achieve the recommended micronutrient intake levels set forth in the Dietary Reference Intake.", "author" : [ { "dropping-particle" : "", "family" : "Fulgoni", "given" : "Victor L", "non-dropping-particle" : "", "parse-names" : false, "suffix" : "" }, { "dropping-particle" : "", "family" : "Keast", "given" : "Debra R", "non-dropping-particle" : "", "parse-names" : false, "suffix" : "" }, { "dropping-particle" : "", "family" : "Bailey", "given" : "Regan L", "non-dropping-particle" : "", "parse-names" : false, "suffix" : "" }, { "dropping-particle" : "", "family" : "Dwyer", "given" : "Johanna", "non-dropping-particle" : "", "parse-names" : false, "suffix" : "" } ], "container-title" : "The Journal of nutrition", "id" : "ITEM-2", "issue" : "10", "issued" : { "date-parts" : [ [ "2011", "10" ] ] }, "page" : "1847-54", "title" : "Foods, fortificants, and supplements: Where do Americans get their nutrients?", "type" : "article-journal", "volume" : "141" }, "uris" : [ "http://www.mendeley.com/documents/?uuid=8c8ec0fa-305d-4607-bdc1-622a888ab9b3" ] }, { "id" : "ITEM-3", "itemData" : { "ISSN" : "1938-3207", "PMID" : "21955646", "abstract" : "BACKGROUND: Dietary supplement use is extensive in US adults. Some reports suggested that supplement users had higher nutrient intakes from the diet than did nonusers, but to our knowledge this finding has not been examined in nationally representative survey data. OBJECTIVE: In this analysis, we examined mineral intakes from the diet by supplement-use categories and how these supplements contributed to meeting or exceeding Dietary Reference Intakes for selected minerals. DESIGN: Data from adults (\u226519 y of age; n = 8860) who participated in NHANES 2003-2006, a nationally representative, cross-sectional survey, were examined. Supplement use was defined as the participant's self-reported use of a supplement that contained one or more selected minerals. RESULTS: Dietary intakes of minerals from food sources were higher for magnesium, copper, potassium, and selenium in male supplement users than in nonusers. For women, dietary intakes of minerals from food sources were higher for users than for nonusers for each mineral examined except for selenium. In women, users of calcium-containing dietary supplements were much more likely to meet the Estimated Average Requirement (EAR) than were nonusers. Even after consideration of supplement use, &gt;14% of adults had inadequate intakes for calcium and magnesium on the basis of the percentage of adults with usual intakes less than the EAR. The prevalence of adults who exceeded the tolerable upper intake level (UL) for calcium, zinc, iron, and magnesium was higher in users than in nonusers. CONCLUSIONS: Individuals who used mineral-containing dietary supplements had higher mineral intakes from food sources in the diet than did nonusers. For all minerals examined, and particularly for calcium and magnesium in men and women and iron in women, supplement use decreased the prevalence of intake inadequacy for each respective mineral; however, supplements contributed to risk of potentially excessive intakes for calcium, iron, zinc, and magnesium.", "author" : [ { "dropping-particle" : "", "family" : "Bailey", "given" : "Regan L", "non-dropping-particle" : "", "parse-names" : false, "suffix" : "" }, { "dropping-particle" : "", "family" : "Fulgoni", "given" : "Victor L", "non-dropping-particle" : "", "parse-names" : false, "suffix" : "" }, { "dropping-particle" : "", "family" : "Keast", "given" : "Debra R", "non-dropping-particle" : "", "parse-names" : false, "suffix" : "" }, { "dropping-particle" : "", "family" : "Dwyer", "given" : "Johanna T", "non-dropping-particle" : "", "parse-names" : false, "suffix" : "" } ], "container-title" : "The American journal of clinical nutrition", "id" : "ITEM-3", "issue" : "5", "issued" : { "date-parts" : [ [ "2011", "11" ] ] }, "page" : "1376-81", "title" : "Dietary supplement use is associated with higher intakes of minerals from food sources.", "type" : "article-journal", "volume" : "94" }, "uris" : [ "http://www.mendeley.com/documents/?uuid=1a124e8f-822a-4415-ae7e-1fbfc722463d" ] } ], "mendeley" : { "formattedCitation" : "&lt;sup&gt;(47\u201349)&lt;/sup&gt;", "plainTextFormattedCitation" : "(47\u201349)", "previouslyFormattedCitation" : "&lt;sup&gt;(47\u201349)&lt;/sup&gt;" }, "properties" : { "noteIndex" : 0 }, "schema" : "https://github.com/citation-style-language/schema/raw/master/csl-citation.json" }</w:instrText>
      </w:r>
      <w:r w:rsidR="00C43C71">
        <w:fldChar w:fldCharType="separate"/>
      </w:r>
      <w:r w:rsidR="00C40694" w:rsidRPr="00C40694">
        <w:rPr>
          <w:noProof/>
          <w:vertAlign w:val="superscript"/>
        </w:rPr>
        <w:t>(47–49)</w:t>
      </w:r>
      <w:r w:rsidR="00C43C71">
        <w:fldChar w:fldCharType="end"/>
      </w:r>
      <w:r w:rsidR="00DE358B">
        <w:t xml:space="preserve">.  Here, far greater effects on meeting the EAR and exceeding the TUL are obtained because of different </w:t>
      </w:r>
      <w:r w:rsidR="00DC393D">
        <w:t xml:space="preserve">supplement nutrient </w:t>
      </w:r>
      <w:r w:rsidR="00DE358B">
        <w:t>grouping</w:t>
      </w:r>
      <w:r w:rsidR="0097144D">
        <w:t>s</w:t>
      </w:r>
      <w:r w:rsidR="00DE358B">
        <w:t xml:space="preserve"> of participants (on top of different DRV cut-offs and the majority of the supplements bein</w:t>
      </w:r>
      <w:r w:rsidR="00DE358B" w:rsidRPr="00ED6425">
        <w:t>g</w:t>
      </w:r>
      <w:r w:rsidR="008A3EB4" w:rsidRPr="00ED6425">
        <w:t xml:space="preserve"> MVMM</w:t>
      </w:r>
      <w:r w:rsidR="00D57775" w:rsidRPr="00ED6425">
        <w:t>-</w:t>
      </w:r>
      <w:r w:rsidR="0097144D" w:rsidRPr="00ED6425">
        <w:t xml:space="preserve">type </w:t>
      </w:r>
      <w:r w:rsidR="00DE358B" w:rsidRPr="00ED6425">
        <w:t>supplements).</w:t>
      </w:r>
      <w:r w:rsidR="001B0A82">
        <w:t xml:space="preserve">  </w:t>
      </w:r>
      <w:r w:rsidR="00295A40">
        <w:t>Applying th</w:t>
      </w:r>
      <w:r w:rsidR="001B0A82">
        <w:t xml:space="preserve">is </w:t>
      </w:r>
      <w:r w:rsidR="00EC102F">
        <w:t>nutrient-by-nutrient grouping</w:t>
      </w:r>
      <w:r w:rsidR="004656FE">
        <w:t xml:space="preserve"> strategy and UK DRVs</w:t>
      </w:r>
      <w:r w:rsidR="00295A40">
        <w:t xml:space="preserve"> to the vitamin C intake as assessed in the </w:t>
      </w:r>
      <w:r w:rsidR="001B0A82">
        <w:t>NDNS</w:t>
      </w:r>
      <w:r w:rsidR="00295A40">
        <w:t xml:space="preserve"> </w:t>
      </w:r>
      <w:r w:rsidR="001B0A82">
        <w:t>d</w:t>
      </w:r>
      <w:r w:rsidR="00295A40">
        <w:t xml:space="preserve">ata of </w:t>
      </w:r>
      <w:r w:rsidR="000248C3">
        <w:t xml:space="preserve">years 1-4 of </w:t>
      </w:r>
      <w:r w:rsidR="00295A40">
        <w:t xml:space="preserve">the rolling programme </w:t>
      </w:r>
      <w:r w:rsidR="00C96628">
        <w:fldChar w:fldCharType="begin" w:fldLock="1"/>
      </w:r>
      <w:r w:rsidR="00C1396B">
        <w:instrText>ADDIN CSL_CITATION { "citationItems" : [ { "id" : "ITEM-1", "itemData" : { "DOI" : "2014051", "abstract" : "About Public Health England Public Health England's mission is to protect and improve the nation's health and to address inequalities through working with national and local government, the NHS, industry and the voluntary and community sector. PHE is an operationally autonomous executive agency of the Department of Health.", "author" : [ { "dropping-particle" : "", "family" : "Bates", "given" : "Beverley", "non-dropping-particle" : "", "parse-names" : false, "suffix" : "" }, { "dropping-particle" : "", "family" : "Lennox", "given" : "Alison", "non-dropping-particle" : "", "parse-names" : false, "suffix" : "" }, { "dropping-particle" : "", "family" : "Prentice", "given" : "Ann", "non-dropping-particle" : "", "parse-names" : false, "suffix" : "" }, { "dropping-particle" : "", "family" : "Bates", "given" : "Chris", "non-dropping-particle" : "", "parse-names" : false, "suffix" : "" }, { "dropping-particle" : "", "family" : "Page", "given" : "Polly", "non-dropping-particle" : "", "parse-names" : false, "suffix" : "" }, { "dropping-particle" : "", "family" : "Nicholson", "given" : "Sonja", "non-dropping-particle" : "", "parse-names" : false, "suffix" : "" }, { "dropping-particle" : "", "family" : "Swan", "given" : "Gillian", "non-dropping-particle" : "", "parse-names" : false, "suffix" : "" } ], "id" : "ITEM-1", "issued" : { "date-parts" : [ [ "2014" ] ] }, "page" : "1-27", "title" : "National Diet and Nutrition Survey: Results from Years 1, 2, 3 and 4 (combined) of the Rolling Programme", "type" : "article-journal", "volume" : "4" }, "uris" : [ "http://www.mendeley.com/documents/?uuid=88c8ba7e-1c29-4e2f-846b-264a30ec17e8" ] } ], "mendeley" : { "formattedCitation" : "&lt;sup&gt;(32)&lt;/sup&gt;", "plainTextFormattedCitation" : "(32)", "previouslyFormattedCitation" : "&lt;sup&gt;(32)&lt;/sup&gt;" }, "properties" : { "noteIndex" : 0 }, "schema" : "https://github.com/citation-style-language/schema/raw/master/csl-citation.json" }</w:instrText>
      </w:r>
      <w:r w:rsidR="00C96628">
        <w:fldChar w:fldCharType="separate"/>
      </w:r>
      <w:r w:rsidR="00975B94" w:rsidRPr="00975B94">
        <w:rPr>
          <w:noProof/>
          <w:vertAlign w:val="superscript"/>
        </w:rPr>
        <w:t>(32)</w:t>
      </w:r>
      <w:r w:rsidR="00C96628">
        <w:fldChar w:fldCharType="end"/>
      </w:r>
      <w:r w:rsidR="00295A40">
        <w:t xml:space="preserve">, then </w:t>
      </w:r>
      <w:r w:rsidR="00D34A30">
        <w:t xml:space="preserve">SUPP-Table 2 </w:t>
      </w:r>
      <w:r w:rsidR="00295A40">
        <w:t xml:space="preserve">is obtained.  When the food-sourced vitamin C intake of </w:t>
      </w:r>
      <w:r w:rsidR="00295A40" w:rsidRPr="7AF5BD86">
        <w:rPr>
          <w:i/>
          <w:iCs/>
        </w:rPr>
        <w:t>all</w:t>
      </w:r>
      <w:r w:rsidR="00295A40">
        <w:t xml:space="preserve"> the men or </w:t>
      </w:r>
      <w:r w:rsidR="00295A40" w:rsidRPr="7AF5BD86">
        <w:rPr>
          <w:i/>
          <w:iCs/>
        </w:rPr>
        <w:t>all</w:t>
      </w:r>
      <w:r w:rsidR="00295A40">
        <w:t xml:space="preserve"> the women within the same age group are compared against the TNI, the median intake increased with </w:t>
      </w:r>
      <w:r w:rsidR="00B96E57">
        <w:t>3-9 mg/d and</w:t>
      </w:r>
      <w:r w:rsidR="00295A40">
        <w:t xml:space="preserve"> the percentage of participants in this population </w:t>
      </w:r>
      <w:r w:rsidR="00295A40" w:rsidRPr="7AF5BD86">
        <w:rPr>
          <w:i/>
          <w:iCs/>
        </w:rPr>
        <w:t>not</w:t>
      </w:r>
      <w:r w:rsidR="00295A40">
        <w:t xml:space="preserve"> meeting the EAR was maximally </w:t>
      </w:r>
      <w:r w:rsidR="00B96E57">
        <w:t>0.1-1.1</w:t>
      </w:r>
      <w:r w:rsidR="00295A40">
        <w:t xml:space="preserve">% lower once </w:t>
      </w:r>
      <w:r w:rsidR="00295A40">
        <w:lastRenderedPageBreak/>
        <w:t>supplements were included</w:t>
      </w:r>
      <w:r w:rsidR="003D16C8">
        <w:t xml:space="preserve">, as was observed EU-wide </w:t>
      </w:r>
      <w:r w:rsidR="003D16C8">
        <w:fldChar w:fldCharType="begin" w:fldLock="1"/>
      </w:r>
      <w:r w:rsidR="009241D8">
        <w:instrText>ADDIN CSL_CITATION { "citationItems" : [ { "id" : "ITEM-1", "itemData" : { "DOI" : "10.1017/S000711451200565X", "ISSN" : "1475-2662", "PMID" : "23312136", "abstract" : "Achieving an understanding of the extent of micronutrient adequacy across Europe is a major challenge. The main objective of the present study was to collect and evaluate the prevalence of low micronutrient intakes of different European countries by comparing recent nationally representative dietary survey data from Belgium, Denmark, France, Germany, The Netherlands, Poland, Spain and the United Kingdom. Dietary intake information was evaluated for intakes of Ca, Cu, I, Fe, Mg, K, Se, Zn and the vitamins A, B\u2081, B\u2082, B\u2086, B\u2081\u2082, C, D, E and folate. The mean and 5th percentile of the intake distributions were estimated for these countries, for a number of defined sex and age groups. The percentages of those with intakes below the lower reference nutrient intake and the estimated average requirement were calculated. Reference intakes were derived from the UK and Nordic Nutrition Recommendations. The impact of dietary supplement intake as well as inclusion of apparently low energy reporters on the estimates was evaluated. Except for vitamin D, the present study suggests that the current intakes of vitamins from foods lead to low risk of low intakes in all age and sex groups. For current minerals, the study suggests that the risk of low intakes is likely to appear more often in specific age groups. In spite of the limitations of the data, the present study provides valuable new information about micronutrient intakes across Europe and the likelihood of inadequacy country by country.", "author" : [ { "dropping-particle" : "", "family" : "Mensink", "given" : "G B M", "non-dropping-particle" : "", "parse-names" : false, "suffix" : "" }, { "dropping-particle" : "", "family" : "Fletcher", "given" : "R", "non-dropping-particle" : "", "parse-names" : false, "suffix" : "" }, { "dropping-particle" : "", "family" : "Gurinovic", "given" : "M", "non-dropping-particle" : "", "parse-names" : false, "suffix" : "" }, { "dropping-particle" : "", "family" : "Huybrechts", "given" : "I", "non-dropping-particle" : "", "parse-names" : false, "suffix" : "" }, { "dropping-particle" : "", "family" : "Lafay", "given" : "L", "non-dropping-particle" : "", "parse-names" : false, "suffix" : "" }, { "dropping-particle" : "", "family" : "Serra-Majem", "given" : "L", "non-dropping-particle" : "", "parse-names" : false, "suffix" : "" }, { "dropping-particle" : "", "family" : "Szponar", "given" : "L", "non-dropping-particle" : "", "parse-names" : false, "suffix" : "" }, { "dropping-particle" : "", "family" : "Tetens", "given" : "I", "non-dropping-particle" : "", "parse-names" : false, "suffix" : "" }, { "dropping-particle" : "", "family" : "Verkaik-Kloosterman", "given" : "J", "non-dropping-particle" : "", "parse-names" : false, "suffix" : "" }, { "dropping-particle" : "", "family" : "Baka", "given" : "A", "non-dropping-particle" : "", "parse-names" : false, "suffix" : "" }, { "dropping-particle" : "", "family" : "Stephen", "given" : "a M", "non-dropping-particle" : "", "parse-names" : false, "suffix" : "" } ], "container-title" : "The British journal of nutrition", "id" : "ITEM-1", "issue" : "4", "issued" : { "date-parts" : [ [ "2013", "8", "14" ] ] }, "page" : "755-73", "title" : "Mapping low intake of micronutrients across Europe.", "type" : "article-journal", "volume" : "110" }, "uris" : [ "http://www.mendeley.com/documents/?uuid=e895f410-0f59-45ab-9314-26a31ab59032" ] } ], "mendeley" : { "formattedCitation" : "&lt;sup&gt;(46)&lt;/sup&gt;", "plainTextFormattedCitation" : "(46)", "previouslyFormattedCitation" : "&lt;sup&gt;(46)&lt;/sup&gt;" }, "properties" : { "noteIndex" : 0 }, "schema" : "https://github.com/citation-style-language/schema/raw/master/csl-citation.json" }</w:instrText>
      </w:r>
      <w:r w:rsidR="003D16C8">
        <w:fldChar w:fldCharType="separate"/>
      </w:r>
      <w:r w:rsidR="00C40694" w:rsidRPr="00C40694">
        <w:rPr>
          <w:noProof/>
          <w:vertAlign w:val="superscript"/>
        </w:rPr>
        <w:t>(46)</w:t>
      </w:r>
      <w:r w:rsidR="003D16C8">
        <w:fldChar w:fldCharType="end"/>
      </w:r>
      <w:r w:rsidR="00295A40">
        <w:t>.</w:t>
      </w:r>
      <w:r w:rsidR="004656FE">
        <w:t xml:space="preserve">  </w:t>
      </w:r>
      <w:r w:rsidR="00295A40">
        <w:t xml:space="preserve">When we additionally ask the question </w:t>
      </w:r>
      <w:r w:rsidR="00295A40" w:rsidRPr="7AF5BD86">
        <w:rPr>
          <w:i/>
          <w:iCs/>
        </w:rPr>
        <w:t>“Who is at risk?</w:t>
      </w:r>
      <w:r w:rsidR="001B0A82" w:rsidRPr="7AF5BD86">
        <w:rPr>
          <w:i/>
          <w:iCs/>
        </w:rPr>
        <w:t>”</w:t>
      </w:r>
      <w:r w:rsidR="00295A40">
        <w:t xml:space="preserve"> and stratify the strata further by supplement status, we can allocate the supplement exposure to those who were truly exposed</w:t>
      </w:r>
      <w:r w:rsidR="00B96E57">
        <w:t xml:space="preserve"> and not </w:t>
      </w:r>
      <w:r w:rsidR="00295A40">
        <w:t>dilute</w:t>
      </w:r>
      <w:r w:rsidR="00B96E57">
        <w:t xml:space="preserve"> the exposure with non-vitamin C containing supplements</w:t>
      </w:r>
      <w:r w:rsidR="00295A40">
        <w:t xml:space="preserve">.  When the vitamin C supplement users (SU+C) are identified, the contribution of the supplement </w:t>
      </w:r>
      <w:r w:rsidR="003D16C8">
        <w:t>was</w:t>
      </w:r>
      <w:r w:rsidR="00295A40">
        <w:t xml:space="preserve"> </w:t>
      </w:r>
      <w:r w:rsidR="00B96E57">
        <w:t xml:space="preserve">approximately </w:t>
      </w:r>
      <w:r w:rsidR="00295A40">
        <w:t>twofold that of the food-sourced intake (</w:t>
      </w:r>
      <w:r w:rsidR="00D34A30">
        <w:t>SUPP-Table 2</w:t>
      </w:r>
      <w:r w:rsidR="00295A40">
        <w:t>).  The SU+C group ha</w:t>
      </w:r>
      <w:r w:rsidR="003D16C8">
        <w:t>d</w:t>
      </w:r>
      <w:r w:rsidR="00295A40">
        <w:t xml:space="preserve"> a lower risk of not meeting the sufficiency DRVs (not just because of the supplement, but also because of higher food-sourced vitamin C intake among the SU</w:t>
      </w:r>
      <w:r w:rsidR="00295A40">
        <w:noBreakHyphen/>
        <w:t xml:space="preserve">C and SU+C); moreover, only the SU+C group, and only when studying TNI, were exceeding quantities </w:t>
      </w:r>
      <w:r w:rsidR="004656FE">
        <w:t>&gt;1000 mg/d</w:t>
      </w:r>
      <w:r w:rsidR="00EC3CAB">
        <w:t>, intakes</w:t>
      </w:r>
      <w:r w:rsidR="004656FE">
        <w:t xml:space="preserve"> </w:t>
      </w:r>
      <w:r w:rsidR="00295A40">
        <w:t>which have been associated with GI-problems</w:t>
      </w:r>
      <w:r w:rsidR="003D16C8">
        <w:t xml:space="preserve"> </w:t>
      </w:r>
      <w:r w:rsidR="003D16C8">
        <w:fldChar w:fldCharType="begin" w:fldLock="1"/>
      </w:r>
      <w:r w:rsidR="00C1396B">
        <w:instrText>ADDIN CSL_CITATION { "citationItems" : [ { "id" : "ITEM-1", "itemData" : { "abstract" : "The Expert Group on Vitamins and Minerals (EVM) is an independent expert advisory committee which was asked to advise on safe levels of intakes of vitamins and minerals in food supplements and fortified foods. The EVM was asked to consider only vitamins and minerals sold under food law. Review of nutritional or non-nutritional beneficial effects or non nutritional use in medicines was outside the terms of reference of the group. The use of vitamins and minerals in medicines is within the remit of the Medicines and Healthcare products Regulatory Agency (MHRA). The EVM considered a detailed review of the relevant evidence for each substance and then a risk assessment which was based on this evidence. The detailed reviews covered both nutritional and toxicological information. Thirty-four substances were assessed in detail. Safe Upper Levels (SULs) were recommended for eight vitamins and minerals and guidance was issued for twenty-two. Recommendations for SULs made by the EVM depend on the availability of good data on both the nature and the frequency of adverse effects detected at different levels of intake. The database supporting the safety-in-use of vitamins and minerals is generally poor. There is a particular lack of reasonable-sized, well-designed comparative human studies of significant duration at different levels of intake, and with adequate assessment of possible adverse effects. Moreover, there has rarely been adequate consideration of potentially vulnerable population sub-groups such as children or older people. For some nutrients the EVM had to rely on animal data, with the use of empirical uncertainty factors in order to allow the extrapolation of the data to humans. For some vitamins and minerals the animal data were too limited for this purpose. As a consequence, the ability to give clear advice on SULs was often compromised and, in many cases, the EVM considered the evidence base inadequate to set a SUL. In such cases, and where possible, Guidance Levels have been given instead. These are based on very limited data; Guidance Levels must not be confused with, or used as, SULs. The determination of SULs or Guidance Levels entails the determination of doses of vitamins and minerals that potentially susceptible individuals could take daily on a life-long basis, without medical supervision in reasonable safety. The setting of these levels provides a framework within which the consumer can make an informed decision about intake, having confiden\u2026", "author" : [ { "dropping-particle" : "", "family" : "Expert group on vitamins and minerals", "given" : "", "non-dropping-particle" : "", "parse-names" : false, "suffix" : "" } ], "id" : "ITEM-1", "issue" : "May", "issued" : { "date-parts" : [ [ "2003" ] ] }, "publisher" : "Food Standards Agency", "publisher-place" : "London", "title" : "Safe Upper Levels for Vitamins and Minerals", "type" : "report" }, "uris" : [ "http://www.mendeley.com/documents/?uuid=0dbc1101-8251-4b23-b660-4130a89a62b1" ] } ], "mendeley" : { "formattedCitation" : "&lt;sup&gt;(36)&lt;/sup&gt;", "plainTextFormattedCitation" : "(36)", "previouslyFormattedCitation" : "&lt;sup&gt;(36)&lt;/sup&gt;" }, "properties" : { "noteIndex" : 0 }, "schema" : "https://github.com/citation-style-language/schema/raw/master/csl-citation.json" }</w:instrText>
      </w:r>
      <w:r w:rsidR="003D16C8">
        <w:fldChar w:fldCharType="separate"/>
      </w:r>
      <w:r w:rsidR="00975B94" w:rsidRPr="00975B94">
        <w:rPr>
          <w:noProof/>
          <w:vertAlign w:val="superscript"/>
        </w:rPr>
        <w:t>(36)</w:t>
      </w:r>
      <w:r w:rsidR="003D16C8">
        <w:fldChar w:fldCharType="end"/>
      </w:r>
      <w:r w:rsidR="00295A40">
        <w:t>.</w:t>
      </w:r>
      <w:r w:rsidR="00DA6C65">
        <w:t xml:space="preserve">  A visual representation of th</w:t>
      </w:r>
      <w:r w:rsidR="000563FA">
        <w:t>is</w:t>
      </w:r>
      <w:r w:rsidR="00DA6C65">
        <w:t xml:space="preserve"> TNI distribution and DRVs is provided in</w:t>
      </w:r>
      <w:r w:rsidR="005B1A14">
        <w:t xml:space="preserve"> Figure 3</w:t>
      </w:r>
      <w:r w:rsidR="00DA6C65">
        <w:t>.</w:t>
      </w:r>
    </w:p>
    <w:p w14:paraId="590ECA38" w14:textId="77777777" w:rsidR="009D0728" w:rsidRDefault="7AF5BD86" w:rsidP="009D0728">
      <w:pPr>
        <w:pStyle w:val="Heading2"/>
      </w:pPr>
      <w:r>
        <w:t>Conclusion - intake</w:t>
      </w:r>
    </w:p>
    <w:p w14:paraId="73B5F563" w14:textId="1D7FA2CA" w:rsidR="009D0728" w:rsidRPr="009D0728" w:rsidRDefault="3260BE44" w:rsidP="009D0728">
      <w:r>
        <w:t>Supplement intakes shift the nutrient exposure distribution to the right; however, nutrient sufficiency -in most cases- may be obtained from food sources only.  The (small) reduction in the proportion at risk after including supplements depends on the nutrient, but also on the grouping of the supplements.  There is a modest higher risk of exceeding the upper limits when supplement intake is included (among those using th</w:t>
      </w:r>
      <w:r w:rsidR="00EC3CAB">
        <w:t>at</w:t>
      </w:r>
      <w:r>
        <w:t xml:space="preserve"> nutrient in supplement form).</w:t>
      </w:r>
    </w:p>
    <w:p w14:paraId="099CBA9E" w14:textId="77777777" w:rsidR="007D2DEC" w:rsidRDefault="7AF5BD86" w:rsidP="00295A40">
      <w:pPr>
        <w:pStyle w:val="Heading1"/>
      </w:pPr>
      <w:r>
        <w:t>Association between supplement intake and biomarkers</w:t>
      </w:r>
    </w:p>
    <w:p w14:paraId="3D2E0120" w14:textId="4EC001EC" w:rsidR="0002583C" w:rsidRDefault="0029545B" w:rsidP="589C4AF9">
      <w:pPr>
        <w:rPr>
          <w:rFonts w:cs="Times New Roman"/>
        </w:rPr>
      </w:pPr>
      <w:r>
        <w:t>Objectively measured nutrient biomarkers may serve to validate the self-reported nutrient intake</w:t>
      </w:r>
      <w:r w:rsidR="003231FC">
        <w:t xml:space="preserve">, </w:t>
      </w:r>
      <w:r w:rsidR="00BF0B8D">
        <w:t xml:space="preserve">by </w:t>
      </w:r>
      <w:r w:rsidR="003231FC">
        <w:t>provid</w:t>
      </w:r>
      <w:r w:rsidR="00BF0B8D">
        <w:t>ing</w:t>
      </w:r>
      <w:r w:rsidR="003231FC">
        <w:t xml:space="preserve"> an indication of the ‘internal dose’, the absorption</w:t>
      </w:r>
      <w:r w:rsidRPr="589C4AF9">
        <w:t xml:space="preserve">.  </w:t>
      </w:r>
      <w:r w:rsidR="003231FC">
        <w:t xml:space="preserve">Biomarkers may be influenced by a variety of factors described in detail elsewhere </w:t>
      </w:r>
      <w:r w:rsidR="003231FC">
        <w:fldChar w:fldCharType="begin" w:fldLock="1"/>
      </w:r>
      <w:r w:rsidR="009241D8">
        <w:instrText>ADDIN CSL_CITATION { "citationItems" : [ { "id" : "ITEM-1", "itemData" : { "DOI" : "10.1007/s00439-009-0662-5", "ISBN" : "0340-6717", "ISSN" : "03406717", "PMID" : "19357868", "abstract" : "Modern epidemiology suggests a potential interactive association between diet, lifestyle, genetics and the risk of many chronic diseases. As such, many epidemiologic studies attempt to consider assessment of dietary intake alongside genetic measures and other variables of interest. However, given the multi-factorial complexities of dietary exposures, all dietary intake assessment methods are associated with measurement errors which affect dietary estimates and may obscure disease risk associations. For this reason, dietary biomarkers measured in biological specimens are being increasingly used as additional or substitute estimates of dietary intake and nutrient status. Genetic variation may influence dietary intake and nutrient metabolism and may affect the utility of a dietary biomarker to properly reflect dietary exposures. Although there are many functional dietary biomarkers that, if utilized appropriately, can be very informative, a better understanding of the interactions between diet and genes as potentially determining factors in the validity, application and interpretation of dietary biomarkers is necessary. It is the aim of this review to highlight how some important biomarkers are being applied in nutrition epidemiology and to address some associated questions and limitations. This review also emphasizes the need to identify new dietary biomarkers and highlights the emerging field of nutritional metabonomics as an analytical method to assess metabolic profiles as measures of dietary exposures and indicators of dietary patterns, dietary changes or effectiveness of dietary interventions. The review will also touch upon new statistical methodologies for the combination of dietary questionnaire and biomarker data for disease risk assessment. It is clear that dietary biomarkers require much further research in order to be better applied and interpreted. Future priorities should be to integrate high quality dietary intake information, measurements of dietary biomarkers, metabolic profiles of specific dietary patterns, genetics and novel statistical methodology in order to provide important new insights into gene-diet-lifestyle-disease risk associations.", "author" : [ { "dropping-particle" : "", "family" : "Jenab", "given" : "Mazda", "non-dropping-particle" : "", "parse-names" : false, "suffix" : "" }, { "dropping-particle" : "", "family" : "Slimani", "given" : "Nadia", "non-dropping-particle" : "", "parse-names" : false, "suffix" : "" }, { "dropping-particle" : "", "family" : "Bictash", "given" : "Magda", "non-dropping-particle" : "", "parse-names" : false, "suffix" : "" }, { "dropping-particle" : "", "family" : "Ferrari", "given" : "Pietro", "non-dropping-particle" : "", "parse-names" : false, "suffix" : "" }, { "dropping-particle" : "", "family" : "Bingham", "given" : "Sheila A", "non-dropping-particle" : "", "parse-names" : false, "suffix" : "" } ], "container-title" : "Human Genetics", "id" : "ITEM-1", "issue" : "5-6", "issued" : { "date-parts" : [ [ "2009", "6" ] ] }, "note" : "In folder Imerial college?", "page" : "507-525", "title" : "Biomarkers in nutritional epidemiology: Applications, needs and new horizons", "type" : "article", "volume" : "125" }, "uris" : [ "http://www.mendeley.com/documents/?uuid=3c9d23d9-429f-4f95-acef-9168b6b0238e" ] }, { "id" : "ITEM-2", "itemData" : { "DOI" : "10.3945/ajcn.112.053769", "ISSN" : "1938-3207", "PMID" : "23426725", "author" : [ { "dropping-particle" : "", "family" : "Giovannucci", "given" : "Edward", "non-dropping-particle" : "", "parse-names" : false, "suffix" : "" } ], "container-title" : "The American journal of clinical nutrition", "id" : "ITEM-2", "issue" : "3", "issued" : { "date-parts" : [ [ "2013", "3" ] ] }, "page" : "657-9", "title" : "Nutrient biomarkers are not always simple markers of nutrient intake.", "type" : "article-journal", "volume" : "97" }, "uris" : [ "http://www.mendeley.com/documents/?uuid=039a3925-e71e-48ef-a370-dbcab24f12f4" ] } ], "mendeley" : { "formattedCitation" : "&lt;sup&gt;(50,51)&lt;/sup&gt;", "plainTextFormattedCitation" : "(50,51)", "previouslyFormattedCitation" : "&lt;sup&gt;(50,51)&lt;/sup&gt;" }, "properties" : { "noteIndex" : 0 }, "schema" : "https://github.com/citation-style-language/schema/raw/master/csl-citation.json" }</w:instrText>
      </w:r>
      <w:r w:rsidR="003231FC">
        <w:fldChar w:fldCharType="separate"/>
      </w:r>
      <w:r w:rsidR="00C40694" w:rsidRPr="00C40694">
        <w:rPr>
          <w:noProof/>
          <w:vertAlign w:val="superscript"/>
        </w:rPr>
        <w:t>(50,51)</w:t>
      </w:r>
      <w:r w:rsidR="003231FC">
        <w:fldChar w:fldCharType="end"/>
      </w:r>
      <w:r w:rsidR="003231FC">
        <w:t xml:space="preserve">; however, with regard to </w:t>
      </w:r>
      <w:r w:rsidR="00D71666">
        <w:t xml:space="preserve">dietary </w:t>
      </w:r>
      <w:r w:rsidR="003231FC">
        <w:t>supplement</w:t>
      </w:r>
      <w:r w:rsidR="00D71666">
        <w:t>s as a source of nutrient intake</w:t>
      </w:r>
      <w:r w:rsidR="00DC75FD" w:rsidRPr="589C4AF9">
        <w:t>,</w:t>
      </w:r>
      <w:r w:rsidR="003231FC">
        <w:t xml:space="preserve"> a few </w:t>
      </w:r>
      <w:r w:rsidR="00DC75FD">
        <w:t>points</w:t>
      </w:r>
      <w:r w:rsidR="003231FC">
        <w:t xml:space="preserve"> stand out.  First, the range of nutrient intake is made wider and different dose-response associations may be detected </w:t>
      </w:r>
      <w:r w:rsidR="000A34F5">
        <w:t xml:space="preserve">with TNI vs. </w:t>
      </w:r>
      <w:r w:rsidR="003231FC">
        <w:t xml:space="preserve">food-sourced intake alone.  </w:t>
      </w:r>
      <w:r w:rsidR="000A34F5">
        <w:t>Secondly, the statistical parameters chosen in observational research are mostly there to establish correlations and quantify reclassification of participants, but a dose-response association is different and some of these results may be counterintuitive</w:t>
      </w:r>
      <w:r w:rsidR="000F2053">
        <w:t xml:space="preserve"> with regards to the ‘internal dose’</w:t>
      </w:r>
      <w:r w:rsidR="000A34F5">
        <w:t xml:space="preserve">.  Thirdly, </w:t>
      </w:r>
      <w:r w:rsidR="003231FC">
        <w:t>just as foods contain multiple nutrients which may interact (</w:t>
      </w:r>
      <w:r w:rsidR="003231FC" w:rsidRPr="589C4AF9">
        <w:rPr>
          <w:i/>
          <w:iCs/>
        </w:rPr>
        <w:t>e.g.</w:t>
      </w:r>
      <w:r w:rsidR="003231FC" w:rsidRPr="589C4AF9">
        <w:t xml:space="preserve"> </w:t>
      </w:r>
      <w:r w:rsidR="00F70E5D">
        <w:t>fat-soluble</w:t>
      </w:r>
      <w:r w:rsidR="003231FC">
        <w:t xml:space="preserve"> vitamins as antioxidants in high fat foods), </w:t>
      </w:r>
      <w:proofErr w:type="spellStart"/>
      <w:r w:rsidR="003231FC">
        <w:t>colinearity</w:t>
      </w:r>
      <w:proofErr w:type="spellEnd"/>
      <w:r w:rsidR="003231FC">
        <w:t xml:space="preserve"> in supplement nutrient ingestion exist</w:t>
      </w:r>
      <w:r w:rsidR="000F2053">
        <w:t>s</w:t>
      </w:r>
      <w:r w:rsidR="003231FC" w:rsidRPr="589C4AF9">
        <w:t xml:space="preserve"> (</w:t>
      </w:r>
      <w:r w:rsidR="003231FC" w:rsidRPr="589C4AF9">
        <w:rPr>
          <w:i/>
          <w:iCs/>
        </w:rPr>
        <w:t>e.g.</w:t>
      </w:r>
      <w:r w:rsidR="003231FC">
        <w:t xml:space="preserve"> use of </w:t>
      </w:r>
      <w:r w:rsidR="00A3262A">
        <w:t>MVMM-type</w:t>
      </w:r>
      <w:r w:rsidR="003231FC">
        <w:t xml:space="preserve"> supplements).  Therefore, biomarkers other than the nutrients studied may be affected (</w:t>
      </w:r>
      <w:r w:rsidR="003231FC" w:rsidRPr="589C4AF9">
        <w:rPr>
          <w:i/>
          <w:iCs/>
        </w:rPr>
        <w:t>e.g.</w:t>
      </w:r>
      <w:r w:rsidR="003231FC" w:rsidRPr="589C4AF9">
        <w:t xml:space="preserve"> </w:t>
      </w:r>
      <w:proofErr w:type="gramStart"/>
      <w:r w:rsidR="000A34F5">
        <w:t>vitamin C supplement</w:t>
      </w:r>
      <w:proofErr w:type="gramEnd"/>
      <w:r w:rsidR="000A34F5">
        <w:t xml:space="preserve"> use and </w:t>
      </w:r>
      <w:proofErr w:type="spellStart"/>
      <w:r w:rsidR="003231FC">
        <w:t>tocopherol</w:t>
      </w:r>
      <w:proofErr w:type="spellEnd"/>
      <w:r w:rsidR="003231FC">
        <w:t xml:space="preserve"> concentrations).</w:t>
      </w:r>
      <w:r w:rsidR="00365687">
        <w:t xml:space="preserve">  These points are illustrated below.</w:t>
      </w:r>
    </w:p>
    <w:p w14:paraId="349BCEDF" w14:textId="58DEB1F6" w:rsidR="0002583C" w:rsidRDefault="0029545B" w:rsidP="589C4AF9">
      <w:pPr>
        <w:rPr>
          <w:rFonts w:cs="Times New Roman"/>
        </w:rPr>
      </w:pPr>
      <w:r>
        <w:t xml:space="preserve">In </w:t>
      </w:r>
      <w:r w:rsidR="00585FAE">
        <w:t xml:space="preserve">(large) </w:t>
      </w:r>
      <w:r w:rsidR="008A3EB4">
        <w:t>cohort</w:t>
      </w:r>
      <w:r w:rsidR="00585FAE">
        <w:t xml:space="preserve"> studies</w:t>
      </w:r>
      <w:r w:rsidR="0000230E" w:rsidRPr="589C4AF9">
        <w:t xml:space="preserve">, </w:t>
      </w:r>
      <w:r w:rsidR="00585FAE">
        <w:t>circulating biomarkers are commonly used as an indicator of absorption/bio-availability.  T</w:t>
      </w:r>
      <w:r w:rsidR="005E0CD4">
        <w:t xml:space="preserve">he nutrient </w:t>
      </w:r>
      <w:r w:rsidR="0000230E">
        <w:t xml:space="preserve">exposure may be classified into </w:t>
      </w:r>
      <w:r w:rsidR="0000230E" w:rsidRPr="589C4AF9">
        <w:rPr>
          <w:i/>
          <w:iCs/>
        </w:rPr>
        <w:t>N</w:t>
      </w:r>
      <w:r w:rsidR="0000230E">
        <w:t>-tiles</w:t>
      </w:r>
      <w:r w:rsidR="005E0CD4">
        <w:t xml:space="preserve"> (e.g. </w:t>
      </w:r>
      <w:proofErr w:type="spellStart"/>
      <w:r w:rsidR="005E0CD4">
        <w:t>tertiles</w:t>
      </w:r>
      <w:proofErr w:type="spellEnd"/>
      <w:r w:rsidR="005E0CD4">
        <w:t>, quintiles)</w:t>
      </w:r>
      <w:r w:rsidR="003C1D45">
        <w:t xml:space="preserve"> and the mean</w:t>
      </w:r>
      <w:r w:rsidR="000C1920">
        <w:t>s of</w:t>
      </w:r>
      <w:r w:rsidR="000C1920" w:rsidRPr="589C4AF9">
        <w:t xml:space="preserve"> </w:t>
      </w:r>
      <w:r w:rsidR="000C1920">
        <w:t>both intakes and biomarkers</w:t>
      </w:r>
      <w:r w:rsidR="003C1D45" w:rsidRPr="589C4AF9">
        <w:t xml:space="preserve"> </w:t>
      </w:r>
      <w:r w:rsidR="000C1920">
        <w:t xml:space="preserve">may be presented </w:t>
      </w:r>
      <w:r w:rsidR="003C1D45">
        <w:t xml:space="preserve">for each </w:t>
      </w:r>
      <w:r w:rsidR="003C1D45" w:rsidRPr="589C4AF9">
        <w:rPr>
          <w:i/>
          <w:iCs/>
        </w:rPr>
        <w:t>N</w:t>
      </w:r>
      <w:r w:rsidR="003C1D45">
        <w:t>-tile</w:t>
      </w:r>
      <w:r w:rsidR="0000230E">
        <w:t xml:space="preserve">, this to establish any type of dose-response association.  </w:t>
      </w:r>
      <w:r w:rsidR="00365687">
        <w:t>R</w:t>
      </w:r>
      <w:r w:rsidR="009A7027">
        <w:t>esearchers may be interested in the</w:t>
      </w:r>
      <w:r w:rsidR="00FA0AB8">
        <w:t xml:space="preserve"> (improvement </w:t>
      </w:r>
      <w:r w:rsidR="00FA0AB8">
        <w:lastRenderedPageBreak/>
        <w:t>of the)</w:t>
      </w:r>
      <w:r w:rsidR="009A7027">
        <w:t xml:space="preserve"> agreement </w:t>
      </w:r>
      <w:r w:rsidR="00911D36">
        <w:t xml:space="preserve">in classification </w:t>
      </w:r>
      <w:r w:rsidR="0000230E">
        <w:t>between</w:t>
      </w:r>
      <w:r w:rsidR="00911D36">
        <w:t xml:space="preserve"> the objectively and subjectively collected data</w:t>
      </w:r>
      <w:r w:rsidR="00712706" w:rsidRPr="589C4AF9">
        <w:t>,</w:t>
      </w:r>
      <w:r w:rsidR="00911D36" w:rsidRPr="589C4AF9">
        <w:t xml:space="preserve"> </w:t>
      </w:r>
      <w:r w:rsidR="008E6605" w:rsidRPr="589C4AF9">
        <w:rPr>
          <w:i/>
          <w:iCs/>
        </w:rPr>
        <w:t>i.e</w:t>
      </w:r>
      <w:r w:rsidR="00911D36" w:rsidRPr="589C4AF9">
        <w:rPr>
          <w:i/>
          <w:iCs/>
        </w:rPr>
        <w:t>.</w:t>
      </w:r>
      <w:r w:rsidR="00911D36">
        <w:t xml:space="preserve"> establish whether participants </w:t>
      </w:r>
      <w:r w:rsidR="00712706">
        <w:t>ranked and placed</w:t>
      </w:r>
      <w:r w:rsidR="00911D36">
        <w:t xml:space="preserve"> into a specific </w:t>
      </w:r>
      <w:r w:rsidR="00911D36" w:rsidRPr="589C4AF9">
        <w:rPr>
          <w:i/>
          <w:iCs/>
        </w:rPr>
        <w:t>N</w:t>
      </w:r>
      <w:r w:rsidR="00911D36">
        <w:t xml:space="preserve">-tile according to the biomarker are the same participants as those placed in this </w:t>
      </w:r>
      <w:r w:rsidR="00911D36" w:rsidRPr="589C4AF9">
        <w:rPr>
          <w:i/>
          <w:iCs/>
        </w:rPr>
        <w:t>N</w:t>
      </w:r>
      <w:r w:rsidR="00911D36">
        <w:t>-tile according to the questionnaire</w:t>
      </w:r>
      <w:r w:rsidR="0000230E" w:rsidRPr="589C4AF9">
        <w:t xml:space="preserve"> </w:t>
      </w:r>
      <w:r w:rsidR="00712706" w:rsidRPr="589C4AF9">
        <w:t>(</w:t>
      </w:r>
      <w:r w:rsidR="005D3F39">
        <w:t>comparing this agreement using</w:t>
      </w:r>
      <w:r w:rsidR="000C1920">
        <w:t xml:space="preserve"> the </w:t>
      </w:r>
      <w:r w:rsidR="00D36886">
        <w:t>intake</w:t>
      </w:r>
      <w:r w:rsidR="0000230E">
        <w:t xml:space="preserve"> without and with supplements).</w:t>
      </w:r>
      <w:r w:rsidRPr="589C4AF9">
        <w:t xml:space="preserve">  </w:t>
      </w:r>
      <w:r w:rsidR="00911D36">
        <w:t>Alternatively, r</w:t>
      </w:r>
      <w:r w:rsidR="00B352BB">
        <w:t>esearchers</w:t>
      </w:r>
      <w:r w:rsidR="000D3B4D">
        <w:t xml:space="preserve"> m</w:t>
      </w:r>
      <w:r w:rsidR="00B878D3">
        <w:t>ay</w:t>
      </w:r>
      <w:r w:rsidR="000D3B4D" w:rsidRPr="589C4AF9">
        <w:t xml:space="preserve"> </w:t>
      </w:r>
      <w:r w:rsidR="00911D36">
        <w:t xml:space="preserve">wish to </w:t>
      </w:r>
      <w:r w:rsidR="00B878D3">
        <w:t>summarise</w:t>
      </w:r>
      <w:r w:rsidR="000D3B4D">
        <w:t xml:space="preserve"> th</w:t>
      </w:r>
      <w:r w:rsidR="00911D36">
        <w:t>e</w:t>
      </w:r>
      <w:r w:rsidR="000D3B4D">
        <w:t xml:space="preserve"> association</w:t>
      </w:r>
      <w:r w:rsidR="0051504D">
        <w:t xml:space="preserve"> between intake and biomarker</w:t>
      </w:r>
      <w:r w:rsidR="000D3B4D">
        <w:t xml:space="preserve"> in </w:t>
      </w:r>
      <w:r w:rsidR="00911D36">
        <w:t xml:space="preserve">a single number, using either </w:t>
      </w:r>
      <w:r w:rsidR="000D3B4D" w:rsidRPr="589C4AF9">
        <w:t>(</w:t>
      </w:r>
      <w:proofErr w:type="spellStart"/>
      <w:r w:rsidR="000D3B4D">
        <w:t>i</w:t>
      </w:r>
      <w:proofErr w:type="spellEnd"/>
      <w:r w:rsidR="000D3B4D" w:rsidRPr="589C4AF9">
        <w:t xml:space="preserve">) </w:t>
      </w:r>
      <w:r w:rsidR="00B352BB">
        <w:t xml:space="preserve">a </w:t>
      </w:r>
      <w:r w:rsidR="000D3B4D">
        <w:t xml:space="preserve">correlation or (ii) </w:t>
      </w:r>
      <w:r w:rsidR="00B352BB">
        <w:t xml:space="preserve">a </w:t>
      </w:r>
      <w:r w:rsidR="000D3B4D">
        <w:t xml:space="preserve">beta-coefficient.  </w:t>
      </w:r>
      <w:r w:rsidR="00F70442">
        <w:t xml:space="preserve">A correlation is a standardised measure (disregarding the unit) indicating the strength between two variables.  If the correlation is high, then a </w:t>
      </w:r>
      <w:r w:rsidR="00FC6D18">
        <w:t xml:space="preserve">standardised </w:t>
      </w:r>
      <w:r w:rsidR="00F70442">
        <w:t xml:space="preserve">higher intake </w:t>
      </w:r>
      <w:r w:rsidR="00F92E40">
        <w:t>is associated</w:t>
      </w:r>
      <w:r w:rsidR="00F70442">
        <w:t xml:space="preserve"> with a standardised </w:t>
      </w:r>
      <w:r w:rsidR="00837132">
        <w:t>higher or lower</w:t>
      </w:r>
      <w:r w:rsidR="00F70442">
        <w:t xml:space="preserve"> biomarker</w:t>
      </w:r>
      <w:r w:rsidR="00837132">
        <w:t xml:space="preserve"> concentration</w:t>
      </w:r>
      <w:r w:rsidR="00F70442">
        <w:t>; however, it does not reflect a dose-response association</w:t>
      </w:r>
      <w:r w:rsidR="00615644">
        <w:t xml:space="preserve"> (even when the value approaches 1 or </w:t>
      </w:r>
      <w:r w:rsidR="00615644">
        <w:noBreakHyphen/>
        <w:t>1)</w:t>
      </w:r>
      <w:r w:rsidR="000D3B4D">
        <w:t>, since the standardisation process has removed this aspect from the results</w:t>
      </w:r>
      <w:r w:rsidR="00F70442" w:rsidRPr="589C4AF9">
        <w:t>.</w:t>
      </w:r>
      <w:r w:rsidR="000D3B4D">
        <w:t xml:space="preserve">  Using linear regression</w:t>
      </w:r>
      <w:r w:rsidR="00B352BB">
        <w:t>, which obtains the</w:t>
      </w:r>
      <w:r w:rsidR="000C1920">
        <w:t xml:space="preserve"> (adjusted)</w:t>
      </w:r>
      <w:r w:rsidR="00B352BB">
        <w:t xml:space="preserve"> beta-coefficient</w:t>
      </w:r>
      <w:r w:rsidR="000D3B4D">
        <w:t>, the unit in which the variables are measured remain</w:t>
      </w:r>
      <w:r w:rsidR="005D3F39">
        <w:t>s</w:t>
      </w:r>
      <w:r w:rsidR="000D3B4D">
        <w:t xml:space="preserve"> (though</w:t>
      </w:r>
      <w:r w:rsidR="00B352BB">
        <w:t xml:space="preserve"> the</w:t>
      </w:r>
      <w:r w:rsidR="00B527DC">
        <w:t xml:space="preserve"> input variables</w:t>
      </w:r>
      <w:r w:rsidR="000D3B4D">
        <w:t xml:space="preserve"> might be ‘transformed’), and the results may </w:t>
      </w:r>
      <w:r w:rsidR="00B352BB">
        <w:t>be</w:t>
      </w:r>
      <w:r w:rsidR="000D3B4D">
        <w:t xml:space="preserve"> interpreted as</w:t>
      </w:r>
      <w:r w:rsidR="00B352BB">
        <w:t xml:space="preserve"> a</w:t>
      </w:r>
      <w:r w:rsidR="000D3B4D">
        <w:t xml:space="preserve"> ‘dose-response’</w:t>
      </w:r>
      <w:r w:rsidR="000C1920">
        <w:t xml:space="preserve"> since the intake </w:t>
      </w:r>
      <w:r w:rsidR="00123012">
        <w:t>of</w:t>
      </w:r>
      <w:r w:rsidR="000C1920" w:rsidRPr="589C4AF9">
        <w:t xml:space="preserve"> </w:t>
      </w:r>
      <w:r w:rsidR="000C1920" w:rsidRPr="589C4AF9">
        <w:rPr>
          <w:i/>
          <w:iCs/>
        </w:rPr>
        <w:t>x</w:t>
      </w:r>
      <w:r w:rsidR="000C1920">
        <w:t xml:space="preserve"> amount of mg/d can be associated with </w:t>
      </w:r>
      <w:r w:rsidR="00837132">
        <w:t>a higher</w:t>
      </w:r>
      <w:r w:rsidR="000C1920" w:rsidRPr="589C4AF9">
        <w:t>/</w:t>
      </w:r>
      <w:r w:rsidR="00837132">
        <w:t>lower</w:t>
      </w:r>
      <w:r w:rsidR="000C1920" w:rsidRPr="589C4AF9">
        <w:t xml:space="preserve"> </w:t>
      </w:r>
      <w:r w:rsidR="000C1920" w:rsidRPr="589C4AF9">
        <w:rPr>
          <w:i/>
          <w:iCs/>
        </w:rPr>
        <w:t>y</w:t>
      </w:r>
      <w:r w:rsidR="000C1920" w:rsidRPr="589C4AF9">
        <w:t xml:space="preserve"> </w:t>
      </w:r>
      <w:r w:rsidR="005D7139">
        <w:t>a</w:t>
      </w:r>
      <w:r w:rsidR="000C1920">
        <w:t xml:space="preserve">mount of </w:t>
      </w:r>
      <w:r w:rsidR="00837132">
        <w:t xml:space="preserve">the </w:t>
      </w:r>
      <w:r w:rsidR="000C1920">
        <w:t>biomarker</w:t>
      </w:r>
      <w:r w:rsidR="00B352BB" w:rsidRPr="589C4AF9">
        <w:t>.</w:t>
      </w:r>
      <w:r w:rsidR="000E4E17">
        <w:t xml:space="preserve">  For example, correlations between TNI or supplement-sourced vitamin E intake and </w:t>
      </w:r>
      <w:r w:rsidR="000E4E17">
        <w:rPr>
          <w:rFonts w:cs="Times New Roman"/>
        </w:rPr>
        <w:t>α</w:t>
      </w:r>
      <w:r w:rsidR="000E4E17">
        <w:noBreakHyphen/>
      </w:r>
      <w:proofErr w:type="spellStart"/>
      <w:r w:rsidR="000E4E17">
        <w:t>tocopherol</w:t>
      </w:r>
      <w:proofErr w:type="spellEnd"/>
      <w:r w:rsidR="000E4E17">
        <w:t xml:space="preserve"> concentration biomarkers have been reported to range from 0.3-0.7 using a variety of parameters on transformed or non-transformed data </w:t>
      </w:r>
      <w:r w:rsidR="000E4E17">
        <w:fldChar w:fldCharType="begin" w:fldLock="1"/>
      </w:r>
      <w:r w:rsidR="009241D8">
        <w:instrText>ADDIN CSL_CITATION { "citationItems" : [ { "id" : "ITEM-1", "itemData" : { "ISSN" : "0002-9262", "PMID" : "12746248", "abstract" : "In the United States, dietary supplements contribute a large proportion of micronutrient intakes. Therefore, it is important to collect accurate information on supplement use for studies of micronutrients and disease risk. This report describes the test-retest reliability and validity of a detailed, self-administered mailed questionnaire on vitamin and mineral supplement use. Participants (n = 220) completed the questionnaire at baseline and 3 months later. During an in-person interview, participants provided spot urine and blood samples, and interviewers transcribed nutrient information from their supplement bottle labels. The questionnaire had very good test-retest reliability for mean supplement intake over the past 10 years, with intraclass correlations ranging from 0.69 for beta-carotene to 0.87 for vitamin E. Pearson's correlation coefficients comparing current supplemental intakes from the questionnaire and interviews/label transcriptions were high, ranging from 0.58 for beta-carotene to 0.82 for chromium; however, for some nutrients, median intakes from the questionnaire were slightly lower than from the interviews. Beta-carotene, vitamin C, and vitamin E (alpha-tocopherol) showed clear linear trends of increasing blood concentrations with higher self-reported supplemental intakes (Pearson's correlation coefficients adjusted for potential confounding factors and diet = 0.31, 0.29, and 0.69, respectively; all p &lt; 0.0001). Creatinine-adjusted spot urinary calcium values were not associated with supplemental calcium intakes (Pearson's r = -0.07). This self-administered questionnaire demonstrated high reproducibility and validity for collecting detailed information on supplement use.", "author" : [ { "dropping-particle" : "", "family" : "Satia-Abouta", "given" : "Jessie", "non-dropping-particle" : "", "parse-names" : false, "suffix" : "" }, { "dropping-particle" : "", "family" : "Patterson", "given" : "Ruth E", "non-dropping-particle" : "", "parse-names" : false, "suffix" : "" }, { "dropping-particle" : "", "family" : "King", "given" : "Irena B", "non-dropping-particle" : "", "parse-names" : false, "suffix" : "" }, { "dropping-particle" : "", "family" : "Stratton", "given" : "Kayla L", "non-dropping-particle" : "", "parse-names" : false, "suffix" : "" }, { "dropping-particle" : "", "family" : "Shattuck", "given" : "Ann L", "non-dropping-particle" : "", "parse-names" : false, "suffix" : "" }, { "dropping-particle" : "", "family" : "Kristal", "given" : "Alan R", "non-dropping-particle" : "", "parse-names" : false, "suffix" : "" }, { "dropping-particle" : "", "family" : "Potter", "given" : "John D", "non-dropping-particle" : "", "parse-names" : false, "suffix" : "" }, { "dropping-particle" : "", "family" : "Thornquist", "given" : "Mark D", "non-dropping-particle" : "", "parse-names" : false, "suffix" : "" }, { "dropping-particle" : "", "family" : "White", "given" : "Emily", "non-dropping-particle" : "", "parse-names" : false, "suffix" : "" } ], "container-title" : "American journal of epidemiology", "id" : "ITEM-1", "issue" : "10", "issued" : { "date-parts" : [ [ "2003", "5", "15" ] ] }, "page" : "944-54", "title" : "Reliability and validity of self-report of vitamin and mineral supplement use in the vitamins and lifestyle study.", "type" : "article-journal", "volume" : "157" }, "uris" : [ "http://www.mendeley.com/documents/?uuid=1c35ac92-840d-4a58-a822-de2ca9e5e789" ] }, { "id" : "ITEM-2", "itemData" : { "ISSN" : "1047-2797", "PMID" : "11164130", "abstract" : "PURPOSE: There is increasing evidence that vitamin E (primarily alpha- and gamma-tocopherol) may reduce the risk of cardiovascular disease and some cancers, therefore it is important to understand factors that influence blood levels. METHODS: The correlates of serum alpha- and gamma-tocopherol were investigated among participants in the Women's Health Initiative (WHI), a 40-site disease prevention trial. Subjects were 1047 postmenopausal women aged 50-79 years, who provided fasting blood specimens and detailed information on diet, supplement use, and other factors at entry to the study (1994-96). RESULTS: Total serum cholesterol and triglycerides were highly correlated with serum alpha- and gamma-tocopherol concentrations and were controlled for in all analyses along with age, ethnicity and body mass index (BMI). Alpha and gamma-tocopherol were strongly negatively correlated (partial r = -0.69). The strongest predictor of serum tocopherols was average daily intake of vitamin E from supplements (partial r = 0.60 for alpha, r = -0.54 for gamma). Other factors associated with increased alpha- and/or decreased gamma-tocopherol concentrations were serum retinol and carotenoids, supplemental vitamin C, alpha-tocopherol intake from food, dietary fiber, and Hispanic ethnicity. Factors associated with lower alpha- and/or higher gamma-tocopherol concentrations included gamma-tocopherol intake from food, total fat intake, and BMI. Age, income, hormone use, and geographic location were \"spuriously\" associated with serum tocopherol levels through their association with supplement use, i.e., there was no such association among the subset of women not taking supplements. CONCLUSIONS: Vitamin E intake from supplements and BMI are the major independent predictors of serum tocopherol levels in women, whereas dietary factors only play a small role.", "author" : [ { "dropping-particle" : "", "family" : "White", "given" : "Emily", "non-dropping-particle" : "", "parse-names" : false, "suffix" : "" }, { "dropping-particle" : "", "family" : "Kristal", "given" : "Alan R", "non-dropping-particle" : "", "parse-names" : false, "suffix" : "" }, { "dropping-particle" : "", "family" : "Shikany", "given" : "James M", "non-dropping-particle" : "", "parse-names" : false, "suffix" : "" }, { "dropping-particle" : "", "family" : "Wilson", "given" : "Alan C", "non-dropping-particle" : "", "parse-names" : false, "suffix" : "" }, { "dropping-particle" : "", "family" : "Chen", "given" : "C", "non-dropping-particle" : "", "parse-names" : false, "suffix" : "" }, { "dropping-particle" : "", "family" : "Mares-Perlman", "given" : "J A", "non-dropping-particle" : "", "parse-names" : false, "suffix" : "" }, { "dropping-particle" : "", "family" : "Masaki", "given" : "Kamal H", "non-dropping-particle" : "", "parse-names" : false, "suffix" : "" }, { "dropping-particle" : "", "family" : "Caan", "given" : "Bette J", "non-dropping-particle" : "", "parse-names" : false, "suffix" : "" } ], "container-title" : "Annals of epidemiology", "id" : "ITEM-2", "issue" : "2", "issued" : { "date-parts" : [ [ "2001", "2" ] ] }, "page" : "136-44", "title" : "Correlates of serum alpha- and gamma-tocopherol in the Women's Health Initiative.", "type" : "article-journal", "volume" : "11" }, "uris" : [ "http://www.mendeley.com/documents/?uuid=4a0737cc-ca7a-41dc-a796-d999b8a8b772" ] }, { "id" : "ITEM-3", "itemData" : { "ISSN" : "1938-3207", "PMID" : "22952171", "abstract" : "BACKGROUND: Other than the in vitro erythrocyte hemolysis test, no valid biomarkers of vitamin E status currently exist. OBJECTIVE: We hypothesized that the urinary vitamin E metabolite \u03b1-carboxyethyl hydroxychroman (\u03b1-CEHC) could serve as a biomarker. DESIGN: The relations between urinary \u03b1-CEHC, plasma \u03b1-tocopherol, and vitamin E intakes were assessed by using a previously validated multipass, Web-based, 24-h self-administered dietary recall, and we concurrently collected plasma and 24-h urine samples from 233 participants of both sexes. RESULTS: Median vitamin E intakes were 9.7 mg \u03b1-tocopherol/d. Intakes were correlated with plasma \u03b1-tocopherol (R = 0.40, P &lt; 0.001) and urinary \u03b1-CEHC (R = 0.42, P &lt; 0.001); these correlations were essentially unchanged after multivariate adjustments. On the basis of multiple regression analysis, urinary \u03b1-CEHC excretion increased by ~0.086 \u03bcmol/g creatinine (95% CI: 0.047, 0.125) for every 1-mg (2.3-\u03bcmol) increase in dietary \u03b1-tocopherol. Urinary \u03b1-CEHC excretion remained at a plateau (median: 1.39 \u03bcmol/g creatinine) until dietary intakes of \u03b1-tocopherol exceeded 9 mg \u03b1-tocopherol/d. The inflection point at which vitamin E metabolism increased was estimated to be at an intake of 12.8 mg \u03b1-tocopherol/d. Daily excretion of &gt;1.39 \u03bcmol \u03b1-CEHC/g creatinine is associated with a greater than adequate \u03b1-tocopherol status, as evidenced by increased vitamin E metabolism and excretion. CONCLUSION: Thus, urinary \u03b1-CEHC is a valid biomarker of \u03b1-tocopherol status that can be used to set a value for the Estimated Adequate Requirement of vitamin E.", "author" : [ { "dropping-particle" : "", "family" : "Lebold", "given" : "Katie M", "non-dropping-particle" : "", "parse-names" : false, "suffix" : "" }, { "dropping-particle" : "", "family" : "Ang", "given" : "Alfonso", "non-dropping-particle" : "", "parse-names" : false, "suffix" : "" }, { "dropping-particle" : "", "family" : "Traber", "given" : "Maret G", "non-dropping-particle" : "", "parse-names" : false, "suffix" : "" }, { "dropping-particle" : "", "family" : "Arab", "given" : "Lenore", "non-dropping-particle" : "", "parse-names" : false, "suffix" : "" } ], "container-title" : "The American journal of clinical nutrition", "id" : "ITEM-3", "issue" : "4", "issued" : { "date-parts" : [ [ "2012", "10" ] ] }, "page" : "801-9", "title" : "Urinary \u03b1-carboxyethyl hydroxychroman can be used as a predictor of \u03b1-tocopherol adequacy, as demonstrated in the Energetics Study.", "type" : "article-journal", "volume" : "96" }, "uris" : [ "http://www.mendeley.com/documents/?uuid=065e7318-06a3-44e9-8877-c03fdcfa7f28" ] }, { "id" : "ITEM-4", "itemData" : { "ISSN" : "0952-3871", "abstract" : "Background: The food frequency questionnaire (FFQ) has become established as the primary method for assessing dietary intake in epidemiological studies of diet and disease; attention must now be given to developing and evaluating FFQs that extend the range of populations studied. Aim: To assess the validity of antioxidant vitamin intake estimates derived from a self-administered food frequency questionnaire which was developed for use in Scottish populations. Method: Intake estimates of vitamins A, C, E and beta-carotene were compared with corresponding biochemical measurements in 273 Scottish men and women aged 39-45 years. Results: The mean ratios of energy intake to calculated basal metabolic rate were 1.40 for men and 1.46 for women suggesting that the intake values derived from the FFQ were not biased towards under-reporting. Significant positive correlation coefficients ranging from 0.14 (for vitamin A) to 0.42 (for vitamin C) were observed between total intake (including diet and supplements) and plasma values. Adjustment for other known determinants of diet and plasma values (i.e. energy intake, body mass index, gender, smoking and plasma lipid levels) improved the correlations for vitamin E and p-carotene. Excluding supplement users generally reduced the correlations suggesting that failure to include supplemental sources may result in misclassification of antioxidant vitamin intake. The food frequency questionnaire assigned 68-89% of subjects correctly into the upper or lower plus adjacent tertiles of plasma vitamin concentration. Conclusions: These results demonstrate that the food frequency questionnaire is a valid measure of antioxidant vitamin intake", "author" : [ { "dropping-particle" : "", "family" : "Bodner", "given" : "C H", "non-dropping-particle" : "", "parse-names" : false, "suffix" : "" }, { "dropping-particle" : "", "family" : "Soutar", "given" : "A", "non-dropping-particle" : "", "parse-names" : false, "suffix" : "" }, { "dropping-particle" : "", "family" : "New", "given" : "S A", "non-dropping-particle" : "", "parse-names" : false, "suffix" : "" }, { "dropping-particle" : "", "family" : "Scaife", "given" : "A R", "non-dropping-particle" : "", "parse-names" : false, "suffix" : "" }, { "dropping-particle" : "", "family" : "Byres", "given" : "M", "non-dropping-particle" : "", "parse-names" : false, "suffix" : "" }, { "dropping-particle" : "", "family" : "Henderson", "given" : "G D", "non-dropping-particle" : "", "parse-names" : false, "suffix" : "" }, { "dropping-particle" : "", "family" : "Brown", "given" : "K", "non-dropping-particle" : "", "parse-names" : false, "suffix" : "" }, { "dropping-particle" : "", "family" : "Godden", "given" : "D J", "non-dropping-particle" : "", "parse-names" : false, "suffix" : "" } ], "container-title" : "Journal of Human Nutrition and Dietetics", "id" : "ITEM-4", "issue" : "5", "issued" : { "date-parts" : [ [ "1998", "10" ] ] }, "note" : "Times Cited: 26\nArticle\nEnglish\nBodner, C. H\nUniv Aberdeen, Dept Environm &amp;amp; Occupat Med, Aberdeen AB25 2ZD, Scotland\nCited References Count: 27\n138RF\nBLACKWELL SCIENCE LTD\nP O BOX 88, OSNEY MEAD, OXFORD OX2 0NE, OXON, ENGLAND\nOXFORD", "page" : "373-380", "title" : "Validation of a food frequency questionnaire for use in a Scottish population: correlation of antioxidant vitamin intakes with biochemical measures", "type" : "article-journal", "volume" : "11" }, "uris" : [ "http://www.mendeley.com/documents/?uuid=f8c4f7ac-3acd-4c4c-a845-4d66118cd48a" ] } ], "mendeley" : { "formattedCitation" : "&lt;sup&gt;(52\u201355)&lt;/sup&gt;", "plainTextFormattedCitation" : "(52\u201355)", "previouslyFormattedCitation" : "&lt;sup&gt;(52\u201355)&lt;/sup&gt;" }, "properties" : { "noteIndex" : 0 }, "schema" : "https://github.com/citation-style-language/schema/raw/master/csl-citation.json" }</w:instrText>
      </w:r>
      <w:r w:rsidR="000E4E17">
        <w:fldChar w:fldCharType="separate"/>
      </w:r>
      <w:r w:rsidR="00C40694" w:rsidRPr="00C40694">
        <w:rPr>
          <w:noProof/>
          <w:vertAlign w:val="superscript"/>
        </w:rPr>
        <w:t>(52–55)</w:t>
      </w:r>
      <w:r w:rsidR="000E4E17">
        <w:fldChar w:fldCharType="end"/>
      </w:r>
      <w:r w:rsidR="000E4E17" w:rsidRPr="589C4AF9">
        <w:t>.</w:t>
      </w:r>
      <w:r w:rsidR="000E4E17">
        <w:t xml:space="preserve">  In the </w:t>
      </w:r>
      <w:proofErr w:type="spellStart"/>
      <w:r w:rsidR="000E4E17">
        <w:t>VITamin</w:t>
      </w:r>
      <w:proofErr w:type="spellEnd"/>
      <w:r w:rsidR="000E4E17">
        <w:t xml:space="preserve"> And Lifestyle (VITAL) cohort </w:t>
      </w:r>
      <w:r w:rsidR="000E4E17">
        <w:fldChar w:fldCharType="begin" w:fldLock="1"/>
      </w:r>
      <w:r w:rsidR="009241D8">
        <w:instrText>ADDIN CSL_CITATION { "citationItems" : [ { "id" : "ITEM-1", "itemData" : { "ISSN" : "0002-9262", "PMID" : "12746248", "abstract" : "In the United States, dietary supplements contribute a large proportion of micronutrient intakes. Therefore, it is important to collect accurate information on supplement use for studies of micronutrients and disease risk. This report describes the test-retest reliability and validity of a detailed, self-administered mailed questionnaire on vitamin and mineral supplement use. Participants (n = 220) completed the questionnaire at baseline and 3 months later. During an in-person interview, participants provided spot urine and blood samples, and interviewers transcribed nutrient information from their supplement bottle labels. The questionnaire had very good test-retest reliability for mean supplement intake over the past 10 years, with intraclass correlations ranging from 0.69 for beta-carotene to 0.87 for vitamin E. Pearson's correlation coefficients comparing current supplemental intakes from the questionnaire and interviews/label transcriptions were high, ranging from 0.58 for beta-carotene to 0.82 for chromium; however, for some nutrients, median intakes from the questionnaire were slightly lower than from the interviews. Beta-carotene, vitamin C, and vitamin E (alpha-tocopherol) showed clear linear trends of increasing blood concentrations with higher self-reported supplemental intakes (Pearson's correlation coefficients adjusted for potential confounding factors and diet = 0.31, 0.29, and 0.69, respectively; all p &lt; 0.0001). Creatinine-adjusted spot urinary calcium values were not associated with supplemental calcium intakes (Pearson's r = -0.07). This self-administered questionnaire demonstrated high reproducibility and validity for collecting detailed information on supplement use.", "author" : [ { "dropping-particle" : "", "family" : "Satia-Abouta", "given" : "Jessie", "non-dropping-particle" : "", "parse-names" : false, "suffix" : "" }, { "dropping-particle" : "", "family" : "Patterson", "given" : "Ruth E", "non-dropping-particle" : "", "parse-names" : false, "suffix" : "" }, { "dropping-particle" : "", "family" : "King", "given" : "Irena B", "non-dropping-particle" : "", "parse-names" : false, "suffix" : "" }, { "dropping-particle" : "", "family" : "Stratton", "given" : "Kayla L", "non-dropping-particle" : "", "parse-names" : false, "suffix" : "" }, { "dropping-particle" : "", "family" : "Shattuck", "given" : "Ann L", "non-dropping-particle" : "", "parse-names" : false, "suffix" : "" }, { "dropping-particle" : "", "family" : "Kristal", "given" : "Alan R", "non-dropping-particle" : "", "parse-names" : false, "suffix" : "" }, { "dropping-particle" : "", "family" : "Potter", "given" : "John D", "non-dropping-particle" : "", "parse-names" : false, "suffix" : "" }, { "dropping-particle" : "", "family" : "Thornquist", "given" : "Mark D", "non-dropping-particle" : "", "parse-names" : false, "suffix" : "" }, { "dropping-particle" : "", "family" : "White", "given" : "Emily", "non-dropping-particle" : "", "parse-names" : false, "suffix" : "" } ], "container-title" : "American journal of epidemiology", "id" : "ITEM-1", "issue" : "10", "issued" : { "date-parts" : [ [ "2003", "5", "15" ] ] }, "page" : "944-54", "title" : "Reliability and validity of self-report of vitamin and mineral supplement use in the vitamins and lifestyle study.", "type" : "article-journal", "volume" : "157" }, "uris" : [ "http://www.mendeley.com/documents/?uuid=1c35ac92-840d-4a58-a822-de2ca9e5e789" ] } ], "mendeley" : { "formattedCitation" : "&lt;sup&gt;(52)&lt;/sup&gt;", "plainTextFormattedCitation" : "(52)", "previouslyFormattedCitation" : "&lt;sup&gt;(52)&lt;/sup&gt;" }, "properties" : { "noteIndex" : 0 }, "schema" : "https://github.com/citation-style-language/schema/raw/master/csl-citation.json" }</w:instrText>
      </w:r>
      <w:r w:rsidR="000E4E17">
        <w:fldChar w:fldCharType="separate"/>
      </w:r>
      <w:r w:rsidR="00C40694" w:rsidRPr="00C40694">
        <w:rPr>
          <w:noProof/>
          <w:vertAlign w:val="superscript"/>
        </w:rPr>
        <w:t>(52)</w:t>
      </w:r>
      <w:r w:rsidR="000E4E17">
        <w:fldChar w:fldCharType="end"/>
      </w:r>
      <w:r w:rsidR="000E4E17">
        <w:t>, adjusted correlations between supplement intake and biomarker were 0.69</w:t>
      </w:r>
      <w:r w:rsidR="008D05FB">
        <w:t xml:space="preserve"> with a significant linear trend</w:t>
      </w:r>
      <w:r w:rsidR="005D3F39">
        <w:t xml:space="preserve"> across </w:t>
      </w:r>
      <w:r w:rsidR="005D3F39" w:rsidRPr="589C4AF9">
        <w:rPr>
          <w:i/>
          <w:iCs/>
        </w:rPr>
        <w:t>N</w:t>
      </w:r>
      <w:r w:rsidR="005D3F39">
        <w:t>-tiles</w:t>
      </w:r>
      <w:r w:rsidR="008D05FB" w:rsidRPr="589C4AF9">
        <w:t xml:space="preserve"> (</w:t>
      </w:r>
      <w:r w:rsidR="008D05FB" w:rsidRPr="589C4AF9">
        <w:rPr>
          <w:i/>
          <w:iCs/>
        </w:rPr>
        <w:t>P</w:t>
      </w:r>
      <w:r w:rsidR="008D05FB">
        <w:t>&lt;0.0001)</w:t>
      </w:r>
      <w:r w:rsidR="000E4E17">
        <w:t>; h</w:t>
      </w:r>
      <w:r w:rsidR="000E4E17" w:rsidRPr="008F7424">
        <w:t xml:space="preserve">owever, when plotting the </w:t>
      </w:r>
      <w:r w:rsidR="000E4E17">
        <w:t>means</w:t>
      </w:r>
      <w:r w:rsidR="000E4E17" w:rsidRPr="008F7424">
        <w:t xml:space="preserve"> of </w:t>
      </w:r>
      <w:r w:rsidR="000E4E17">
        <w:t xml:space="preserve">the supplement </w:t>
      </w:r>
      <w:r w:rsidR="000E4E17" w:rsidRPr="008F7424">
        <w:t xml:space="preserve">intake </w:t>
      </w:r>
      <w:r w:rsidR="000E4E17">
        <w:t xml:space="preserve">groups (NSU: 0; quartiles: 18, 180, 194, 360 mg/d) </w:t>
      </w:r>
      <w:r w:rsidR="000E4E17" w:rsidRPr="008F7424">
        <w:t xml:space="preserve">against the </w:t>
      </w:r>
      <w:r w:rsidR="000E4E17">
        <w:t xml:space="preserve">blood biomarker (NSU: 28, quartiles: 34, 44, 50, 60 </w:t>
      </w:r>
      <w:proofErr w:type="spellStart"/>
      <w:r w:rsidR="000E4E17">
        <w:rPr>
          <w:rFonts w:cs="Times New Roman"/>
        </w:rPr>
        <w:t>μ</w:t>
      </w:r>
      <w:r w:rsidR="000E4E17">
        <w:t>mol</w:t>
      </w:r>
      <w:proofErr w:type="spellEnd"/>
      <w:r w:rsidR="000E4E17">
        <w:t xml:space="preserve">/L), </w:t>
      </w:r>
      <w:r w:rsidR="005D3F39">
        <w:t>three issues become apparent. (</w:t>
      </w:r>
      <w:proofErr w:type="spellStart"/>
      <w:r w:rsidR="005D3F39">
        <w:t>i</w:t>
      </w:r>
      <w:proofErr w:type="spellEnd"/>
      <w:r w:rsidR="005D3F39">
        <w:t>) Supplement-sourced intake exceeds food-sourced intake 30-40 fold; (ii) due to the non-normal distribution of supplement-sourced intake,</w:t>
      </w:r>
      <w:r w:rsidR="00E02726">
        <w:t xml:space="preserve"> a wide range of supplement-sourced intake is grouped together</w:t>
      </w:r>
      <w:r w:rsidR="00D15DAC">
        <w:t>, creating then small, then large differences between</w:t>
      </w:r>
      <w:r w:rsidR="00AF09D0">
        <w:t xml:space="preserve"> the</w:t>
      </w:r>
      <w:r w:rsidR="00D15DAC" w:rsidRPr="589C4AF9">
        <w:t xml:space="preserve"> </w:t>
      </w:r>
      <w:r w:rsidR="00D15DAC" w:rsidRPr="589C4AF9">
        <w:rPr>
          <w:i/>
          <w:iCs/>
        </w:rPr>
        <w:t>N</w:t>
      </w:r>
      <w:r w:rsidR="00D15DAC">
        <w:t>-tile</w:t>
      </w:r>
      <w:r w:rsidR="00365687">
        <w:t xml:space="preserve"> mean</w:t>
      </w:r>
      <w:r w:rsidR="00D15DAC">
        <w:t>s of intake</w:t>
      </w:r>
      <w:r w:rsidR="00E02726" w:rsidRPr="589C4AF9">
        <w:t>;</w:t>
      </w:r>
      <w:r w:rsidR="005D3F39" w:rsidRPr="589C4AF9">
        <w:t xml:space="preserve"> </w:t>
      </w:r>
      <w:r w:rsidR="005D3F39">
        <w:t>and consequently</w:t>
      </w:r>
      <w:r w:rsidR="005D3F39" w:rsidRPr="589C4AF9">
        <w:t xml:space="preserve"> (</w:t>
      </w:r>
      <w:r w:rsidR="005D3F39">
        <w:t xml:space="preserve">iii) </w:t>
      </w:r>
      <w:r w:rsidR="000E4E17">
        <w:t xml:space="preserve">the dose-response of supplement intake is not the same at every amount of </w:t>
      </w:r>
      <w:r w:rsidR="00123012">
        <w:t>supplement</w:t>
      </w:r>
      <w:r w:rsidR="00E02726" w:rsidRPr="589C4AF9">
        <w:t>-</w:t>
      </w:r>
      <w:r w:rsidR="00123012">
        <w:t xml:space="preserve">sourced </w:t>
      </w:r>
      <w:r w:rsidR="000E4E17">
        <w:t>vitamin E intake.</w:t>
      </w:r>
      <w:r w:rsidR="00A23D27">
        <w:t xml:space="preserve">  S</w:t>
      </w:r>
      <w:r w:rsidR="00346478">
        <w:t xml:space="preserve">uch </w:t>
      </w:r>
      <w:r w:rsidR="00A23D27">
        <w:t>observations were</w:t>
      </w:r>
      <w:r w:rsidR="00346478">
        <w:t xml:space="preserve"> also</w:t>
      </w:r>
      <w:r w:rsidR="00A23D27">
        <w:t xml:space="preserve"> observed by Zhao et al. in the </w:t>
      </w:r>
      <w:r w:rsidR="00F25E2F">
        <w:t xml:space="preserve">Irish </w:t>
      </w:r>
      <w:r w:rsidR="005640C7">
        <w:t>National Adult Nutrition Survey (</w:t>
      </w:r>
      <w:r w:rsidR="00A23D27">
        <w:t>NANS</w:t>
      </w:r>
      <w:r w:rsidR="005640C7" w:rsidRPr="589C4AF9">
        <w:t>)</w:t>
      </w:r>
      <w:r w:rsidR="00A23D27">
        <w:t xml:space="preserve"> data</w:t>
      </w:r>
      <w:r w:rsidR="005640C7" w:rsidRPr="589C4AF9">
        <w:t xml:space="preserve"> </w:t>
      </w:r>
      <w:r w:rsidR="005640C7">
        <w:fldChar w:fldCharType="begin" w:fldLock="1"/>
      </w:r>
      <w:r w:rsidR="009241D8">
        <w:instrText>ADDIN CSL_CITATION { "citationItems" : [ { "id" : "ITEM-1", "itemData" : { "DOI" : "10.1017/S0007114514002438", "ISSN" : "0007-1145", "PMID" : "25245834", "abstract" : "Vitamin E is believed to play a preventive role in diseases associated with oxidative stress. The aims of the present study were to quantify vitamin E intake levels and plasma concentrations and to assess dietary vitamin E adequacy in Irish adults. Intake data from the National Adult Nutrition Survey were used; plasma samples were obtained from a representative cohort of survey participants. Plasma \u03b1- and \u03b3-tocopherol concentrations were measured by HPLC. The main sources of vitamin E in the diet were 'butter, spreadable fats and oils' and 'vegetables and vegetable dishes'. When vitamin E intake from supplements was taken into account, supplements were found to be the main contributor, making a contribution of 29\u00b72 % to vitamin E intake in the total population. Supplement consumers had significantly higher plasma \u03b1-tocopherol concentrations and lower plasma \u03b3-tocopherol concentrations when compared with non-consumers. Consumers of 'vitamin E' supplements had significantly higher vitamin E intake levels and plasma \u03b1-tocopherol concentrations compared with consumers of other types of supplements, such as multivitamin and fish oil. Comparison with the Institute of Medicine Estimated Average Requirement of 12 mg/d indicated that when vitamin E intake from food and supplement sources was taken into account, 100 % of the study participants achieved the recommended intake levels. When vitamin E intake from food sources was taken into account, only 68\u00b74 % of the females were found to achieve the recommended intake levels compared with 99\u00b72 % of the males. The results of the present study show that dietary vitamin E intake has a significant effect on plasma \u03b1- and \u03b3-tocopherol concentrations. Furthermore, they show that the consumption of supplements is a major contributor to overall intake and has a significant effect on plasma vitamin E concentrations in the Irish population.", "author" : [ { "dropping-particle" : "", "family" : "Zhao", "given" : "Yang", "non-dropping-particle" : "", "parse-names" : false, "suffix" : "" }, { "dropping-particle" : "", "family" : "Monahan", "given" : "Frank J", "non-dropping-particle" : "", "parse-names" : false, "suffix" : "" }, { "dropping-particle" : "", "family" : "McNulty", "given" : "Breige a", "non-dropping-particle" : "", "parse-names" : false, "suffix" : "" }, { "dropping-particle" : "", "family" : "Gibney", "given" : "Mike J.", "non-dropping-particle" : "", "parse-names" : false, "suffix" : "" }, { "dropping-particle" : "", "family" : "Gibney", "given" : "Eileen R", "non-dropping-particle" : "", "parse-names" : false, "suffix" : "" } ], "container-title" : "British Journal of Nutrition", "id" : "ITEM-1", "issue" : "09", "issued" : { "date-parts" : [ [ "2014", "11", "23" ] ] }, "page" : "1575-1585", "title" : "Effect of vitamin E intake from food and supplement sources on plasma \u03b1- and \u03b3-tocopherol concentrations in a healthy Irish adult population", "type" : "article-journal", "volume" : "112" }, "uris" : [ "http://www.mendeley.com/documents/?uuid=843fc824-7b01-4304-85af-244c5c5f331b" ] } ], "mendeley" : { "formattedCitation" : "&lt;sup&gt;(56)&lt;/sup&gt;", "plainTextFormattedCitation" : "(56)", "previouslyFormattedCitation" : "&lt;sup&gt;(56)&lt;/sup&gt;" }, "properties" : { "noteIndex" : 0 }, "schema" : "https://github.com/citation-style-language/schema/raw/master/csl-citation.json" }</w:instrText>
      </w:r>
      <w:r w:rsidR="005640C7">
        <w:fldChar w:fldCharType="separate"/>
      </w:r>
      <w:r w:rsidR="00C40694" w:rsidRPr="00C40694">
        <w:rPr>
          <w:noProof/>
          <w:vertAlign w:val="superscript"/>
        </w:rPr>
        <w:t>(56)</w:t>
      </w:r>
      <w:r w:rsidR="005640C7">
        <w:fldChar w:fldCharType="end"/>
      </w:r>
      <w:r w:rsidR="7AF5BD86" w:rsidRPr="589C4AF9">
        <w:t>.</w:t>
      </w:r>
      <w:r w:rsidR="000D3FF8">
        <w:t xml:space="preserve"> </w:t>
      </w:r>
      <w:r w:rsidR="005640C7" w:rsidRPr="589C4AF9">
        <w:t xml:space="preserve"> </w:t>
      </w:r>
      <w:r w:rsidR="005640C7">
        <w:rPr>
          <w:rFonts w:cs="Times New Roman"/>
          <w:lang w:val="nl-NL"/>
        </w:rPr>
        <w:t>α</w:t>
      </w:r>
      <w:r w:rsidR="000D3FF8" w:rsidRPr="000D3FF8">
        <w:rPr>
          <w:rFonts w:cs="Times New Roman"/>
        </w:rPr>
        <w:noBreakHyphen/>
      </w:r>
      <w:proofErr w:type="spellStart"/>
      <w:r w:rsidR="005640C7" w:rsidRPr="005640C7">
        <w:rPr>
          <w:rFonts w:cs="Times New Roman"/>
        </w:rPr>
        <w:t>Tocopherol</w:t>
      </w:r>
      <w:proofErr w:type="spellEnd"/>
      <w:r w:rsidR="005640C7">
        <w:rPr>
          <w:rFonts w:cs="Times New Roman"/>
        </w:rPr>
        <w:t xml:space="preserve"> concentrations are positively associated with vitamin E intake, </w:t>
      </w:r>
      <w:r w:rsidR="005640C7">
        <w:rPr>
          <w:rFonts w:cs="Times New Roman"/>
          <w:lang w:val="nl-NL"/>
        </w:rPr>
        <w:t>γ</w:t>
      </w:r>
      <w:r w:rsidR="005640C7" w:rsidRPr="005640C7">
        <w:rPr>
          <w:rFonts w:cs="Times New Roman"/>
        </w:rPr>
        <w:noBreakHyphen/>
      </w:r>
      <w:proofErr w:type="spellStart"/>
      <w:r w:rsidR="005640C7" w:rsidRPr="005640C7">
        <w:rPr>
          <w:rFonts w:cs="Times New Roman"/>
        </w:rPr>
        <w:t>tocopherol</w:t>
      </w:r>
      <w:proofErr w:type="spellEnd"/>
      <w:r w:rsidR="005640C7">
        <w:rPr>
          <w:rFonts w:cs="Times New Roman"/>
        </w:rPr>
        <w:t xml:space="preserve"> is negatively associated</w:t>
      </w:r>
      <w:r w:rsidR="00346478">
        <w:rPr>
          <w:rFonts w:cs="Times New Roman"/>
        </w:rPr>
        <w:t xml:space="preserve"> with vitamin E intake</w:t>
      </w:r>
      <w:r w:rsidR="00CE4120">
        <w:rPr>
          <w:rFonts w:cs="Times New Roman"/>
        </w:rPr>
        <w:t xml:space="preserve"> due to preference of hepatic </w:t>
      </w:r>
      <w:r w:rsidR="00CE4120">
        <w:rPr>
          <w:rFonts w:cs="Times New Roman"/>
          <w:lang w:val="nl-NL"/>
        </w:rPr>
        <w:t>α</w:t>
      </w:r>
      <w:r w:rsidR="00CE4120" w:rsidRPr="005640C7">
        <w:rPr>
          <w:rFonts w:cs="Times New Roman"/>
        </w:rPr>
        <w:noBreakHyphen/>
      </w:r>
      <w:proofErr w:type="spellStart"/>
      <w:r w:rsidR="00CE4120" w:rsidRPr="005640C7">
        <w:rPr>
          <w:rFonts w:cs="Times New Roman"/>
        </w:rPr>
        <w:t>tocopherol</w:t>
      </w:r>
      <w:proofErr w:type="spellEnd"/>
      <w:r w:rsidR="00CE4120">
        <w:rPr>
          <w:rFonts w:cs="Times New Roman"/>
        </w:rPr>
        <w:t xml:space="preserve"> transfer proteinase</w:t>
      </w:r>
      <w:r w:rsidR="00035670">
        <w:rPr>
          <w:rFonts w:cs="Times New Roman"/>
        </w:rPr>
        <w:t xml:space="preserve">; furthermore, potential differences in the associations of plasma </w:t>
      </w:r>
      <w:proofErr w:type="spellStart"/>
      <w:r w:rsidR="00035670">
        <w:rPr>
          <w:rFonts w:cs="Times New Roman"/>
        </w:rPr>
        <w:t>tocopherol</w:t>
      </w:r>
      <w:proofErr w:type="spellEnd"/>
      <w:r w:rsidR="00035670">
        <w:rPr>
          <w:rFonts w:cs="Times New Roman"/>
        </w:rPr>
        <w:t xml:space="preserve"> and natural </w:t>
      </w:r>
      <w:r w:rsidR="00035670" w:rsidRPr="589C4AF9">
        <w:rPr>
          <w:rFonts w:cs="Times New Roman"/>
          <w:i/>
          <w:iCs/>
        </w:rPr>
        <w:t>vs.</w:t>
      </w:r>
      <w:r w:rsidR="00035670">
        <w:rPr>
          <w:rFonts w:cs="Times New Roman"/>
        </w:rPr>
        <w:t xml:space="preserve"> synthetic forms of vitamin E may exist </w:t>
      </w:r>
      <w:r w:rsidR="000F2573" w:rsidRPr="7AF5BD86">
        <w:fldChar w:fldCharType="begin" w:fldLock="1"/>
      </w:r>
      <w:r w:rsidR="009241D8">
        <w:rPr>
          <w:rFonts w:cs="Times New Roman"/>
        </w:rPr>
        <w:instrText>ADDIN CSL_CITATION { "citationItems" : [ { "id" : "ITEM-1", "itemData" : { "DOI" : "10.3945/jn.115.213280", "ISSN" : "1541-6100", "PMID" : "26290004", "abstract" : "BACKGROUND: Studies examining vitamin E intake and the percentage of the population meeting dietary guidelines do not distinguish between natural (RRR-\u03b1-tocopherol) and synthetic (all-rac-\u03b1-tocopherol) intake, even though these different isomeric forms differ in bioactivity.\\n\\nOBJECTIVE: This study aimed to determine the effect of RRR-\u03b1-tocopherol vs. all-rac-\u03b1-tocopherol intake on the percentage of the population meeting the vitamin E recommendation and on plasma \u03b1-tocopherol stereoisomer distribution.\\n\\nMETHODS: With the use of data from the Irish National Adult Nutrition Survey (NANS), this study examined the percentage of the Irish population meeting the European Union (EU) RDA for vitamin E of 12 mg/d, correcting for a bioactivity difference in all-rac- vs. RRR-\u03b1-tocopherol, where 1 mg of all-rac-\u03b1-tocopherol is considered to be equivalent to 1:1.36 (0.74) mg in the EU RDA. In a subcohort of supplement users and nonusers, plasma \u03b1- and \u03b3-tocopherol concentrations and \u03b1-tocopherol stereoisomer distribution were measured. Receiver operating characteristic (ROC) curve analysis was conducted to determine ability to discriminate supplement user types.\\n\\nRESULTS: Analysis of the NANS showed that 100% of participants still met the recommended intake of 12 mg/d, after all-rac-\u03b1-tocopherol intake was corrected for \u03b1-tocopherol equivalent bioactivity. In the subcohort analysis, the percentage of plasma RRR-\u03b1-tocopherol was significantly lower in high all-rac-\u03b1-tocopherol supplement (&gt;11 mg/d) users (82%) compared with nonusers and with high RRR-\u03b1-tocopherol supplement (&gt;35 mg/d) users (91% and 93% respectively, P &lt; 0.01). High RRR-\u03b1-tocopherol supplement users had a significantly higher plasma \u03b1-tocopherol than low all-rac-\u03b1-tocopherol supplement (&lt;2.5 mg/d) users (34 vs. 25 \u03bcmol/L, P = 0.01). ROC analysis demonstrated an ability to distinguish between RRR- and all-rac-\u03b1-tocopherol consumers, which may be useful in investigating the potential effect of RRR- and all-rac-\u03b1-tocopherol intake on health.\\n\\nCONCLUSIONS: This study demonstrated that the percentage of the population meeting the vitamin E recommendation was unaffected when all-rac-\u03b1-tocopherol intake was corrected for \u03b1-tocopherol equivalent bioactivity. all-rac-\u03b1-Tocopherol intake led to a decrease in the percentage of plasma RRR-\u03b1-tocopherol relative to RRR-\u03b1-tocopherol intake.", "author" : [ { "dropping-particle" : "", "family" : "Zhao", "given" : "Yang", "non-dropping-particle" : "", "parse-names" : false, "suffix" : "" }, { "dropping-particle" : "", "family" : "Monahan", "given" : "Frank J", "non-dropping-particle" : "", "parse-names" : false, "suffix" : "" }, { "dropping-particle" : "", "family" : "McNulty", "given" : "Breige A", "non-dropping-particle" : "", "parse-names" : false, "suffix" : "" }, { "dropping-particle" : "", "family" : "Brennan", "given" : "Lorraine", "non-dropping-particle" : "", "parse-names" : false, "suffix" : "" }, { "dropping-particle" : "", "family" : "Gibney", "given" : "Mike J", "non-dropping-particle" : "", "parse-names" : false, "suffix" : "" }, { "dropping-particle" : "", "family" : "Gibney", "given" : "Eileen R", "non-dropping-particle" : "", "parse-names" : false, "suffix" : "" } ], "container-title" : "The Journal of nutrition", "id" : "ITEM-1", "issue" : "10", "issued" : { "date-parts" : [ [ "2015" ] ] }, "page" : "2347-54", "title" : "\u03b1-Tocopherol Stereoisomers in Human Plasma Are Affected by the Level and Form of the Vitamin E Supplement Used.", "type" : "article-journal", "volume" : "145" }, "uris" : [ "http://www.mendeley.com/documents/?uuid=4268437f-71b5-4096-ac6c-b1b7e8c3a19b" ] } ], "mendeley" : { "formattedCitation" : "&lt;sup&gt;(57)&lt;/sup&gt;", "plainTextFormattedCitation" : "(57)", "previouslyFormattedCitation" : "&lt;sup&gt;(57)&lt;/sup&gt;" }, "properties" : { "noteIndex" : 0 }, "schema" : "https://github.com/citation-style-language/schema/raw/master/csl-citation.json" }</w:instrText>
      </w:r>
      <w:r w:rsidR="000F2573" w:rsidRPr="7AF5BD86">
        <w:rPr>
          <w:rFonts w:cs="Times New Roman"/>
          <w:lang w:val="nl-NL"/>
        </w:rPr>
        <w:fldChar w:fldCharType="separate"/>
      </w:r>
      <w:r w:rsidR="00C40694" w:rsidRPr="00C40694">
        <w:rPr>
          <w:rFonts w:cs="Times New Roman"/>
          <w:noProof/>
          <w:vertAlign w:val="superscript"/>
        </w:rPr>
        <w:t>(57)</w:t>
      </w:r>
      <w:r w:rsidR="000F2573" w:rsidRPr="7AF5BD86">
        <w:fldChar w:fldCharType="end"/>
      </w:r>
      <w:r w:rsidR="00035670">
        <w:rPr>
          <w:rFonts w:cs="Times New Roman"/>
        </w:rPr>
        <w:t>.</w:t>
      </w:r>
    </w:p>
    <w:p w14:paraId="3D367CDD" w14:textId="5E41798E" w:rsidR="004C4306" w:rsidRDefault="00363769" w:rsidP="00027D65">
      <w:r>
        <w:t>When assessing the association between nutrient intake</w:t>
      </w:r>
      <w:r w:rsidR="00B55FFE">
        <w:t xml:space="preserve"> (from both food and supplement sources)</w:t>
      </w:r>
      <w:r>
        <w:t xml:space="preserve"> and a biomarker, </w:t>
      </w:r>
      <w:r w:rsidRPr="00E779F2">
        <w:t xml:space="preserve">Block </w:t>
      </w:r>
      <w:r w:rsidRPr="46A8D43A">
        <w:rPr>
          <w:i/>
          <w:iCs/>
        </w:rPr>
        <w:t>et al.</w:t>
      </w:r>
      <w:r w:rsidRPr="00E779F2">
        <w:t xml:space="preserve"> draw an analogy </w:t>
      </w:r>
      <w:r w:rsidR="00B55FFE">
        <w:t>with</w:t>
      </w:r>
      <w:r w:rsidRPr="00E779F2">
        <w:t xml:space="preserve"> smoking </w:t>
      </w:r>
      <w:r>
        <w:fldChar w:fldCharType="begin" w:fldLock="1"/>
      </w:r>
      <w:r w:rsidR="009241D8">
        <w:instrText>ADDIN CSL_CITATION { "citationItems" : [ { "id" : "ITEM-1", "itemData" : { "ISSN" : "0002-9165", "PMID" : "8279432", "abstract" : "The role of nutrient intake in disease outcome is often examined in epidemiologic studies. Most such studies conducted in the United States, however, have not included fortified foods or vitamin supplements. In the United States, these are important sources of vitamins C and E, but not of beta-carotene. In addition, the importance of these nutrient sources varies by race, sex, and age. Failure to include these sources produces errors in nutrient estimates, notable misclassification of individuals with regard to their total intake, and rankings of intake that bear little or no relationship to blood concentrations of those nutrients. Implications for statistical analysis are also considered. Risk analyses in which nutrients from supplements are handled as control variables or are analyzed separately may impair the ability to detect associations between total nutrient intake and disease risk. The additional source of misclassification of nutrient status for vitamins C and E and other nutrients derived from fortified foods or supplements would make it more difficult to obtain significant and consistent results in etiologic studies of these nutrients; this has not been a factor for beta-carotene, which is derived almost exclusively from fruits and vegetables.", "author" : [ { "dropping-particle" : "", "family" : "Block", "given" : "Gladys", "non-dropping-particle" : "", "parse-names" : false, "suffix" : "" }, { "dropping-particle" : "", "family" : "Sinha", "given" : "Rashmi", "non-dropping-particle" : "", "parse-names" : false, "suffix" : "" }, { "dropping-particle" : "", "family" : "Gridley", "given" : "Gloria", "non-dropping-particle" : "", "parse-names" : false, "suffix" : "" } ], "container-title" : "The American journal of clinical nutrition", "id" : "ITEM-1", "issue" : "1 Suppl", "issued" : { "date-parts" : [ [ "1994", "1" ] ] }, "page" : "232S-239S", "title" : "Collection of dietary-supplement data and implications for analysis.", "type" : "article-journal", "volume" : "59" }, "uris" : [ "http://www.mendeley.com/documents/?uuid=a1f4fd7c-b3b4-45b1-b8b1-df090e7a5747" ] } ], "mendeley" : { "formattedCitation" : "&lt;sup&gt;(58)&lt;/sup&gt;", "plainTextFormattedCitation" : "(58)", "previouslyFormattedCitation" : "&lt;sup&gt;(58)&lt;/sup&gt;" }, "properties" : { "noteIndex" : 0 }, "schema" : "https://github.com/citation-style-language/schema/raw/master/csl-citation.json" }</w:instrText>
      </w:r>
      <w:r>
        <w:fldChar w:fldCharType="separate"/>
      </w:r>
      <w:r w:rsidR="00C40694" w:rsidRPr="00C40694">
        <w:rPr>
          <w:noProof/>
          <w:vertAlign w:val="superscript"/>
        </w:rPr>
        <w:t>(58)</w:t>
      </w:r>
      <w:r>
        <w:fldChar w:fldCharType="end"/>
      </w:r>
      <w:r>
        <w:t xml:space="preserve">.  When the association between smoking and a nicotine biomarker is assessed, we </w:t>
      </w:r>
      <w:r w:rsidR="0071059C">
        <w:t>could</w:t>
      </w:r>
      <w:r>
        <w:t xml:space="preserve"> analyse the amount smoked at home separately from the amount smoked at work, </w:t>
      </w:r>
      <w:r w:rsidR="0071059C">
        <w:t>or</w:t>
      </w:r>
      <w:r>
        <w:t xml:space="preserve"> analyse the amount smoked at work adjusted for the amount smoked at home, </w:t>
      </w:r>
      <w:r w:rsidR="0071059C">
        <w:t>however</w:t>
      </w:r>
      <w:r>
        <w:t xml:space="preserve"> the total amount smoked is the exposure of interest</w:t>
      </w:r>
      <w:r w:rsidR="0071059C">
        <w:t xml:space="preserve"> in aetiology </w:t>
      </w:r>
      <w:r w:rsidR="0071059C">
        <w:lastRenderedPageBreak/>
        <w:fldChar w:fldCharType="begin" w:fldLock="1"/>
      </w:r>
      <w:r w:rsidR="009241D8">
        <w:instrText>ADDIN CSL_CITATION { "citationItems" : [ { "id" : "ITEM-1", "itemData" : { "ISSN" : "0002-9165", "PMID" : "8279432", "abstract" : "The role of nutrient intake in disease outcome is often examined in epidemiologic studies. Most such studies conducted in the United States, however, have not included fortified foods or vitamin supplements. In the United States, these are important sources of vitamins C and E, but not of beta-carotene. In addition, the importance of these nutrient sources varies by race, sex, and age. Failure to include these sources produces errors in nutrient estimates, notable misclassification of individuals with regard to their total intake, and rankings of intake that bear little or no relationship to blood concentrations of those nutrients. Implications for statistical analysis are also considered. Risk analyses in which nutrients from supplements are handled as control variables or are analyzed separately may impair the ability to detect associations between total nutrient intake and disease risk. The additional source of misclassification of nutrient status for vitamins C and E and other nutrients derived from fortified foods or supplements would make it more difficult to obtain significant and consistent results in etiologic studies of these nutrients; this has not been a factor for beta-carotene, which is derived almost exclusively from fruits and vegetables.", "author" : [ { "dropping-particle" : "", "family" : "Block", "given" : "Gladys", "non-dropping-particle" : "", "parse-names" : false, "suffix" : "" }, { "dropping-particle" : "", "family" : "Sinha", "given" : "Rashmi", "non-dropping-particle" : "", "parse-names" : false, "suffix" : "" }, { "dropping-particle" : "", "family" : "Gridley", "given" : "Gloria", "non-dropping-particle" : "", "parse-names" : false, "suffix" : "" } ], "container-title" : "The American journal of clinical nutrition", "id" : "ITEM-1", "issue" : "1 Suppl", "issued" : { "date-parts" : [ [ "1994", "1" ] ] }, "page" : "232S-239S", "title" : "Collection of dietary-supplement data and implications for analysis.", "type" : "article-journal", "volume" : "59" }, "uris" : [ "http://www.mendeley.com/documents/?uuid=a1f4fd7c-b3b4-45b1-b8b1-df090e7a5747" ] } ], "mendeley" : { "formattedCitation" : "&lt;sup&gt;(58)&lt;/sup&gt;", "plainTextFormattedCitation" : "(58)", "previouslyFormattedCitation" : "&lt;sup&gt;(58)&lt;/sup&gt;" }, "properties" : { "noteIndex" : 0 }, "schema" : "https://github.com/citation-style-language/schema/raw/master/csl-citation.json" }</w:instrText>
      </w:r>
      <w:r w:rsidR="0071059C">
        <w:fldChar w:fldCharType="separate"/>
      </w:r>
      <w:r w:rsidR="00C40694" w:rsidRPr="00C40694">
        <w:rPr>
          <w:noProof/>
          <w:vertAlign w:val="superscript"/>
        </w:rPr>
        <w:t>(58)</w:t>
      </w:r>
      <w:r w:rsidR="0071059C">
        <w:fldChar w:fldCharType="end"/>
      </w:r>
      <w:r w:rsidRPr="46A8D43A">
        <w:t xml:space="preserve">.  </w:t>
      </w:r>
      <w:r w:rsidR="0071059C">
        <w:t xml:space="preserve">Moreover, </w:t>
      </w:r>
      <w:r w:rsidR="00CE4120">
        <w:t>when applied to</w:t>
      </w:r>
      <w:r>
        <w:t xml:space="preserve"> nutrient-biomarker associations, the biomarker has no ability to detect a difference between </w:t>
      </w:r>
      <w:proofErr w:type="gramStart"/>
      <w:r>
        <w:t>food</w:t>
      </w:r>
      <w:proofErr w:type="gramEnd"/>
      <w:r>
        <w:t xml:space="preserve"> or supplement sources.</w:t>
      </w:r>
      <w:r w:rsidR="007C5758" w:rsidRPr="46A8D43A">
        <w:t xml:space="preserve">  </w:t>
      </w:r>
      <w:r w:rsidR="000E4E17">
        <w:t>One more analogy may be added to</w:t>
      </w:r>
      <w:r w:rsidR="00615644">
        <w:t xml:space="preserve"> the ones listed by</w:t>
      </w:r>
      <w:r w:rsidR="000E4E17" w:rsidRPr="46A8D43A">
        <w:t xml:space="preserve"> </w:t>
      </w:r>
      <w:r w:rsidR="000E4E17" w:rsidRPr="00E779F2">
        <w:t xml:space="preserve">Block </w:t>
      </w:r>
      <w:r w:rsidR="000E4E17" w:rsidRPr="46A8D43A">
        <w:rPr>
          <w:i/>
          <w:iCs/>
        </w:rPr>
        <w:t>et al</w:t>
      </w:r>
      <w:r w:rsidR="00615644" w:rsidRPr="46A8D43A">
        <w:rPr>
          <w:i/>
          <w:iCs/>
        </w:rPr>
        <w:t>.</w:t>
      </w:r>
      <w:r w:rsidR="000E4E17">
        <w:t xml:space="preserve"> and that is that we would not average the number of cigarettes smoked whil</w:t>
      </w:r>
      <w:r w:rsidR="00FF3F77">
        <w:t>st</w:t>
      </w:r>
      <w:r w:rsidR="000E4E17">
        <w:t xml:space="preserve"> including the non-smokers</w:t>
      </w:r>
      <w:r w:rsidR="00FF3F77" w:rsidRPr="46A8D43A">
        <w:t xml:space="preserve">.  </w:t>
      </w:r>
      <w:r w:rsidR="00CE4120">
        <w:t>However, this is what happens b</w:t>
      </w:r>
      <w:r w:rsidR="00615644">
        <w:t xml:space="preserve">y grouping </w:t>
      </w:r>
      <w:r w:rsidR="000E4E17">
        <w:t xml:space="preserve">all </w:t>
      </w:r>
      <w:r w:rsidR="00365687">
        <w:t xml:space="preserve">SUs </w:t>
      </w:r>
      <w:r w:rsidR="00615644">
        <w:t>into a single group</w:t>
      </w:r>
      <w:r w:rsidR="000E4E17" w:rsidRPr="46A8D43A">
        <w:t xml:space="preserve">, </w:t>
      </w:r>
      <w:r w:rsidR="00D55873">
        <w:t>the supplement cont</w:t>
      </w:r>
      <w:r w:rsidR="00D309A9">
        <w:t xml:space="preserve">ribution of a </w:t>
      </w:r>
      <w:r w:rsidR="00D55873">
        <w:t xml:space="preserve">nutrient </w:t>
      </w:r>
      <w:r w:rsidR="00D309A9">
        <w:t>is diluted by SU</w:t>
      </w:r>
      <w:r w:rsidR="00365687">
        <w:t>s</w:t>
      </w:r>
      <w:r w:rsidR="00D309A9">
        <w:t xml:space="preserve"> who consume different types of supplements</w:t>
      </w:r>
      <w:r w:rsidR="000E4E17">
        <w:t>.  A nutrient-by-nutrient supplement group distinction can provide insights not only in potentially differential</w:t>
      </w:r>
      <w:r w:rsidR="00D309A9">
        <w:t xml:space="preserve"> food-sourced</w:t>
      </w:r>
      <w:r w:rsidR="000E4E17">
        <w:t xml:space="preserve"> intakes (as </w:t>
      </w:r>
      <w:r w:rsidR="00CE4120">
        <w:t>described</w:t>
      </w:r>
      <w:r w:rsidR="000E4E17">
        <w:t xml:space="preserve"> above</w:t>
      </w:r>
      <w:r w:rsidR="007C5758">
        <w:t xml:space="preserve"> in the</w:t>
      </w:r>
      <w:r w:rsidR="0004143E">
        <w:t xml:space="preserve"> intake</w:t>
      </w:r>
      <w:r w:rsidR="007C5758">
        <w:t xml:space="preserve"> distribution section</w:t>
      </w:r>
      <w:r w:rsidR="000E4E17">
        <w:t xml:space="preserve">), but also in potentially differential dose-response associations.  </w:t>
      </w:r>
      <w:proofErr w:type="gramStart"/>
      <w:r w:rsidR="000E4E17">
        <w:t xml:space="preserve">Particularly so, since supplement-sourced intake could </w:t>
      </w:r>
      <w:r w:rsidR="00615644">
        <w:t>surpass</w:t>
      </w:r>
      <w:r w:rsidR="000E4E17">
        <w:t xml:space="preserve"> food-sourced intake and therefore approach</w:t>
      </w:r>
      <w:r w:rsidR="00D309A9">
        <w:t xml:space="preserve"> intakes associated with</w:t>
      </w:r>
      <w:r w:rsidR="000E4E17">
        <w:t xml:space="preserve"> biomarker saturation.</w:t>
      </w:r>
      <w:proofErr w:type="gramEnd"/>
      <w:r w:rsidR="000E4E17">
        <w:t xml:space="preserve">  </w:t>
      </w:r>
      <w:r w:rsidR="00D83C09">
        <w:t>In the EPIC-Norfolk study, dose-response a</w:t>
      </w:r>
      <w:r w:rsidR="00540853">
        <w:t>s</w:t>
      </w:r>
      <w:r w:rsidR="00D83C09">
        <w:t xml:space="preserve">sociations </w:t>
      </w:r>
      <w:r w:rsidR="00153164">
        <w:t xml:space="preserve">have been observed to vary across subgroups of </w:t>
      </w:r>
      <w:r w:rsidR="00365687">
        <w:t>SUs</w:t>
      </w:r>
      <w:r w:rsidR="00153164">
        <w:t xml:space="preserve">.  </w:t>
      </w:r>
      <w:r w:rsidR="00A43D3A">
        <w:t xml:space="preserve">A </w:t>
      </w:r>
      <w:r w:rsidR="00B83E4C">
        <w:t>sex-adjusted an</w:t>
      </w:r>
      <w:r w:rsidR="00153164">
        <w:t xml:space="preserve">alysis of published results </w:t>
      </w:r>
      <w:r w:rsidR="00153164">
        <w:fldChar w:fldCharType="begin" w:fldLock="1"/>
      </w:r>
      <w:r w:rsidR="009241D8">
        <w:instrText>ADDIN CSL_CITATION { "citationItems" : [ { "id" : "ITEM-1", "itemData" : { "DOI" : "10.1111/jhn.12271", "ISSN" : "1365-277X", "PMID" : "25228113", "abstract" : "BACKGROUND Total nutrient intake (TNI) is intake from food and supplements. This provides an assessment of nutrient adequacy and the prevalence of excessive intake, as well as the response with respect to biomarkers. Cod liver oil (CLO) is the most frequently consumed supplement in the UK, containing nutrients that might have varying influences on health. We calculated TNI for vitamins A, D and E, as well as eicosapentaenoic acid (EPA) and docosahexaenoic acid (DHA), and assessed associations with the respective blood concentrations. METHODS Seven-day diet diaries and blood samples were taken from two subsets of the European Prospective Investigation into Cancer (EPIC-Norfolk) cohort (age range 39-79 years; n = 1400 for vitamin D; n = 6656 for remaining nutrients). TNI was calculated for the subgroups: nonsupplement users, those consuming the nutrient in supplement form and those consuming a supplement without this nutrient. RESULTS CLO-related nutrients were supplemented by 15%-33%, which approximately doubled median intakes. Almost everyone in the supplement + vitamin A group reached the estimated average requirement; however, guideline levels were likely to be exceeded. Partial correlations between intake of vitamins A and D and biomarkers were low and modestly strengthened by the inclusion of supplement sources (correlation = 0.01-0.13). Correlations between biomarker and TNI of vitamin E and EPA+DHA were in the range 0.40-0.46; however, vitamin E exceeding food intake resulted in attenuated coefficients. Linear associations between food or TNI EPA+DHA and plasma were weak but consistent across subgroups. CONCLUSIONS CLO-related nutrients contribute substantially to nutrient intake, with a risk of over-consumption. Apart from EPA+DHA, biomarker data suggest that CLO-related nutrients in supplements are not linearly associated with vitamin status.", "author" : [ { "dropping-particle" : "", "family" : "Lentjes", "given" : "Marleen A H", "non-dropping-particle" : "", "parse-names" : false, "suffix" : "" }, { "dropping-particle" : "", "family" : "Mulligan", "given" : "Angela A", "non-dropping-particle" : "", "parse-names" : false, "suffix" : "" }, { "dropping-particle" : "", "family" : "Welch", "given" : "Ailsa A", "non-dropping-particle" : "", "parse-names" : false, "suffix" : "" }, { "dropping-particle" : "", "family" : "Bhaniani", "given" : "Amit", "non-dropping-particle" : "", "parse-names" : false, "suffix" : "" }, { "dropping-particle" : "", "family" : "Luben", "given" : "Robert N", "non-dropping-particle" : "", "parse-names" : false, "suffix" : "" }, { "dropping-particle" : "", "family" : "Khaw", "given" : "K.-T.", "non-dropping-particle" : "", "parse-names" : false, "suffix" : "" } ], "container-title" : "Journal of human nutrition and dietetics : the official journal of the British Dietetic Association", "id" : "ITEM-1", "issue" : "6", "issued" : { "date-parts" : [ [ "2015", "12", "16" ] ] }, "page" : "568-82", "title" : "Contribution of cod liver oil-related nutrients (vitamins A, D, E and eicosapentaenoic acid and docosahexaenoic acid) to daily nutrient intake and their associations with plasma concentrations in the EPIC-Norfolk cohort.", "type" : "article-journal", "volume" : "28" }, "uris" : [ "http://www.mendeley.com/documents/?uuid=1467ecd6-a451-4fcd-822a-da18d2f4f018" ] } ], "mendeley" : { "formattedCitation" : "&lt;sup&gt;(59)&lt;/sup&gt;", "plainTextFormattedCitation" : "(59)", "previouslyFormattedCitation" : "&lt;sup&gt;(59)&lt;/sup&gt;" }, "properties" : { "noteIndex" : 0 }, "schema" : "https://github.com/citation-style-language/schema/raw/master/csl-citation.json" }</w:instrText>
      </w:r>
      <w:r w:rsidR="00153164">
        <w:fldChar w:fldCharType="separate"/>
      </w:r>
      <w:r w:rsidR="00C40694" w:rsidRPr="00C40694">
        <w:rPr>
          <w:noProof/>
          <w:vertAlign w:val="superscript"/>
        </w:rPr>
        <w:t>(59)</w:t>
      </w:r>
      <w:r w:rsidR="00153164">
        <w:fldChar w:fldCharType="end"/>
      </w:r>
      <w:r w:rsidR="00153164">
        <w:t xml:space="preserve">, obtains the following associations between food-sourced vitamin E intake (per 10 mg/d) and </w:t>
      </w:r>
      <w:r w:rsidR="00A86D61">
        <w:t xml:space="preserve">back-transformed </w:t>
      </w:r>
      <w:r w:rsidR="00D6548E">
        <w:t>log-</w:t>
      </w:r>
      <w:r w:rsidR="00153164">
        <w:t xml:space="preserve">biomarkers </w:t>
      </w:r>
      <w:r w:rsidR="00722849">
        <w:t xml:space="preserve">of </w:t>
      </w:r>
      <w:r w:rsidR="00722849">
        <w:rPr>
          <w:rFonts w:cs="Times New Roman"/>
          <w:lang w:val="nl-NL"/>
        </w:rPr>
        <w:t>α</w:t>
      </w:r>
      <w:r w:rsidR="00722849" w:rsidRPr="005640C7">
        <w:rPr>
          <w:rFonts w:cs="Times New Roman"/>
        </w:rPr>
        <w:noBreakHyphen/>
      </w:r>
      <w:proofErr w:type="spellStart"/>
      <w:r w:rsidR="00722849" w:rsidRPr="005640C7">
        <w:rPr>
          <w:rFonts w:cs="Times New Roman"/>
        </w:rPr>
        <w:t>tocopherol</w:t>
      </w:r>
      <w:proofErr w:type="spellEnd"/>
      <w:r w:rsidR="00722849">
        <w:rPr>
          <w:rFonts w:cs="Times New Roman"/>
        </w:rPr>
        <w:t xml:space="preserve"> concentrations</w:t>
      </w:r>
      <w:r w:rsidR="00CE4120">
        <w:rPr>
          <w:rFonts w:cs="Times New Roman"/>
        </w:rPr>
        <w:t xml:space="preserve"> (and therefore representing a percentage change</w:t>
      </w:r>
      <w:r w:rsidR="00365687">
        <w:rPr>
          <w:rFonts w:cs="Times New Roman"/>
        </w:rPr>
        <w:t xml:space="preserve"> </w:t>
      </w:r>
      <w:r w:rsidR="00B83E4C">
        <w:t>[</w:t>
      </w:r>
      <w:r w:rsidR="00365687">
        <w:t>95%CI</w:t>
      </w:r>
      <w:r w:rsidR="00B83E4C">
        <w:t>]</w:t>
      </w:r>
      <w:r w:rsidR="00CE4120">
        <w:rPr>
          <w:rFonts w:cs="Times New Roman"/>
        </w:rPr>
        <w:t>)</w:t>
      </w:r>
      <w:r w:rsidR="00722849">
        <w:rPr>
          <w:rFonts w:cs="Times New Roman"/>
        </w:rPr>
        <w:t xml:space="preserve"> </w:t>
      </w:r>
      <w:r w:rsidR="008D5033">
        <w:t xml:space="preserve">among </w:t>
      </w:r>
      <w:r w:rsidR="00153164">
        <w:t>NSU, SU-E and SU+E respectively</w:t>
      </w:r>
      <w:r w:rsidR="00CE4120">
        <w:t xml:space="preserve"> of</w:t>
      </w:r>
      <w:r w:rsidR="00153164">
        <w:t>: 1</w:t>
      </w:r>
      <w:r w:rsidR="001847A3">
        <w:t>0</w:t>
      </w:r>
      <w:r w:rsidR="00153164">
        <w:t>% (9,1</w:t>
      </w:r>
      <w:r w:rsidR="001847A3">
        <w:t>2</w:t>
      </w:r>
      <w:r w:rsidR="00153164">
        <w:t>%), 9% (</w:t>
      </w:r>
      <w:r w:rsidR="00D6548E">
        <w:t>6</w:t>
      </w:r>
      <w:r w:rsidR="00153164">
        <w:t>,1</w:t>
      </w:r>
      <w:r w:rsidR="00D6548E">
        <w:t>2</w:t>
      </w:r>
      <w:r w:rsidR="00153164" w:rsidRPr="46A8D43A">
        <w:t>%)</w:t>
      </w:r>
      <w:r w:rsidR="008D5033">
        <w:t xml:space="preserve"> and</w:t>
      </w:r>
      <w:r w:rsidR="00153164" w:rsidRPr="46A8D43A">
        <w:t xml:space="preserve"> </w:t>
      </w:r>
      <w:r w:rsidR="00D6548E">
        <w:t>5</w:t>
      </w:r>
      <w:r w:rsidR="00153164" w:rsidRPr="46A8D43A">
        <w:t>% (</w:t>
      </w:r>
      <w:r w:rsidR="00D6548E">
        <w:t>2</w:t>
      </w:r>
      <w:r w:rsidR="00153164">
        <w:t>, 9%)</w:t>
      </w:r>
      <w:r w:rsidR="008D5033">
        <w:t>.  When replacing food-sourced intake with TNI, the associations in the SU+E group weaken</w:t>
      </w:r>
      <w:r w:rsidR="004C18A3">
        <w:t>ed</w:t>
      </w:r>
      <w:r w:rsidR="008D5033">
        <w:t xml:space="preserve"> to 1% (1</w:t>
      </w:r>
      <w:proofErr w:type="gramStart"/>
      <w:r w:rsidR="008D5033">
        <w:t>,2</w:t>
      </w:r>
      <w:proofErr w:type="gramEnd"/>
      <w:r w:rsidR="008D5033">
        <w:t>%); although the adjusted correlation strengthen</w:t>
      </w:r>
      <w:r w:rsidR="004C18A3">
        <w:t>ed</w:t>
      </w:r>
      <w:r w:rsidR="008D5033">
        <w:t xml:space="preserve"> from 0.0</w:t>
      </w:r>
      <w:r w:rsidR="00D6548E">
        <w:t>9</w:t>
      </w:r>
      <w:r w:rsidR="00A86D61">
        <w:t xml:space="preserve"> (food only)</w:t>
      </w:r>
      <w:r w:rsidR="008D5033">
        <w:t xml:space="preserve"> to 0.4</w:t>
      </w:r>
      <w:r w:rsidR="00D6548E">
        <w:t>3</w:t>
      </w:r>
      <w:r w:rsidR="00A86D61">
        <w:t xml:space="preserve"> (TNI)</w:t>
      </w:r>
      <w:r w:rsidR="00B55FFE">
        <w:t xml:space="preserve"> among the SU+E (since supplement-sourced vitamin E intake may be over 10-fold higher than food-sourced intake in the UK</w:t>
      </w:r>
      <w:r w:rsidR="00B55FFE" w:rsidRPr="46A8D43A">
        <w:t>)</w:t>
      </w:r>
      <w:r w:rsidR="008D5033" w:rsidRPr="46A8D43A">
        <w:t>.</w:t>
      </w:r>
      <w:r w:rsidR="00D309A9">
        <w:t xml:space="preserve">  This linear model indicates saturation, which has been reported with intakes varying between 9-17 mg/d </w:t>
      </w:r>
      <w:r w:rsidR="00D309A9">
        <w:fldChar w:fldCharType="begin" w:fldLock="1"/>
      </w:r>
      <w:r w:rsidR="009241D8">
        <w:instrText>ADDIN CSL_CITATION { "citationItems" : [ { "id" : "ITEM-1", "itemData" : { "ISBN" : "0-309-59719-6", "abstract" : "SUMMARY 1 What Are Dietary Reference Intakes?, 2 Approach for Setting Dietary Reference Intakes, 6 Nutrient Functions and the Indicators Used to Estimate Requirements for Vitamin C, Vitamin E, Selenium, and the Carotenoids, 12 Criteria and Proposed Values for Tolerable Upper Intake Levels, 13 Using Dietary Reference Intakes, 14 Definition of a Dietary Antioxidant, 17 Evidence of Oxidative Stress and the Risk of Chronic Degenerative Disease, 17 Recommendations, 19", "author" : [ { "dropping-particle" : "", "family" : "Institute of Medicine (IoM)", "given" : "", "non-dropping-particle" : "", "parse-names" : false, "suffix" : "" } ], "id" : "ITEM-1", "issued" : { "date-parts" : [ [ "2000" ] ] }, "publisher" : "The National Academy Press (NAP)", "publisher-place" : "Washington DC", "title" : "Dietary Reference Intakes for Vitamin C, Vitamin E, Selenium and carotenoids", "type" : "entry-encyclopedia" }, "uris" : [ "http://www.mendeley.com/documents/?uuid=62936e5a-4508-4220-8489-e0908c8a5b15" ] }, { "id" : "ITEM-2", "itemData" : { "ISSN" : "1938-3207", "PMID" : "22952171", "abstract" : "BACKGROUND: Other than the in vitro erythrocyte hemolysis test, no valid biomarkers of vitamin E status currently exist. OBJECTIVE: We hypothesized that the urinary vitamin E metabolite \u03b1-carboxyethyl hydroxychroman (\u03b1-CEHC) could serve as a biomarker. DESIGN: The relations between urinary \u03b1-CEHC, plasma \u03b1-tocopherol, and vitamin E intakes were assessed by using a previously validated multipass, Web-based, 24-h self-administered dietary recall, and we concurrently collected plasma and 24-h urine samples from 233 participants of both sexes. RESULTS: Median vitamin E intakes were 9.7 mg \u03b1-tocopherol/d. Intakes were correlated with plasma \u03b1-tocopherol (R = 0.40, P &lt; 0.001) and urinary \u03b1-CEHC (R = 0.42, P &lt; 0.001); these correlations were essentially unchanged after multivariate adjustments. On the basis of multiple regression analysis, urinary \u03b1-CEHC excretion increased by ~0.086 \u03bcmol/g creatinine (95% CI: 0.047, 0.125) for every 1-mg (2.3-\u03bcmol) increase in dietary \u03b1-tocopherol. Urinary \u03b1-CEHC excretion remained at a plateau (median: 1.39 \u03bcmol/g creatinine) until dietary intakes of \u03b1-tocopherol exceeded 9 mg \u03b1-tocopherol/d. The inflection point at which vitamin E metabolism increased was estimated to be at an intake of 12.8 mg \u03b1-tocopherol/d. Daily excretion of &gt;1.39 \u03bcmol \u03b1-CEHC/g creatinine is associated with a greater than adequate \u03b1-tocopherol status, as evidenced by increased vitamin E metabolism and excretion. CONCLUSION: Thus, urinary \u03b1-CEHC is a valid biomarker of \u03b1-tocopherol status that can be used to set a value for the Estimated Adequate Requirement of vitamin E.", "author" : [ { "dropping-particle" : "", "family" : "Lebold", "given" : "Katie M", "non-dropping-particle" : "", "parse-names" : false, "suffix" : "" }, { "dropping-particle" : "", "family" : "Ang", "given" : "Alfonso", "non-dropping-particle" : "", "parse-names" : false, "suffix" : "" }, { "dropping-particle" : "", "family" : "Traber", "given" : "Maret G", "non-dropping-particle" : "", "parse-names" : false, "suffix" : "" }, { "dropping-particle" : "", "family" : "Arab", "given" : "Lenore", "non-dropping-particle" : "", "parse-names" : false, "suffix" : "" } ], "container-title" : "The American journal of clinical nutrition", "id" : "ITEM-2", "issue" : "4", "issued" : { "date-parts" : [ [ "2012", "10" ] ] }, "page" : "801-9", "title" : "Urinary \u03b1-carboxyethyl hydroxychroman can be used as a predictor of \u03b1-tocopherol adequacy, as demonstrated in the Energetics Study.", "type" : "article-journal", "volume" : "96" }, "uris" : [ "http://www.mendeley.com/documents/?uuid=065e7318-06a3-44e9-8877-c03fdcfa7f28" ] } ], "mendeley" : { "formattedCitation" : "&lt;sup&gt;(54,60)&lt;/sup&gt;", "plainTextFormattedCitation" : "(54,60)", "previouslyFormattedCitation" : "&lt;sup&gt;(54,60)&lt;/sup&gt;" }, "properties" : { "noteIndex" : 0 }, "schema" : "https://github.com/citation-style-language/schema/raw/master/csl-citation.json" }</w:instrText>
      </w:r>
      <w:r w:rsidR="00D309A9">
        <w:fldChar w:fldCharType="separate"/>
      </w:r>
      <w:r w:rsidR="00C40694" w:rsidRPr="00C40694">
        <w:rPr>
          <w:noProof/>
          <w:vertAlign w:val="superscript"/>
        </w:rPr>
        <w:t>(54,60)</w:t>
      </w:r>
      <w:r w:rsidR="00D309A9">
        <w:fldChar w:fldCharType="end"/>
      </w:r>
      <w:r w:rsidR="00CE4120" w:rsidRPr="46A8D43A">
        <w:t>;</w:t>
      </w:r>
      <w:r w:rsidR="005C7D59">
        <w:t xml:space="preserve"> and indeed</w:t>
      </w:r>
      <w:r w:rsidR="00CE4120" w:rsidRPr="46A8D43A">
        <w:t>,</w:t>
      </w:r>
      <w:r w:rsidR="005C7D59" w:rsidRPr="46A8D43A">
        <w:t xml:space="preserve"> </w:t>
      </w:r>
      <w:r w:rsidR="006E4EFD">
        <w:t>when only participants with TNI &lt;17 mg/d were included, the coefficient among the SU+E was 9%, although with wide confidence intervals (1-16%)</w:t>
      </w:r>
      <w:r w:rsidR="00C01280" w:rsidRPr="46A8D43A">
        <w:t>.</w:t>
      </w:r>
      <w:r w:rsidR="004C4306" w:rsidRPr="46A8D43A">
        <w:t xml:space="preserve">  </w:t>
      </w:r>
      <w:r w:rsidR="00F91C66">
        <w:t xml:space="preserve">The urinary excretion products of vitamin E have for this reason been studied as a substitute to indicate sufficiency, or very high ingested doses </w:t>
      </w:r>
      <w:r w:rsidR="00F91C66">
        <w:fldChar w:fldCharType="begin" w:fldLock="1"/>
      </w:r>
      <w:r w:rsidR="009241D8">
        <w:instrText>ADDIN CSL_CITATION { "citationItems" : [ { "id" : "ITEM-1", "itemData" : { "ISSN" : "1938-3207", "PMID" : "22952171", "abstract" : "BACKGROUND: Other than the in vitro erythrocyte hemolysis test, no valid biomarkers of vitamin E status currently exist. OBJECTIVE: We hypothesized that the urinary vitamin E metabolite \u03b1-carboxyethyl hydroxychroman (\u03b1-CEHC) could serve as a biomarker. DESIGN: The relations between urinary \u03b1-CEHC, plasma \u03b1-tocopherol, and vitamin E intakes were assessed by using a previously validated multipass, Web-based, 24-h self-administered dietary recall, and we concurrently collected plasma and 24-h urine samples from 233 participants of both sexes. RESULTS: Median vitamin E intakes were 9.7 mg \u03b1-tocopherol/d. Intakes were correlated with plasma \u03b1-tocopherol (R = 0.40, P &lt; 0.001) and urinary \u03b1-CEHC (R = 0.42, P &lt; 0.001); these correlations were essentially unchanged after multivariate adjustments. On the basis of multiple regression analysis, urinary \u03b1-CEHC excretion increased by ~0.086 \u03bcmol/g creatinine (95% CI: 0.047, 0.125) for every 1-mg (2.3-\u03bcmol) increase in dietary \u03b1-tocopherol. Urinary \u03b1-CEHC excretion remained at a plateau (median: 1.39 \u03bcmol/g creatinine) until dietary intakes of \u03b1-tocopherol exceeded 9 mg \u03b1-tocopherol/d. The inflection point at which vitamin E metabolism increased was estimated to be at an intake of 12.8 mg \u03b1-tocopherol/d. Daily excretion of &gt;1.39 \u03bcmol \u03b1-CEHC/g creatinine is associated with a greater than adequate \u03b1-tocopherol status, as evidenced by increased vitamin E metabolism and excretion. CONCLUSION: Thus, urinary \u03b1-CEHC is a valid biomarker of \u03b1-tocopherol status that can be used to set a value for the Estimated Adequate Requirement of vitamin E.", "author" : [ { "dropping-particle" : "", "family" : "Lebold", "given" : "Katie M", "non-dropping-particle" : "", "parse-names" : false, "suffix" : "" }, { "dropping-particle" : "", "family" : "Ang", "given" : "Alfonso", "non-dropping-particle" : "", "parse-names" : false, "suffix" : "" }, { "dropping-particle" : "", "family" : "Traber", "given" : "Maret G", "non-dropping-particle" : "", "parse-names" : false, "suffix" : "" }, { "dropping-particle" : "", "family" : "Arab", "given" : "Lenore", "non-dropping-particle" : "", "parse-names" : false, "suffix" : "" } ], "container-title" : "The American journal of clinical nutrition", "id" : "ITEM-1", "issue" : "4", "issued" : { "date-parts" : [ [ "2012", "10" ] ] }, "page" : "801-9", "title" : "Urinary \u03b1-carboxyethyl hydroxychroman can be used as a predictor of \u03b1-tocopherol adequacy, as demonstrated in the Energetics Study.", "type" : "article-journal", "volume" : "96" }, "uris" : [ "http://www.mendeley.com/documents/?uuid=065e7318-06a3-44e9-8877-c03fdcfa7f28" ] } ], "mendeley" : { "formattedCitation" : "&lt;sup&gt;(54)&lt;/sup&gt;", "plainTextFormattedCitation" : "(54)", "previouslyFormattedCitation" : "&lt;sup&gt;(54)&lt;/sup&gt;" }, "properties" : { "noteIndex" : 0 }, "schema" : "https://github.com/citation-style-language/schema/raw/master/csl-citation.json" }</w:instrText>
      </w:r>
      <w:r w:rsidR="00F91C66">
        <w:fldChar w:fldCharType="separate"/>
      </w:r>
      <w:r w:rsidR="00C40694" w:rsidRPr="00C40694">
        <w:rPr>
          <w:noProof/>
          <w:vertAlign w:val="superscript"/>
        </w:rPr>
        <w:t>(54)</w:t>
      </w:r>
      <w:r w:rsidR="00F91C66">
        <w:fldChar w:fldCharType="end"/>
      </w:r>
      <w:r w:rsidR="00F91C66" w:rsidRPr="46A8D43A">
        <w:t>.</w:t>
      </w:r>
      <w:r w:rsidR="0002583C" w:rsidRPr="46A8D43A">
        <w:t xml:space="preserve">  </w:t>
      </w:r>
      <w:r w:rsidR="00F91C66">
        <w:t>S</w:t>
      </w:r>
      <w:r w:rsidR="004C4306">
        <w:t xml:space="preserve">aturation </w:t>
      </w:r>
      <w:r w:rsidR="006E4EFD">
        <w:t>threshold</w:t>
      </w:r>
      <w:r w:rsidR="004C4306">
        <w:t>s</w:t>
      </w:r>
      <w:r w:rsidR="006E4EFD" w:rsidRPr="46A8D43A">
        <w:t xml:space="preserve"> </w:t>
      </w:r>
      <w:r w:rsidR="004C4306">
        <w:t>also exist</w:t>
      </w:r>
      <w:r w:rsidR="006E4EFD">
        <w:t xml:space="preserve"> for vitamin C</w:t>
      </w:r>
      <w:r w:rsidR="00CA630F">
        <w:t xml:space="preserve"> since kidneys excrete vitamin C at intakes higher than 120 mg/d</w:t>
      </w:r>
      <w:r w:rsidR="004C4306" w:rsidRPr="46A8D43A">
        <w:t xml:space="preserve"> </w:t>
      </w:r>
      <w:r w:rsidR="004C4306">
        <w:fldChar w:fldCharType="begin" w:fldLock="1"/>
      </w:r>
      <w:r w:rsidR="009241D8">
        <w:instrText>ADDIN CSL_CITATION { "citationItems" : [ { "id" : "ITEM-1", "itemData" : { "author" : [ { "dropping-particle" : "", "family" : "COMA", "given" : "", "non-dropping-particle" : "", "parse-names" : false, "suffix" : "" } ], "id" : "ITEM-1", "issued" : { "date-parts" : [ [ "1991" ] ] }, "publisher" : "HMSO", "title" : "Dietary Reference Values for food energy and nutrients for the United Kingdom. Report of the Panel on Dietary Reference Values, Committee on Medical Aspects of Food Policy", "type" : "report", "volume" : "41" }, "uris" : [ "http://www.mendeley.com/documents/?uuid=d98a70ae-a0ed-4a0a-97db-ac9fb1deedb4" ] } ], "mendeley" : { "formattedCitation" : "&lt;sup&gt;(40)&lt;/sup&gt;", "plainTextFormattedCitation" : "(40)", "previouslyFormattedCitation" : "&lt;sup&gt;(40)&lt;/sup&gt;" }, "properties" : { "noteIndex" : 0 }, "schema" : "https://github.com/citation-style-language/schema/raw/master/csl-citation.json" }</w:instrText>
      </w:r>
      <w:r w:rsidR="004C4306">
        <w:fldChar w:fldCharType="separate"/>
      </w:r>
      <w:r w:rsidR="00C40694" w:rsidRPr="00C40694">
        <w:rPr>
          <w:noProof/>
          <w:vertAlign w:val="superscript"/>
        </w:rPr>
        <w:t>(40)</w:t>
      </w:r>
      <w:r w:rsidR="004C4306">
        <w:fldChar w:fldCharType="end"/>
      </w:r>
      <w:r w:rsidR="00CA630F" w:rsidRPr="46A8D43A">
        <w:t>;</w:t>
      </w:r>
      <w:r w:rsidR="00F91C66">
        <w:t xml:space="preserve"> whereas retinol concentration</w:t>
      </w:r>
      <w:r w:rsidR="00555733">
        <w:t>s</w:t>
      </w:r>
      <w:r w:rsidR="00F91C66">
        <w:t xml:space="preserve"> are largely homeostatic, even after a state of toxicity has </w:t>
      </w:r>
      <w:r w:rsidR="00555733">
        <w:t>been reached</w:t>
      </w:r>
      <w:r w:rsidR="00F91C66" w:rsidRPr="46A8D43A">
        <w:t xml:space="preserve"> </w:t>
      </w:r>
      <w:r w:rsidR="00F91C66">
        <w:fldChar w:fldCharType="begin" w:fldLock="1"/>
      </w:r>
      <w:r w:rsidR="009241D8">
        <w:instrText>ADDIN CSL_CITATION { "citationItems" : [ { "id" : "ITEM-1", "itemData" : { "ISSN" : "0002-9165", "PMID" : "16469975", "abstract" : "The acute and chronic effects of vitamin A toxicity are well documented in the literature. Emerging evidence suggests that subtoxicity without clinical signs of toxicity may be a growing concern, because intake from preformed sources of vitamin A often exceeds the recommended dietary allowances (RDA) for adults, especially in developed countries. Osteoporosis and hip fracture are associated with preformed vitamin A intakes that are only twice the current RDA. Assessing vitamin A status in persons with subtoxicity or toxicity is complicated because serum retinol concentrations are nonsensitive indicators in this range of liver vitamin A reserves. The metabolism in well-nourished persons of preformed vitamin A, provided by either liver or supplements, has been studied by several research groups. To control vitamin A deficiency, large therapeutic doses are administered in developing countries to women and children, who often are undernourished. Nevertheless, little attention has been given to the short-term kinetics (ie, after absorption but before storage) of a large dose of vitamin A or to the short- and long-term effects of such a dose given to lactating women on serum and breast-milk concentrations of retinol and its metabolites. Moreover, appropriate dosing regimens have not been systematically evaluated to ascertain the quantitative improvement in vitamin A status of the women and children who receive these supplements. The known acute and chronic effects of vitamin A toxicity have been reported previously. However, further research is needed to ascertain the areas of the world in which subclinical toxicity exists and to evaluate its effects on overall health and well-being.", "author" : [ { "dropping-particle" : "", "family" : "Penniston", "given" : "Kristina L", "non-dropping-particle" : "", "parse-names" : false, "suffix" : "" }, { "dropping-particle" : "", "family" : "Tanumihardjo", "given" : "Sherry A", "non-dropping-particle" : "", "parse-names" : false, "suffix" : "" } ], "container-title" : "The American journal of clinical nutrition", "id" : "ITEM-1", "issue" : "2", "issued" : { "date-parts" : [ [ "2006", "2" ] ] }, "page" : "191-201", "title" : "The acute and chronic toxic effects of vitamin A.", "type" : "article-journal", "volume" : "83" }, "uris" : [ "http://www.mendeley.com/documents/?uuid=cd662f9a-a74c-45ce-a8b4-42a0cd9aad7f" ] } ], "mendeley" : { "formattedCitation" : "&lt;sup&gt;(61)&lt;/sup&gt;", "plainTextFormattedCitation" : "(61)", "previouslyFormattedCitation" : "&lt;sup&gt;(61)&lt;/sup&gt;" }, "properties" : { "noteIndex" : 0 }, "schema" : "https://github.com/citation-style-language/schema/raw/master/csl-citation.json" }</w:instrText>
      </w:r>
      <w:r w:rsidR="00F91C66">
        <w:fldChar w:fldCharType="separate"/>
      </w:r>
      <w:r w:rsidR="00C40694" w:rsidRPr="00C40694">
        <w:rPr>
          <w:noProof/>
          <w:vertAlign w:val="superscript"/>
        </w:rPr>
        <w:t>(61)</w:t>
      </w:r>
      <w:r w:rsidR="00F91C66">
        <w:fldChar w:fldCharType="end"/>
      </w:r>
      <w:r w:rsidR="00CA630F">
        <w:t xml:space="preserve"> and therefore dose-response associations are not observed in replete individuals</w:t>
      </w:r>
      <w:r w:rsidR="00F91C66" w:rsidRPr="46A8D43A">
        <w:t>.</w:t>
      </w:r>
    </w:p>
    <w:p w14:paraId="0910E50F" w14:textId="518ADC79" w:rsidR="004B111E" w:rsidRDefault="004B111E" w:rsidP="4F1696A8">
      <w:r>
        <w:t xml:space="preserve">The omega-3 fatty acids </w:t>
      </w:r>
      <w:proofErr w:type="spellStart"/>
      <w:r>
        <w:t>eicosapentaenoic</w:t>
      </w:r>
      <w:proofErr w:type="spellEnd"/>
      <w:r>
        <w:t xml:space="preserve"> acid (EPA) and </w:t>
      </w:r>
      <w:proofErr w:type="spellStart"/>
      <w:r>
        <w:t>docosahexaenoic</w:t>
      </w:r>
      <w:proofErr w:type="spellEnd"/>
      <w:r>
        <w:t xml:space="preserve"> acid (DHA) are mostly obtained from oily fish, for which the most recent dietary guideline recommendations (1 portion of oily fish per </w:t>
      </w:r>
      <w:r w:rsidR="00B83E4C">
        <w:t>week</w:t>
      </w:r>
      <w:r>
        <w:t xml:space="preserve">, approx. 0.45 g/day or 3.15 g/week </w:t>
      </w:r>
      <w:r w:rsidR="4F1696A8">
        <w:t>of EPA+DHA</w:t>
      </w:r>
      <w:r w:rsidRPr="589C4AF9">
        <w:t xml:space="preserve">) </w:t>
      </w:r>
      <w:r>
        <w:fldChar w:fldCharType="begin" w:fldLock="1"/>
      </w:r>
      <w:r w:rsidR="009241D8">
        <w:instrText>ADDIN CSL_CITATION { "citationItems" : [ { "id" : "ITEM-1", "itemData" : { "author" : [ { "dropping-particle" : "", "family" : "Scientific Advisory Committee Nutrition (SACN)", "given" : "", "non-dropping-particle" : "", "parse-names" : false, "suffix" : "" }, { "dropping-particle" : "", "family" : "Committee on Toxicity", "given" : "", "non-dropping-particle" : "", "parse-names" : false, "suffix" : "" } ], "id" : "ITEM-1", "issued" : { "date-parts" : [ [ "2004" ] ] }, "publisher" : "The Stationery Office (TSO)", "publisher-place" : "London", "title" : "Advice on fish consumption: benefits &amp; risks", "type" : "report" }, "uris" : [ "http://www.mendeley.com/documents/?uuid=a00985f7-2082-4b9c-b198-c02e6f4a0579" ] } ], "mendeley" : { "formattedCitation" : "&lt;sup&gt;(62)&lt;/sup&gt;", "plainTextFormattedCitation" : "(62)", "previouslyFormattedCitation" : "&lt;sup&gt;(62)&lt;/sup&gt;" }, "properties" : { "noteIndex" : 0 }, "schema" : "https://github.com/citation-style-language/schema/raw/master/csl-citation.json" }</w:instrText>
      </w:r>
      <w:r>
        <w:fldChar w:fldCharType="separate"/>
      </w:r>
      <w:r w:rsidR="00C40694" w:rsidRPr="00C40694">
        <w:rPr>
          <w:noProof/>
          <w:vertAlign w:val="superscript"/>
        </w:rPr>
        <w:t>(62)</w:t>
      </w:r>
      <w:r>
        <w:fldChar w:fldCharType="end"/>
      </w:r>
      <w:r w:rsidRPr="589C4AF9">
        <w:t xml:space="preserve"> </w:t>
      </w:r>
      <w:r>
        <w:t xml:space="preserve">have not been met in the UK population </w:t>
      </w:r>
      <w:r>
        <w:fldChar w:fldCharType="begin" w:fldLock="1"/>
      </w:r>
      <w:r w:rsidR="00C1396B">
        <w:instrText>ADDIN CSL_CITATION { "citationItems" : [ { "id" : "ITEM-1", "itemData" : { "DOI" : "2014051", "abstract" : "About Public Health England Public Health England's mission is to protect and improve the nation's health and to address inequalities through working with national and local government, the NHS, industry and the voluntary and community sector. PHE is an operationally autonomous executive agency of the Department of Health.", "author" : [ { "dropping-particle" : "", "family" : "Bates", "given" : "Beverley", "non-dropping-particle" : "", "parse-names" : false, "suffix" : "" }, { "dropping-particle" : "", "family" : "Lennox", "given" : "Alison", "non-dropping-particle" : "", "parse-names" : false, "suffix" : "" }, { "dropping-particle" : "", "family" : "Prentice", "given" : "Ann", "non-dropping-particle" : "", "parse-names" : false, "suffix" : "" }, { "dropping-particle" : "", "family" : "Bates", "given" : "Chris", "non-dropping-particle" : "", "parse-names" : false, "suffix" : "" }, { "dropping-particle" : "", "family" : "Page", "given" : "Polly", "non-dropping-particle" : "", "parse-names" : false, "suffix" : "" }, { "dropping-particle" : "", "family" : "Nicholson", "given" : "Sonja", "non-dropping-particle" : "", "parse-names" : false, "suffix" : "" }, { "dropping-particle" : "", "family" : "Swan", "given" : "Gillian", "non-dropping-particle" : "", "parse-names" : false, "suffix" : "" } ], "id" : "ITEM-1", "issued" : { "date-parts" : [ [ "2014" ] ] }, "page" : "1-27", "title" : "National Diet and Nutrition Survey: Results from Years 1, 2, 3 and 4 (combined) of the Rolling Programme", "type" : "article-journal", "volume" : "4" }, "uris" : [ "http://www.mendeley.com/documents/?uuid=88c8ba7e-1c29-4e2f-846b-264a30ec17e8" ] }, { "id" : "ITEM-2", "itemData" : { "editor" : [ { "dropping-particle" : "", "family" : "Bates", "given" : "Beverley", "non-dropping-particle" : "", "parse-names" : false, "suffix" : "" }, { "dropping-particle" : "", "family" : "Cox", "given" : "Lorna", "non-dropping-particle" : "", "parse-names" : false, "suffix" : "" }, { "dropping-particle" : "", "family" : "Nicholson", "given" : "Sonja", "non-dropping-particle" : "", "parse-names" : false, "suffix" : "" }, { "dropping-particle" : "", "family" : "Page", "given" : "Polly", "non-dropping-particle" : "", "parse-names" : false, "suffix" : "" }, { "dropping-particle" : "", "family" : "Prentice", "given" : "Ann", "non-dropping-particle" : "", "parse-names" : false, "suffix" : "" }, { "dropping-particle" : "", "family" : "Steer", "given" : "Toni", "non-dropping-particle" : "", "parse-names" : false, "suffix" : "" }, { "dropping-particle" : "", "family" : "Swan", "given" : "Gillian", "non-dropping-particle" : "", "parse-names" : false, "suffix" : "" } ], "id" : "ITEM-2", "issued" : { "date-parts" : [ [ "2016" ] ] }, "number-of-pages" : "1-29", "publisher" : "Public Health England", "publisher-place" : "London", "title" : "National Diet and Nutrition Survey Results from Years 5 and 6 (combined) of the Rolling Programme (2012/2013 \u2013 2013/2014)", "type" : "book" }, "uris" : [ "http://www.mendeley.com/documents/?uuid=bc6564ae-a367-4be2-bba6-4821a2a2b61e" ] } ], "mendeley" : { "formattedCitation" : "&lt;sup&gt;(32,33)&lt;/sup&gt;", "plainTextFormattedCitation" : "(32,33)", "previouslyFormattedCitation" : "&lt;sup&gt;(32,33)&lt;/sup&gt;" }, "properties" : { "noteIndex" : 0 }, "schema" : "https://github.com/citation-style-language/schema/raw/master/csl-citation.json" }</w:instrText>
      </w:r>
      <w:r>
        <w:fldChar w:fldCharType="separate"/>
      </w:r>
      <w:r w:rsidR="00975B94" w:rsidRPr="00975B94">
        <w:rPr>
          <w:noProof/>
          <w:vertAlign w:val="superscript"/>
        </w:rPr>
        <w:t>(32,33)</w:t>
      </w:r>
      <w:r>
        <w:fldChar w:fldCharType="end"/>
      </w:r>
      <w:r w:rsidRPr="589C4AF9">
        <w:t>.</w:t>
      </w:r>
      <w:r w:rsidR="00121DA6">
        <w:t xml:space="preserve">  A source of EPA and DHA may also be obtained from cod liver oil and fish oil type supplements (referred to as ‘EPA/DHA-containing supplements’), which could approximately double the exposure</w:t>
      </w:r>
      <w:r w:rsidR="000E6A58">
        <w:t xml:space="preserve"> among those using</w:t>
      </w:r>
      <w:r w:rsidR="003F27ED">
        <w:t xml:space="preserve"> EPA/DHA-containing supplements (SU+EPA/DHA).  In EPIC-Norfolk, a general population-based cohort, aged between 39 and 79 years,</w:t>
      </w:r>
      <w:r w:rsidR="00121DA6" w:rsidRPr="589C4AF9">
        <w:t xml:space="preserve"> </w:t>
      </w:r>
      <w:r w:rsidR="003F27ED">
        <w:t>the</w:t>
      </w:r>
      <w:r w:rsidR="00121DA6">
        <w:t xml:space="preserve"> median TNI </w:t>
      </w:r>
      <w:r w:rsidR="003F27ED">
        <w:t>was</w:t>
      </w:r>
      <w:r w:rsidR="00121DA6">
        <w:t xml:space="preserve"> 0.39 g/d in men and 0.29 g/d in women</w:t>
      </w:r>
      <w:r w:rsidR="003F27ED">
        <w:t xml:space="preserve"> among SU+EPA/DHA between 1993-1998</w:t>
      </w:r>
      <w:r w:rsidR="00121DA6" w:rsidRPr="589C4AF9">
        <w:t xml:space="preserve"> </w:t>
      </w:r>
      <w:r w:rsidR="00121DA6">
        <w:fldChar w:fldCharType="begin" w:fldLock="1"/>
      </w:r>
      <w:r w:rsidR="009241D8">
        <w:instrText>ADDIN CSL_CITATION { "citationItems" : [ { "id" : "ITEM-1", "itemData" : { "DOI" : "10.1111/jhn.12271", "ISSN" : "1365-277X", "PMID" : "25228113", "abstract" : "BACKGROUND Total nutrient intake (TNI) is intake from food and supplements. This provides an assessment of nutrient adequacy and the prevalence of excessive intake, as well as the response with respect to biomarkers. Cod liver oil (CLO) is the most frequently consumed supplement in the UK, containing nutrients that might have varying influences on health. We calculated TNI for vitamins A, D and E, as well as eicosapentaenoic acid (EPA) and docosahexaenoic acid (DHA), and assessed associations with the respective blood concentrations. METHODS Seven-day diet diaries and blood samples were taken from two subsets of the European Prospective Investigation into Cancer (EPIC-Norfolk) cohort (age range 39-79 years; n = 1400 for vitamin D; n = 6656 for remaining nutrients). TNI was calculated for the subgroups: nonsupplement users, those consuming the nutrient in supplement form and those consuming a supplement without this nutrient. RESULTS CLO-related nutrients were supplemented by 15%-33%, which approximately doubled median intakes. Almost everyone in the supplement + vitamin A group reached the estimated average requirement; however, guideline levels were likely to be exceeded. Partial correlations between intake of vitamins A and D and biomarkers were low and modestly strengthened by the inclusion of supplement sources (correlation = 0.01-0.13). Correlations between biomarker and TNI of vitamin E and EPA+DHA were in the range 0.40-0.46; however, vitamin E exceeding food intake resulted in attenuated coefficients. Linear associations between food or TNI EPA+DHA and plasma were weak but consistent across subgroups. CONCLUSIONS CLO-related nutrients contribute substantially to nutrient intake, with a risk of over-consumption. Apart from EPA+DHA, biomarker data suggest that CLO-related nutrients in supplements are not linearly associated with vitamin status.", "author" : [ { "dropping-particle" : "", "family" : "Lentjes", "given" : "Marleen A H", "non-dropping-particle" : "", "parse-names" : false, "suffix" : "" }, { "dropping-particle" : "", "family" : "Mulligan", "given" : "Angela A", "non-dropping-particle" : "", "parse-names" : false, "suffix" : "" }, { "dropping-particle" : "", "family" : "Welch", "given" : "Ailsa A", "non-dropping-particle" : "", "parse-names" : false, "suffix" : "" }, { "dropping-particle" : "", "family" : "Bhaniani", "given" : "Amit", "non-dropping-particle" : "", "parse-names" : false, "suffix" : "" }, { "dropping-particle" : "", "family" : "Luben", "given" : "Robert N", "non-dropping-particle" : "", "parse-names" : false, "suffix" : "" }, { "dropping-particle" : "", "family" : "Khaw", "given" : "K.-T.", "non-dropping-particle" : "", "parse-names" : false, "suffix" : "" } ], "container-title" : "Journal of human nutrition and dietetics : the official journal of the British Dietetic Association", "id" : "ITEM-1", "issue" : "6", "issued" : { "date-parts" : [ [ "2015", "12", "16" ] ] }, "page" : "568-82", "title" : "Contribution of cod liver oil-related nutrients (vitamins A, D, E and eicosapentaenoic acid and docosahexaenoic acid) to daily nutrient intake and their associations with plasma concentrations in the EPIC-Norfolk cohort.", "type" : "article-journal", "volume" : "28" }, "uris" : [ "http://www.mendeley.com/documents/?uuid=1467ecd6-a451-4fcd-822a-da18d2f4f018" ] } ], "mendeley" : { "formattedCitation" : "&lt;sup&gt;(59)&lt;/sup&gt;", "plainTextFormattedCitation" : "(59)", "previouslyFormattedCitation" : "&lt;sup&gt;(59)&lt;/sup&gt;" }, "properties" : { "noteIndex" : 0 }, "schema" : "https://github.com/citation-style-language/schema/raw/master/csl-citation.json" }</w:instrText>
      </w:r>
      <w:r w:rsidR="00121DA6">
        <w:fldChar w:fldCharType="separate"/>
      </w:r>
      <w:r w:rsidR="00C40694" w:rsidRPr="00C40694">
        <w:rPr>
          <w:noProof/>
          <w:vertAlign w:val="superscript"/>
        </w:rPr>
        <w:t>(59)</w:t>
      </w:r>
      <w:r w:rsidR="00121DA6">
        <w:fldChar w:fldCharType="end"/>
      </w:r>
      <w:r w:rsidR="00121DA6" w:rsidRPr="589C4AF9">
        <w:t xml:space="preserve">.  </w:t>
      </w:r>
      <w:r w:rsidR="00AD63ED">
        <w:t xml:space="preserve">For EPA or DHA supplements, </w:t>
      </w:r>
      <w:r w:rsidR="00DB5AAF">
        <w:t xml:space="preserve">when these nutrients are </w:t>
      </w:r>
      <w:r w:rsidR="00AD63ED">
        <w:t xml:space="preserve">ingested separately or </w:t>
      </w:r>
      <w:r w:rsidR="00AD63ED">
        <w:lastRenderedPageBreak/>
        <w:t>combined, in doses up to 7 g/d (</w:t>
      </w:r>
      <w:r w:rsidR="00AD63ED" w:rsidRPr="589C4AF9">
        <w:rPr>
          <w:i/>
          <w:iCs/>
        </w:rPr>
        <w:t>i.e.</w:t>
      </w:r>
      <w:r w:rsidR="00AD63ED">
        <w:t xml:space="preserve"> over 15 times the SACN recommendation), d</w:t>
      </w:r>
      <w:r w:rsidR="00CC263B">
        <w:t xml:space="preserve">ose-response associations </w:t>
      </w:r>
      <w:r w:rsidR="00AD63ED">
        <w:t xml:space="preserve">in trials </w:t>
      </w:r>
      <w:r w:rsidR="000C09EF">
        <w:t xml:space="preserve">have resulted in </w:t>
      </w:r>
      <w:r w:rsidR="00AD63ED">
        <w:t xml:space="preserve">increased </w:t>
      </w:r>
      <w:r w:rsidR="000C09EF">
        <w:t xml:space="preserve">plasma </w:t>
      </w:r>
      <w:r w:rsidR="00AD63ED">
        <w:t>concentrations with the most efficient dose-response when the respective fatty acids is supplemented</w:t>
      </w:r>
      <w:r w:rsidR="000C09EF" w:rsidRPr="589C4AF9">
        <w:t xml:space="preserve"> </w:t>
      </w:r>
      <w:r w:rsidR="000C09EF">
        <w:fldChar w:fldCharType="begin" w:fldLock="1"/>
      </w:r>
      <w:r w:rsidR="009241D8">
        <w:instrText>ADDIN CSL_CITATION { "citationItems" : [ { "id" : "ITEM-1", "itemData" : { "ISSN" : "0002-9165", "PMID" : "16841856", "abstract" : "n-3 Fatty acids have important visual, mental, and cardiovascular health benefits throughout the life cycle. Biodistribution, interconversion, and dose response data are reviewed herein to provide a basis for more rational n-3 dose selections. Docosahexaenoic acid (DHA) is the principal n-3 fatty acid in tissues and is particularly abundant in neural and retinal tissue. Limited storage of the n-3 fatty acids in adipose tissue suggests that a continued dietary supply is needed. A large proportion of dietary alpha-linolenic acid (ALA) is oxidized, and because of limited interconversion of n-3 fatty acids in humans, ALA supplementation does not result in appreciable accumulation of long-chain n-3 fatty acids in plasma. Eicosapentaenoic acid (EPA) but not DHA concentrations in plasma increase in response to dietary EPA. Dietary DHA results in a dose-dependent, saturable increase in plasma DHA concentrations and modest increases in EPA concentrations. Plasma DHA concentrations equilibrate in approximately 1 mo and then remain at steady state throughout supplementation. DHA doses of approximately 2 g/d result in a near maximal plasma response. Both dietary DHA and EPA reduce plasma arachidonic acid concentrations. Tissue contents of DHA and EPA also increase in response to supplementation with these fatty acids. Human milk contents of DHA are dependent on diet, and infant DHA concentrations are determined by their dietary intake of this fatty acid. We conclude that the most predictable way to increase a specific long-chain n-3 fatty acid in plasma, tissues, or human milk is to supplement with the fatty acid of interest.", "author" : [ { "dropping-particle" : "", "family" : "Arterburn", "given" : "Linda M", "non-dropping-particle" : "", "parse-names" : false, "suffix" : "" }, { "dropping-particle" : "", "family" : "Hall", "given" : "Eileen Bailey", "non-dropping-particle" : "", "parse-names" : false, "suffix" : "" }, { "dropping-particle" : "", "family" : "Oken", "given" : "Harry", "non-dropping-particle" : "", "parse-names" : false, "suffix" : "" } ], "container-title" : "The American journal of clinical nutrition", "id" : "ITEM-1", "issue" : "6 Suppl", "issued" : { "date-parts" : [ [ "2006", "6" ] ] }, "page" : "1467S-1476S", "title" : "Distribution, interconversion, and dose response of n-3 fatty acids in humans.", "type" : "article-journal", "volume" : "83" }, "uris" : [ "http://www.mendeley.com/documents/?uuid=f4fc84a1-5cec-4644-af62-1f4f07a85a68" ] } ], "mendeley" : { "formattedCitation" : "&lt;sup&gt;(63)&lt;/sup&gt;", "plainTextFormattedCitation" : "(63)", "previouslyFormattedCitation" : "&lt;sup&gt;(63)&lt;/sup&gt;" }, "properties" : { "noteIndex" : 0 }, "schema" : "https://github.com/citation-style-language/schema/raw/master/csl-citation.json" }</w:instrText>
      </w:r>
      <w:r w:rsidR="000C09EF">
        <w:fldChar w:fldCharType="separate"/>
      </w:r>
      <w:r w:rsidR="00C40694" w:rsidRPr="00C40694">
        <w:rPr>
          <w:noProof/>
          <w:vertAlign w:val="superscript"/>
        </w:rPr>
        <w:t>(63)</w:t>
      </w:r>
      <w:r w:rsidR="000C09EF">
        <w:fldChar w:fldCharType="end"/>
      </w:r>
      <w:r w:rsidR="000C09EF" w:rsidRPr="589C4AF9">
        <w:t xml:space="preserve">.  </w:t>
      </w:r>
      <w:r w:rsidR="00121DA6">
        <w:t>Dose-response associations between the sum of EPA and DHA in</w:t>
      </w:r>
      <w:r w:rsidR="00037801">
        <w:t xml:space="preserve">take (3:2 ratio) </w:t>
      </w:r>
      <w:r w:rsidR="00121DA6">
        <w:t xml:space="preserve">and plasma EPA and DHA, </w:t>
      </w:r>
      <w:r w:rsidR="000C09EF">
        <w:t>have been found to be</w:t>
      </w:r>
      <w:r w:rsidR="00037801">
        <w:t xml:space="preserve"> linear up to 3 g/d in a trial</w:t>
      </w:r>
      <w:r w:rsidR="00584A1D">
        <w:t xml:space="preserve"> of healthy young men</w:t>
      </w:r>
      <w:r w:rsidR="00CC263B">
        <w:t xml:space="preserve"> who consumed fish &lt;1 times</w:t>
      </w:r>
      <w:r w:rsidR="00CC263B" w:rsidRPr="589C4AF9">
        <w:t>/</w:t>
      </w:r>
      <w:r w:rsidR="00CC263B">
        <w:t>week</w:t>
      </w:r>
      <w:r w:rsidR="000C09EF">
        <w:t xml:space="preserve"> at baseline</w:t>
      </w:r>
      <w:r w:rsidR="00037801" w:rsidRPr="589C4AF9">
        <w:t xml:space="preserve"> </w:t>
      </w:r>
      <w:r w:rsidR="00037801">
        <w:fldChar w:fldCharType="begin" w:fldLock="1"/>
      </w:r>
      <w:r w:rsidR="009241D8">
        <w:instrText>ADDIN CSL_CITATION { "citationItems" : [ { "id" : "ITEM-1", "itemData" : { "ISSN" : "0002-9165", "PMID" : "2141757", "abstract" : "We performed a randomized, controlled study on the dose-response effects of daily supplementation of 1.5, 3, and 6 g of the marine fatty acids eicosapentaenoic acid (EPA, 20:5n-3) and docosahexaenoic acid (DHA, 22:6n-3) as their ethyl esters for 12 wk in 45 healthy normotriglyceridemic male volunteers. Significant dose-related increases of the n-3 fatty acids 20:5, 22:5, and 22:6 in plasma phospholipids (p less than 0.0001) were found, corresponding roughly to decreases of the n-6 fatty acids 18:2 and 20:4 (p less than 0.001). Serum triglycerides and HDL3-cholesterol concentrations showed a dose-dependent reduction (p less than 0.05) and HDL2 cholesterol increased (p less than 0.05). Results for 3 and 6 g n-3 fatty acids were similar. No dose-dependent effects were observed in the VLDL-, LDL-, and total HDL-cholesterol subfractions; blood pressure; bleeding time; erythrocyte deformability; or capacity of polymorphonuclear leukocytes to kill Staphylococcus aureus. This study indicates that 3 g n-3 ethyl ester fatty acids appears to be the appropriate supplementation dose in humans, at least regarding lipid-profile changes and the ability to incorporate such fatty acids in the plasma phospholipids.", "author" : [ { "dropping-particle" : "", "family" : "Blonk", "given" : "M C", "non-dropping-particle" : "", "parse-names" : false, "suffix" : "" }, { "dropping-particle" : "", "family" : "Bilo", "given" : "H J", "non-dropping-particle" : "", "parse-names" : false, "suffix" : "" }, { "dropping-particle" : "", "family" : "Nauta", "given" : "J J", "non-dropping-particle" : "", "parse-names" : false, "suffix" : "" }, { "dropping-particle" : "", "family" : "Popp-Snijders", "given" : "C", "non-dropping-particle" : "", "parse-names" : false, "suffix" : "" }, { "dropping-particle" : "", "family" : "Mulder", "given" : "C", "non-dropping-particle" : "", "parse-names" : false, "suffix" : "" }, { "dropping-particle" : "", "family" : "Donker", "given" : "A J", "non-dropping-particle" : "", "parse-names" : false, "suffix" : "" } ], "container-title" : "The American journal of clinical nutrition", "id" : "ITEM-1", "issue" : "1", "issued" : { "date-parts" : [ [ "1990", "7" ] ] }, "page" : "120-7", "title" : "Dose-response effects of fish-oil supplementation in healthy volunteers.", "type" : "article-journal", "volume" : "52" }, "uris" : [ "http://www.mendeley.com/documents/?uuid=b8b2d702-9c2f-4930-b38a-91949102300b" ] } ], "mendeley" : { "formattedCitation" : "&lt;sup&gt;(64)&lt;/sup&gt;", "plainTextFormattedCitation" : "(64)", "previouslyFormattedCitation" : "&lt;sup&gt;(64)&lt;/sup&gt;" }, "properties" : { "noteIndex" : 0 }, "schema" : "https://github.com/citation-style-language/schema/raw/master/csl-citation.json" }</w:instrText>
      </w:r>
      <w:r w:rsidR="00037801">
        <w:fldChar w:fldCharType="separate"/>
      </w:r>
      <w:r w:rsidR="00C40694" w:rsidRPr="00C40694">
        <w:rPr>
          <w:noProof/>
          <w:vertAlign w:val="superscript"/>
        </w:rPr>
        <w:t>(64)</w:t>
      </w:r>
      <w:r w:rsidR="00037801">
        <w:fldChar w:fldCharType="end"/>
      </w:r>
      <w:r w:rsidR="00CC263B" w:rsidRPr="589C4AF9">
        <w:t xml:space="preserve">.  </w:t>
      </w:r>
      <w:r w:rsidR="00EE04A9">
        <w:t xml:space="preserve">A trial among healthy men and women aged 20-80 years, </w:t>
      </w:r>
      <w:r w:rsidR="00C61DFF">
        <w:t xml:space="preserve">who did not consume fish or supplements thereof, </w:t>
      </w:r>
      <w:r w:rsidR="00EE04A9">
        <w:t>showed linear dose-response associations up to 4 portions of oily fish per week (</w:t>
      </w:r>
      <w:r w:rsidR="00C61DFF">
        <w:t>where</w:t>
      </w:r>
      <w:r w:rsidR="00EE04A9">
        <w:t xml:space="preserve"> six capsules totalling 3.27 g of EPA+DHA reflect</w:t>
      </w:r>
      <w:r w:rsidR="00C61DFF">
        <w:t>ed</w:t>
      </w:r>
      <w:r w:rsidR="00EE04A9">
        <w:t xml:space="preserve"> a single portion)</w:t>
      </w:r>
      <w:r w:rsidR="00C61DFF" w:rsidRPr="589C4AF9">
        <w:t xml:space="preserve"> </w:t>
      </w:r>
      <w:r w:rsidR="00C61DFF">
        <w:fldChar w:fldCharType="begin" w:fldLock="1"/>
      </w:r>
      <w:r w:rsidR="009241D8">
        <w:instrText>ADDIN CSL_CITATION { "citationItems" : [ { "id" : "ITEM-1", "itemData" : { "ISBN" : "0002-9165", "ISSN" : "0002-9165", "PMID" : "22932281", "abstract" : "Background: Estimation of the intake of oily fish at a population level is difficult. The measurement of eicosapentaenoic acid (EPA) and docosahexaenoic acid (DHA) in biological samples may provide a useful biomarker of intake. Objective: We identified the most appropriate biomarkers for the assessment of habitual oily fish intake and changes in intake by elucidating the dose- and time-dependent response of EPA and DHA incorporation into various biological samples that represent roles in fatty acid transport, function, and storage. Design: This was a double-blind, randomized, controlled intervention trial in 204men andwomen that lasted 12 mo. EPA andDHA capsules were provided in a manner to reflect sporadic consumption of oily fish (ie, 1, 2, or 4 times/wk). EPA and DHAwere assessed at 9 time points over 12 mo in 9 sample types (red blood cells, mononuclear cells, platelets, buccal cells, adipose tissue, plasma phosphatidylcholine, triglycerides, cholesteryl esters, and nonesterified fatty acids). Results: A dose response (P , 0.05) was observed for EPA and DHA in all pools except for red blood cell EPA (P = 0.057). EPA and DHA measures in plasma phosphatidylcholine and platelets were best for the discrimination between different intakes (P , 0.0001). The rate of incorporation varied between sample types, with the time to maximal incorporation ranging from days (plasma phosphatidylcholine)to months (mononuclear cells) to .12 mo (adipose tissue). Conclusions: Plasma phosphatidylcholine EPA plus DHAwas identified as the most suitable biomarker of acute changes in EPA and DHA intake, and platelet and mononuclear cell EPA plus DHA were the most suitable biomarkers of habitual intake. This trial was registered at Current Controlled Trials (www.controlled-trials.com) as ISRCTN48398526.", "author" : [ { "dropping-particle" : "", "family" : "Browning", "given" : "Lucy M", "non-dropping-particle" : "", "parse-names" : false, "suffix" : "" }, { "dropping-particle" : "", "family" : "Walker", "given" : "Celia G", "non-dropping-particle" : "", "parse-names" : false, "suffix" : "" }, { "dropping-particle" : "", "family" : "Mander", "given" : "Adrian P", "non-dropping-particle" : "", "parse-names" : false, "suffix" : "" }, { "dropping-particle" : "", "family" : "West", "given" : "Annette L", "non-dropping-particle" : "", "parse-names" : false, "suffix" : "" }, { "dropping-particle" : "", "family" : "Madden", "given" : "Jackie", "non-dropping-particle" : "", "parse-names" : false, "suffix" : "" }, { "dropping-particle" : "", "family" : "Gambell", "given" : "Joanna M", "non-dropping-particle" : "", "parse-names" : false, "suffix" : "" }, { "dropping-particle" : "", "family" : "Young", "given" : "Stephen", "non-dropping-particle" : "", "parse-names" : false, "suffix" : "" }, { "dropping-particle" : "", "family" : "Wang", "given" : "Laura", "non-dropping-particle" : "", "parse-names" : false, "suffix" : "" }, { "dropping-particle" : "", "family" : "Jebb", "given" : "Susan A", "non-dropping-particle" : "", "parse-names" : false, "suffix" : "" }, { "dropping-particle" : "", "family" : "Calder", "given" : "Philip C", "non-dropping-particle" : "", "parse-names" : false, "suffix" : "" } ], "container-title" : "American Journal of Clinical Nutrition", "id" : "ITEM-1", "issue" : "4", "issued" : { "date-parts" : [ [ "2012", "10", "1" ] ] }, "note" : "DA - 20120830", "page" : "748-758", "title" : "Incorporation of eicosapentaenoic and docosahexaenoic acids into lipid pools when given as supplements providing doses equivalent to typical intakes of oily fish", "type" : "article-journal", "volume" : "96" }, "uris" : [ "http://www.mendeley.com/documents/?uuid=818d686c-8900-49ee-ae65-f6415ded917a" ] } ], "mendeley" : { "formattedCitation" : "&lt;sup&gt;(65)&lt;/sup&gt;", "plainTextFormattedCitation" : "(65)", "previouslyFormattedCitation" : "&lt;sup&gt;(65)&lt;/sup&gt;" }, "properties" : { "noteIndex" : 0 }, "schema" : "https://github.com/citation-style-language/schema/raw/master/csl-citation.json" }</w:instrText>
      </w:r>
      <w:r w:rsidR="00C61DFF">
        <w:fldChar w:fldCharType="separate"/>
      </w:r>
      <w:r w:rsidR="00C40694" w:rsidRPr="00C40694">
        <w:rPr>
          <w:noProof/>
          <w:vertAlign w:val="superscript"/>
        </w:rPr>
        <w:t>(65)</w:t>
      </w:r>
      <w:r w:rsidR="00C61DFF">
        <w:fldChar w:fldCharType="end"/>
      </w:r>
      <w:r w:rsidR="00EE04A9" w:rsidRPr="589C4AF9">
        <w:t xml:space="preserve">.  </w:t>
      </w:r>
      <w:r w:rsidR="000C09EF">
        <w:t xml:space="preserve">However in a cohort study </w:t>
      </w:r>
      <w:r w:rsidR="00ED7B0D">
        <w:t>where SU+EPA/DHA were excluded</w:t>
      </w:r>
      <w:r w:rsidR="00737F1D">
        <w:t xml:space="preserve"> and fish consumption </w:t>
      </w:r>
      <w:r w:rsidR="008F26F1">
        <w:t>was 0.5-1 serving per week,</w:t>
      </w:r>
      <w:r w:rsidR="00ED7B0D">
        <w:t xml:space="preserve"> a linear association was observed up to 0.5 g/d</w:t>
      </w:r>
      <w:r w:rsidR="00CC263B">
        <w:t xml:space="preserve"> of EPA+DHA intake</w:t>
      </w:r>
      <w:r w:rsidR="00ED7B0D" w:rsidRPr="589C4AF9">
        <w:t xml:space="preserve"> </w:t>
      </w:r>
      <w:r w:rsidR="00ED7B0D">
        <w:fldChar w:fldCharType="begin" w:fldLock="1"/>
      </w:r>
      <w:r w:rsidR="009241D8">
        <w:instrText>ADDIN CSL_CITATION { "citationItems" : [ { "id" : "ITEM-1", "itemData" : { "DOI" : "10.7326/0003-4819-158-7-201304020-00003", "ISBN" : "1539-3704", "ISSN" : "1539-3704", "PMID" : "23546563", "abstract" : "BACKGROUND Long-chain \u03c9-3 polyunsaturated fatty acids (\u03c93-PUFAs), including eicosapentaenoic acid (EPA) (20:5\u03c9-3), docosapentaenoic acid (DPA) (22:5\u03c9-3), and docosahexaenoic acid (DHA) (22:6\u03c9-3), have been shown to reduce cardiovascular risk, but effects on cause-specific and total mortality and potential dose-responses remain controversial. Most observational studies have assessed self-reported dietary intake and most randomized trials have tested effects of adding supplements to dietary intake and evaluated secondary prevention, thus limiting inference for dietary \u03c93-PUFAs or primary prevention. OBJECTIVE To investigate associations of plasma phospholipid EPA, DPA, DHA, and total \u03c93-PUFA levels with total and cause-specific mortality among healthy older adults not receiving supplements. DESIGN Prospective cohort study. SETTING 4 U.S. communities. PARTICIPANTS 2692 U.S. adults aged 74 years (\u00b15 years) without prevalent coronary heart disease (CHD), stroke, or heart failure at baseline. MEASUREMENTS Phospholipid fatty acid levels and cardiovascular risk factors were measured in 1992. Relationships with total and cause-specific mortality and incident fatal or nonfatal CHD and stroke through 2008 were assessed. RESULTS During 30 829 person-years, 1625 deaths (including 570 cardiovascular deaths), 359 fatal and 371 nonfatal CHD events, and 130 fatal and 276 nonfatal strokes occurred. After adjustment, higher plasma levels of \u03c93-PUFA biomarkers were associated with lower total mortality, with extreme-quintile hazard ratios of 0.83 for EPA (95% CI, 0.71 to 0.98; P for trend = 0.005), 0.77 for DPA (CI, 0.66 to 0.90; P for trend = 0.008), 0.80 for DHA (CI, 0.67 to 0.94; P for trend = 0.006), and 0.73 for total \u03c93-PUFAs (CI, 0.61 to 0.86; P for trend &lt; 0.001). Lower risk was largely attributable to fewer cardiovascular than noncardiovascular deaths. Individuals in the highest quintile of phospholipid \u03c93-PUFA level lived an average of 2.22 more years (CI, 0.75 to 3.13 years) after age 65 years than did those in the lowest quintile. LIMITATION Temporal changes in fatty acid levels and misclassification of causes of death may have resulted in underestimated associations, and unmeasured or imperfectly measured covariates may have caused residual confounding. CONCLUSION Higher circulating individual and total \u03c93-PUFA levels are associated with lower total mortality, especially CHD death, in older adults. PRIMARY FUNDING SOURCE National Institutes of Health.", "author" : [ { "dropping-particle" : "", "family" : "Mozaffarian", "given" : "Dariush", "non-dropping-particle" : "", "parse-names" : false, "suffix" : "" }, { "dropping-particle" : "", "family" : "Lemaitre", "given" : "Rozenn N.", "non-dropping-particle" : "", "parse-names" : false, "suffix" : "" }, { "dropping-particle" : "", "family" : "King", "given" : "Irena B.", "non-dropping-particle" : "", "parse-names" : false, "suffix" : "" }, { "dropping-particle" : "", "family" : "Song", "given" : "Xiaoling", "non-dropping-particle" : "", "parse-names" : false, "suffix" : "" }, { "dropping-particle" : "", "family" : "Huang", "given" : "Hongyan", "non-dropping-particle" : "", "parse-names" : false, "suffix" : "" }, { "dropping-particle" : "", "family" : "Sacks", "given" : "Frank M.", "non-dropping-particle" : "", "parse-names" : false, "suffix" : "" }, { "dropping-particle" : "", "family" : "Rimm", "given" : "Eric B.", "non-dropping-particle" : "", "parse-names" : false, "suffix" : "" }, { "dropping-particle" : "", "family" : "Wang", "given" : "Molin", "non-dropping-particle" : "", "parse-names" : false, "suffix" : "" }, { "dropping-particle" : "", "family" : "Siscovick", "given" : "David S.", "non-dropping-particle" : "", "parse-names" : false, "suffix" : "" } ], "container-title" : "Annals of internal medicine", "id" : "ITEM-1", "issue" : "7", "issued" : { "date-parts" : [ [ "2013", "4", "2" ] ] }, "page" : "515-25", "title" : "Plasma phospholipid long-chain \u03c9-3 fatty acids and total and cause-specific mortality in older adults: a cohort study.", "type" : "article-journal", "volume" : "158" }, "uris" : [ "http://www.mendeley.com/documents/?uuid=877a0bad-4a1c-442f-9d49-47292dd5f3d7" ] }, { "id" : "ITEM-2", "itemData" : { "DOI" : "10.1016/j.jacc.2005.03.038", "ISSN" : "0735-1097", "PMID" : "15963403", "abstract" : "OBJECTIVES Our aim was to investigate the relation between fish consumption and incidence of congestive heart failure (CHF). BACKGROUND The incidence and health burden of CHF are rising, particularly in older persons. Although n-3 fatty acids have effects that could favorably influence risk of CHF, the relation between fish intake and CHF incidence is unknown. METHODS Among 4,738 adults age &gt; or =65 years and free of CHF at baseline in 1989-90, usual dietary intake was assessed using a food frequency questionnaire. In a participant subsample, consumption of tuna or other broiled or baked fish, but not fried fish, correlated with plasma phospholipid n-3 fatty acids. Incidence of CHF was prospectively adjudicated. RESULTS During 12 years' follow-up, 955 participants developed CHF. In multivariate-adjusted analyses, tuna/other fish consumption was inversely associated with incident CHF, with 20% lower risk with intake 1 to 2 times/week (hazard ratio [HR] = 0.80, 95% confidence interval [CI] = 0.64 to 0.99), 31% lower risk with intake 3 to 4 times/week (HR = 0.69, 95% CI = 0.52 to 0.91), and 32% lower risk with intake &gt; or =5 times/week (HR = 0.68, 95% CI = 0.45 to 1.03), compared with intake &lt;1 time/month (p trend = 0.009). In similar analyses, fried fish consumption was positively associated with incident CHF (p trend = 0.01). Dietary long-chain n-3 fatty acid intake was also inversely associated with CHF (p trend = 0.009), with 37% lower risk in the highest quintile of intake (HR = 0.73, 95% CI = 0.57 to 0.94) compared with the lowest. CONCLUSIONS Among older adults, consumption of tuna or other broiled or baked fish, but not fried fish, is associated with lower incidence of CHF. Confirmation in additional studies and evaluation of potential mechanisms is warranted.", "author" : [ { "dropping-particle" : "", "family" : "Mozaffarian", "given" : "Dariush", "non-dropping-particle" : "", "parse-names" : false, "suffix" : "" }, { "dropping-particle" : "", "family" : "Bryson", "given" : "Chris L", "non-dropping-particle" : "", "parse-names" : false, "suffix" : "" }, { "dropping-particle" : "", "family" : "Lemaitre", "given" : "Rozenn N", "non-dropping-particle" : "", "parse-names" : false, "suffix" : "" }, { "dropping-particle" : "", "family" : "Burke", "given" : "Gregory L", "non-dropping-particle" : "", "parse-names" : false, "suffix" : "" }, { "dropping-particle" : "", "family" : "Siscovick", "given" : "David S", "non-dropping-particle" : "", "parse-names" : false, "suffix" : "" } ], "container-title" : "Journal of the American College of Cardiology", "id" : "ITEM-2", "issue" : "12", "issued" : { "date-parts" : [ [ "2005", "6", "21" ] ] }, "page" : "2015-21", "title" : "Fish intake and risk of incident heart failure.", "type" : "article-journal", "volume" : "45" }, "uris" : [ "http://www.mendeley.com/documents/?uuid=ce5fa663-ab89-4666-9d1c-6e53a364f835" ] } ], "mendeley" : { "formattedCitation" : "&lt;sup&gt;(66,67)&lt;/sup&gt;", "plainTextFormattedCitation" : "(66,67)", "previouslyFormattedCitation" : "&lt;sup&gt;(66,67)&lt;/sup&gt;" }, "properties" : { "noteIndex" : 0 }, "schema" : "https://github.com/citation-style-language/schema/raw/master/csl-citation.json" }</w:instrText>
      </w:r>
      <w:r w:rsidR="00ED7B0D">
        <w:fldChar w:fldCharType="separate"/>
      </w:r>
      <w:r w:rsidR="00C40694" w:rsidRPr="00C40694">
        <w:rPr>
          <w:noProof/>
          <w:vertAlign w:val="superscript"/>
        </w:rPr>
        <w:t>(66,67)</w:t>
      </w:r>
      <w:r w:rsidR="00ED7B0D">
        <w:fldChar w:fldCharType="end"/>
      </w:r>
      <w:r w:rsidR="00ED7B0D" w:rsidRPr="589C4AF9">
        <w:t>.</w:t>
      </w:r>
      <w:r w:rsidR="00CC263B">
        <w:t xml:space="preserve">  Th</w:t>
      </w:r>
      <w:r w:rsidR="008F26F1">
        <w:t>e</w:t>
      </w:r>
      <w:r w:rsidR="000C09EF">
        <w:t xml:space="preserve"> difference</w:t>
      </w:r>
      <w:r w:rsidR="008F26F1">
        <w:t>s in dose-response between cohorts and trials</w:t>
      </w:r>
      <w:r w:rsidR="00CC263B">
        <w:t xml:space="preserve"> may </w:t>
      </w:r>
      <w:r w:rsidR="000C09EF">
        <w:t>be explained by</w:t>
      </w:r>
      <w:r w:rsidR="00585FAE">
        <w:t xml:space="preserve"> differences in bio-availability of food-sourced and supplement-sourced EPA+DHA due to varying fat content of meals and biochemical form of the supplemented fatty acids </w:t>
      </w:r>
      <w:r w:rsidR="00585FAE">
        <w:fldChar w:fldCharType="begin" w:fldLock="1"/>
      </w:r>
      <w:r w:rsidR="009241D8">
        <w:instrText>ADDIN CSL_CITATION { "citationItems" : [ { "id" : "ITEM-1", "itemData" : { "DOI" : "10.1016/j.plefa.2013.03.010", "ISBN" : "0952-3278", "ISSN" : "09523278", "PMID" : "23676322", "abstract" : "Supplements have reached a prominent role in improving the supply of long-chain omega-3 fatty acids, such as Eicosapentaenoic acid (EPA 20:5. n-3) and Docosahexaenoic acid (DHA 22:6. n-3). Similar to other nutrients, the availability of omega-3 fatty acids is highly variable and determined by numerous factors. However, the question of omega-3 fatty acids bioavailability has long been disregarded, which may have contributed to the neutral or negative results concerning their effects in several studies. This review provides an overview of the influence of chemical binding form (free fatty acids bound in ethylesters, triacylglycerides or phospholipids), matrix effects (capsule ingestion with concomitant intake of food, fat content in food) or galenic form (i.e. microencapsulation, emulsification) on the bioavailability of omega-3 fatty acids. There is a need to systematically investigate the bioavailability of omega-3 fatty acids formulations, which might be a key to designing more effective studies in the future. \u00a9 2013 Elsevier Ltd.", "author" : [ { "dropping-particle" : "", "family" : "Schuchardt", "given" : "Jan Philipp", "non-dropping-particle" : "", "parse-names" : false, "suffix" : "" }, { "dropping-particle" : "", "family" : "Hahn", "given" : "Andreas", "non-dropping-particle" : "", "parse-names" : false, "suffix" : "" } ], "container-title" : "Prostaglandins Leukotrienes and Essential Fatty Acids", "id" : "ITEM-1", "issue" : "1", "issued" : { "date-parts" : [ [ "2013" ] ] }, "page" : "1-8", "publisher" : "Elsevier", "title" : "Bioavailability of long-chain omega-3 fatty acids", "type" : "article-journal", "volume" : "89" }, "uris" : [ "http://www.mendeley.com/documents/?uuid=45ec5cb5-5ca1-4b22-a440-59386bb12706" ] }, { "id" : "ITEM-2", "itemData" : { "DOI" : "10.1016/j.plipres.2014.09.001", "ISBN" : "1873-2194 (Electronic)\\r0163-7827 (Linking)", "ISSN" : "18732194", "PMID" : "25218856", "abstract" : "This review considers the bioavailability of different forms of omega-3 long chain polyunsaturated fatty acids (n-3 LC-PUFA), including ethyl esters (EEs), free fatty acids (FFAs), triacylglycerols (TAGs) and phospholipids (PLs). The retrieved studies include short-term and longer-term studies in humans, and a number of animal studies, which were highly heterogeneous in their design making it difficult to draw substantiated conclusions. The apparent bioavailability (as defined by the authors of these studies) seems to be lowest for the EE form and highest for the FFA form, whilst no conclusion can be made for TAG versus PL from human data. Animal studies suggest that there are substantial differences in the bioavailability of PL form of LC-PUFA compared with the TAG form. This apparent limited knowledge and understanding is fundamentally driven by methodological limitations of these studies. The major limitations with the studies to date include: (between studies) loose definition of the term \"bioavailability\", lack of standardisation of analytical methodology, and differences in which blood compartment was analysed; (within a study) failure to provide equal amounts the n-3 LC-PUFA of the different forms being compared, failure to provide the dose of n-3 LC-PUFA on a body weight basis, failure to measure fatty acid excretion, failure to control the total fat intake, and failure to adequately power the studies from a statistical point of view. This review has laid out a set of suggestions and criteria for conducting future studies on the bioavailability of different chemical forms of n-3 LC-PUFA.", "author" : [ { "dropping-particle" : "", "family" : "Ghasemifard", "given" : "Samaneh", "non-dropping-particle" : "", "parse-names" : false, "suffix" : "" }, { "dropping-particle" : "", "family" : "Turchini", "given" : "Giovanni M.", "non-dropping-particle" : "", "parse-names" : false, "suffix" : "" }, { "dropping-particle" : "", "family" : "Sinclair", "given" : "Andrew J.", "non-dropping-particle" : "", "parse-names" : false, "suffix" : "" } ], "container-title" : "Progress in Lipid Research", "id" : "ITEM-2", "issued" : { "date-parts" : [ [ "2014" ] ] }, "page" : "92-108", "publisher" : "Elsevier Ltd", "title" : "Omega-3 long chain fatty acid \"bioavailability\": A review of evidence and methodological considerations", "type" : "article-journal", "volume" : "56" }, "uris" : [ "http://www.mendeley.com/documents/?uuid=f650481e-bfc5-4618-9ea5-4d0026a3d15f" ] } ], "mendeley" : { "formattedCitation" : "&lt;sup&gt;(68,69)&lt;/sup&gt;", "plainTextFormattedCitation" : "(68,69)", "previouslyFormattedCitation" : "&lt;sup&gt;(68,69)&lt;/sup&gt;" }, "properties" : { "noteIndex" : 0 }, "schema" : "https://github.com/citation-style-language/schema/raw/master/csl-citation.json" }</w:instrText>
      </w:r>
      <w:r w:rsidR="00585FAE">
        <w:fldChar w:fldCharType="separate"/>
      </w:r>
      <w:r w:rsidR="00C40694" w:rsidRPr="00C40694">
        <w:rPr>
          <w:noProof/>
          <w:vertAlign w:val="superscript"/>
        </w:rPr>
        <w:t>(68,69)</w:t>
      </w:r>
      <w:r w:rsidR="00585FAE">
        <w:fldChar w:fldCharType="end"/>
      </w:r>
      <w:r w:rsidR="00AD63ED">
        <w:t xml:space="preserve"> </w:t>
      </w:r>
      <w:r w:rsidR="00585FAE">
        <w:t xml:space="preserve">or </w:t>
      </w:r>
      <w:r w:rsidR="00AD63ED">
        <w:t>the</w:t>
      </w:r>
      <w:r w:rsidR="000C09EF" w:rsidRPr="589C4AF9">
        <w:t xml:space="preserve"> </w:t>
      </w:r>
      <w:r w:rsidR="008F26F1">
        <w:t>frequency of EPA+DHA consumption</w:t>
      </w:r>
      <w:r w:rsidR="00585FAE">
        <w:t>.  S</w:t>
      </w:r>
      <w:r w:rsidR="008F26F1">
        <w:t xml:space="preserve">upplements in trials are advised to be taken daily, whereas fish is an episodically consumed food.  Browning </w:t>
      </w:r>
      <w:r w:rsidR="008F26F1" w:rsidRPr="589C4AF9">
        <w:rPr>
          <w:i/>
          <w:iCs/>
        </w:rPr>
        <w:t>et al</w:t>
      </w:r>
      <w:r w:rsidR="00B83E4C">
        <w:rPr>
          <w:i/>
          <w:iCs/>
        </w:rPr>
        <w:t>.</w:t>
      </w:r>
      <w:r w:rsidR="008F26F1">
        <w:t xml:space="preserve"> observed that similar weekly doses of EPA and DHA</w:t>
      </w:r>
      <w:r w:rsidR="00AD63ED" w:rsidRPr="589C4AF9">
        <w:t xml:space="preserve"> (</w:t>
      </w:r>
      <w:r w:rsidR="00B83B13">
        <w:t>6.54 g/</w:t>
      </w:r>
      <w:proofErr w:type="spellStart"/>
      <w:r w:rsidR="00B83B13">
        <w:t>wk</w:t>
      </w:r>
      <w:proofErr w:type="spellEnd"/>
      <w:r w:rsidR="00B83B13" w:rsidRPr="589C4AF9">
        <w:t xml:space="preserve">, </w:t>
      </w:r>
      <w:r w:rsidR="00B83B13" w:rsidRPr="589C4AF9">
        <w:rPr>
          <w:i/>
          <w:iCs/>
        </w:rPr>
        <w:t>i.e.</w:t>
      </w:r>
      <w:r w:rsidR="00B83B13">
        <w:t xml:space="preserve"> 2 times the SACN recommendation</w:t>
      </w:r>
      <w:r w:rsidR="00AD63ED" w:rsidRPr="589C4AF9">
        <w:t>)</w:t>
      </w:r>
      <w:r w:rsidR="008F26F1">
        <w:t xml:space="preserve">, but taken either </w:t>
      </w:r>
      <w:r w:rsidR="00B83B13">
        <w:t>daily</w:t>
      </w:r>
      <w:r w:rsidR="008F26F1">
        <w:t xml:space="preserve"> or </w:t>
      </w:r>
      <w:r w:rsidR="00B83B13">
        <w:t>dispersed over only 2 days per week, resulted in</w:t>
      </w:r>
      <w:r w:rsidR="00B83B13" w:rsidRPr="589C4AF9">
        <w:t xml:space="preserve"> </w:t>
      </w:r>
      <w:r w:rsidR="00B83B13">
        <w:t>faster and sustained incorporation into plasma,</w:t>
      </w:r>
      <w:r w:rsidR="00B83B13" w:rsidRPr="589C4AF9">
        <w:t xml:space="preserve"> </w:t>
      </w:r>
      <w:r w:rsidR="00B83B13">
        <w:t>platelets</w:t>
      </w:r>
      <w:r w:rsidR="00B83B13" w:rsidRPr="589C4AF9">
        <w:t xml:space="preserve"> </w:t>
      </w:r>
      <w:r w:rsidR="00B83B13">
        <w:t>and red blood cells when supplements</w:t>
      </w:r>
      <w:r w:rsidR="00B83B13" w:rsidRPr="589C4AF9">
        <w:t xml:space="preserve"> </w:t>
      </w:r>
      <w:r w:rsidR="00B83B13" w:rsidRPr="2691C07B">
        <w:t xml:space="preserve">were taken </w:t>
      </w:r>
      <w:r w:rsidR="00B83B13">
        <w:t>daily, although after 12 months no difference was observed in plasma concentration when comparing the weekly</w:t>
      </w:r>
      <w:r w:rsidR="00B83B13" w:rsidRPr="589C4AF9">
        <w:t xml:space="preserve"> </w:t>
      </w:r>
      <w:r w:rsidR="00B83B13" w:rsidRPr="589C4AF9">
        <w:rPr>
          <w:i/>
          <w:iCs/>
        </w:rPr>
        <w:t>vs.</w:t>
      </w:r>
      <w:r w:rsidR="00B83B13">
        <w:t xml:space="preserve"> the daily regime</w:t>
      </w:r>
      <w:r w:rsidR="00B83B13" w:rsidRPr="589C4AF9">
        <w:t xml:space="preserve"> </w:t>
      </w:r>
      <w:r w:rsidR="00CA630F">
        <w:fldChar w:fldCharType="begin" w:fldLock="1"/>
      </w:r>
      <w:r w:rsidR="009241D8">
        <w:instrText>ADDIN CSL_CITATION { "citationItems" : [ { "id" : "ITEM-1", "itemData" : { "DOI" : "10.3945/jn.113.186346", "ISSN" : "1541-6100", "PMID" : "24647395", "abstract" : "Consumption of oily fish is sporadic, whereas controlled intervention studies of n-3 (\u03c9-3) fatty acids usually provide capsules containing eicosapentaenoic acid (EPA) and docosahexaenoic acid (DHA) as a daily dose. This methodologic study explored whether there are differences in the short-, medium-, and long-term incorporation of EPA and DHA into blood plasma and cells with the provision of identical amounts of EPA and DHA, equivalent to 2 oily fish servings per week (or 6.54 g/wk EPA and DHA), either intermittently (i.e., 1 portion twice per week) or continuously (i.e., divided into daily amounts). The study was part of a randomized, double-blind controlled intervention lasting 12 mo, with participants stratified by age and sex. There were 5 intervention groups, 2 of which are reported here: the 2 intermittent portions (2I) and 2 continuous portions (2C) groups. EPA and DHA were measured in plasma phosphatidylcholine, platelets, and blood mononuclear cells (MNCs) at 9 time points. Sixty-five participants completed the study (2I group, n = 30, mean age of 49.2 y; 2C group, n = 35, mean age of 50.6 y). The incorporation pattern over the 12-mo intervention was different between the 2 groups in all samples (P &lt; 0.0001, time \u00d7 treatment interaction). At the end of the 12-mo intervention, the 2C group had higher EPA, DHA, and EPA + DHA in platelets (all P &lt; 0.01) and higher EPA and EPA + DHA in MNCs (both P &lt; 0.05) compared with the 2I group. No significant differences were shown for plasma phosphatidylcholine EPA (P = 0.1), DHA (P = 0.15), EPA + DHA (P = 0.07), or MNC DHA (P = 0.06). In conclusion, the pattern of consumption does affect the incorporation of EPA and DHA into cells used as biomarkers of intake. The differences identified here need to be considered in the design of studies and when extrapolating results from continuous capsule-based intervention studies to dietary guidelines for oily fish consumption. This trial was registered at www.controlled-trials.com as ISRCTN48398526.", "author" : [ { "dropping-particle" : "", "family" : "Browning", "given" : "Lucy M", "non-dropping-particle" : "", "parse-names" : false, "suffix" : "" }, { "dropping-particle" : "", "family" : "Walker", "given" : "Celia G", "non-dropping-particle" : "", "parse-names" : false, "suffix" : "" }, { "dropping-particle" : "", "family" : "Mander", "given" : "Adrian P", "non-dropping-particle" : "", "parse-names" : false, "suffix" : "" }, { "dropping-particle" : "", "family" : "West", "given" : "Annette L", "non-dropping-particle" : "", "parse-names" : false, "suffix" : "" }, { "dropping-particle" : "", "family" : "Gambell", "given" : "Joanna", "non-dropping-particle" : "", "parse-names" : false, "suffix" : "" }, { "dropping-particle" : "", "family" : "Madden", "given" : "Jackie", "non-dropping-particle" : "", "parse-names" : false, "suffix" : "" }, { "dropping-particle" : "", "family" : "Calder", "given" : "Philip C", "non-dropping-particle" : "", "parse-names" : false, "suffix" : "" }, { "dropping-particle" : "", "family" : "Jebb", "given" : "Susan a", "non-dropping-particle" : "", "parse-names" : false, "suffix" : "" } ], "container-title" : "The Journal of nutrition", "id" : "ITEM-1", "issue" : "5", "issued" : { "date-parts" : [ [ "2014", "5" ] ] }, "page" : "667-72", "title" : "Compared with daily, weekly n-3 PUFA intake affects the incorporation of eicosapentaenoic acid and docosahexaenoic acid into platelets and mononuclear cells in humans.", "type" : "article-journal", "volume" : "144" }, "uris" : [ "http://www.mendeley.com/documents/?uuid=6e9e82c5-af28-4f11-bbd9-fb22164735dd" ] } ], "mendeley" : { "formattedCitation" : "&lt;sup&gt;(70)&lt;/sup&gt;", "plainTextFormattedCitation" : "(70)", "previouslyFormattedCitation" : "&lt;sup&gt;(70)&lt;/sup&gt;" }, "properties" : { "noteIndex" : 0 }, "schema" : "https://github.com/citation-style-language/schema/raw/master/csl-citation.json" }</w:instrText>
      </w:r>
      <w:r w:rsidR="00CA630F">
        <w:fldChar w:fldCharType="separate"/>
      </w:r>
      <w:r w:rsidR="00C40694" w:rsidRPr="00C40694">
        <w:rPr>
          <w:noProof/>
          <w:vertAlign w:val="superscript"/>
        </w:rPr>
        <w:t>(70)</w:t>
      </w:r>
      <w:r w:rsidR="00CA630F">
        <w:fldChar w:fldCharType="end"/>
      </w:r>
      <w:r w:rsidR="00B83B13" w:rsidRPr="589C4AF9">
        <w:t>.</w:t>
      </w:r>
    </w:p>
    <w:p w14:paraId="2F528786" w14:textId="1E20033D" w:rsidR="00604AC0" w:rsidRDefault="00203432" w:rsidP="00027D65">
      <w:r w:rsidRPr="00203432">
        <w:t xml:space="preserve">Not just pharmaceutical </w:t>
      </w:r>
      <w:r>
        <w:t xml:space="preserve">supplement </w:t>
      </w:r>
      <w:r w:rsidRPr="00203432">
        <w:t>doses, b</w:t>
      </w:r>
      <w:r>
        <w:t xml:space="preserve">ut also </w:t>
      </w:r>
      <w:r w:rsidR="00500A35">
        <w:t xml:space="preserve">supplement </w:t>
      </w:r>
      <w:r>
        <w:t xml:space="preserve">doses not exceeding the RNI are associated with </w:t>
      </w:r>
      <w:r w:rsidR="00585FAE">
        <w:t xml:space="preserve">circulating </w:t>
      </w:r>
      <w:r>
        <w:t>biomarker concentrations.</w:t>
      </w:r>
      <w:r w:rsidR="008A3EB4">
        <w:t xml:space="preserve">  </w:t>
      </w:r>
      <w:r w:rsidR="00790745">
        <w:t xml:space="preserve">A recent publication from the Lung Cohort Cancer Consortium (LC3) combined cohorts across four continents and analysed biomarkers in a single laboratory </w:t>
      </w:r>
      <w:r w:rsidR="00790745">
        <w:fldChar w:fldCharType="begin" w:fldLock="1"/>
      </w:r>
      <w:r w:rsidR="009241D8">
        <w:instrText>ADDIN CSL_CITATION { "citationItems" : [ { "id" : "ITEM-1", "itemData" : { "DOI" : "10.3945/ajcn.116.151241", "ISBN" : "2612015000", "ISSN" : "0002-9165", "author" : [ { "dropping-particle" : "", "family" : "Midttun", "given" : "\u00d8ivind", "non-dropping-particle" : "", "parse-names" : false, "suffix" : "" }, { "dropping-particle" : "", "family" : "Theofylaktopoulou", "given" : "Despoina", "non-dropping-particle" : "", "parse-names" : false, "suffix" : "" }, { "dropping-particle" : "", "family" : "McCann", "given" : "Adrian", "non-dropping-particle" : "", "parse-names" : false, "suffix" : "" }, { "dropping-particle" : "", "family" : "Fanidi", "given" : "Anouar", "non-dropping-particle" : "", "parse-names" : false, "suffix" : "" }, { "dropping-particle" : "", "family" : "Muller", "given" : "David C", "non-dropping-particle" : "", "parse-names" : false, "suffix" : "" }, { "dropping-particle" : "", "family" : "Meyer", "given" : "Klaus", "non-dropping-particle" : "", "parse-names" : false, "suffix" : "" }, { "dropping-particle" : "", "family" : "Ulvik", "given" : "Arve", "non-dropping-particle" : "", "parse-names" : false, "suffix" : "" }, { "dropping-particle" : "", "family" : "Zheng", "given" : "Wei", "non-dropping-particle" : "", "parse-names" : false, "suffix" : "" }, { "dropping-particle" : "", "family" : "Shu", "given" : "Xiao-ou", "non-dropping-particle" : "", "parse-names" : false, "suffix" : "" }, { "dropping-particle" : "", "family" : "Xiang", "given" : "Yong-bing", "non-dropping-particle" : "", "parse-names" : false, "suffix" : "" }, { "dropping-particle" : "", "family" : "Prentice", "given" : "Ross", "non-dropping-particle" : "", "parse-names" : false, "suffix" : "" }, { "dropping-particle" : "", "family" : "Thomson", "given" : "Cynthia A", "non-dropping-particle" : "", "parse-names" : false, "suffix" : "" }, { "dropping-particle" : "", "family" : "Pettinger", "given" : "Mary", "non-dropping-particle" : "", "parse-names" : false, "suffix" : "" }, { "dropping-particle" : "", "family" : "Giles", "given" : "Graham G", "non-dropping-particle" : "", "parse-names" : false, "suffix" : "" }, { "dropping-particle" : "", "family" : "Hodge", "given" : "Allison", "non-dropping-particle" : "", "parse-names" : false, "suffix" : "" }, { "dropping-particle" : "", "family" : "Cai", "given" : "Qiuyin", "non-dropping-particle" : "", "parse-names" : false, "suffix" : "" }, { "dropping-particle" : "", "family" : "Blot", "given" : "William J", "non-dropping-particle" : "", "parse-names" : false, "suffix" : "" }, { "dropping-particle" : "", "family" : "Wu", "given" : "Jie", "non-dropping-particle" : "", "parse-names" : false, "suffix" : "" }, { "dropping-particle" : "", "family" : "Johansson", "given" : "Mikael", "non-dropping-particle" : "", "parse-names" : false, "suffix" : "" }, { "dropping-particle" : "", "family" : "Hultdin", "given" : "Johan", "non-dropping-particle" : "", "parse-names" : false, "suffix" : "" }, { "dropping-particle" : "", "family" : "Grankvist", "given" : "Kjell", "non-dropping-particle" : "", "parse-names" : false, "suffix" : "" }, { "dropping-particle" : "", "family" : "Stevens", "given" : "Victoria L", "non-dropping-particle" : "", "parse-names" : false, "suffix" : "" }, { "dropping-particle" : "", "family" : "McCullough", "given" : "Marjorie L", "non-dropping-particle" : "", "parse-names" : false, "suffix" : "" }, { "dropping-particle" : "", "family" : "Weinstein", "given" : "Stephanie J", "non-dropping-particle" : "", "parse-names" : false, "suffix" : "" }, { "dropping-particle" : "", "family" : "Albanes", "given" : "Demetrius", "non-dropping-particle" : "", "parse-names" : false, "suffix" : "" }, { "dropping-particle" : "", "family" : "Langhammer", "given" : "Arnulf", "non-dropping-particle" : "", "parse-names" : false, "suffix" : "" }, { "dropping-particle" : "", "family" : "Hveem", "given" : "Kristian", "non-dropping-particle" : "", "parse-names" : false, "suffix" : "" }, { "dropping-particle" : "", "family" : "N\u00e6ss", "given" : "Marit", "non-dropping-particle" : "", "parse-names" : false, "suffix" : "" }, { "dropping-particle" : "", "family" : "Sesso", "given" : "Howard D", "non-dropping-particle" : "", "parse-names" : false, "suffix" : "" }, { "dropping-particle" : "", "family" : "Gaziano", "given" : "J Michael", "non-dropping-particle" : "", "parse-names" : false, "suffix" : "" }, { "dropping-particle" : "", "family" : "Buring", "given" : "Julie E", "non-dropping-particle" : "", "parse-names" : false, "suffix" : "" }, { "dropping-particle" : "", "family" : "Lee", "given" : "I-Min", "non-dropping-particle" : "", "parse-names" : false, "suffix" : "" }, { "dropping-particle" : "", "family" : "Severi", "given" : "Gianluca", "non-dropping-particle" : "", "parse-names" : false, "suffix" : "" }, { "dropping-particle" : "", "family" : "Zhang", "given" : "Xuehong", "non-dropping-particle" : "", "parse-names" : false, "suffix" : "" }, { "dropping-particle" : "", "family" : "Han", "given" : "Jiali", "non-dropping-particle" : "", "parse-names" : false, "suffix" : "" }, { "dropping-particle" : "", "family" : "Stampfer", "given" : "Meir J", "non-dropping-particle" : "", "parse-names" : false, "suffix" : "" }, { "dropping-particle" : "", "family" : "Smith-Warner", "given" : "Stephanie A", "non-dropping-particle" : "", "parse-names" : false, "suffix" : "" }, { "dropping-particle" : "", "family" : "Zeleniuch-Jacquotte", "given" : "Anne", "non-dropping-particle" : "", "parse-names" : false, "suffix" : "" }, { "dropping-particle" : "", "family" : "Marchand", "given" : "Loic", "non-dropping-particle" : "le", "parse-names" : false, "suffix" : "" }, { "dropping-particle" : "", "family" : "Yuan", "given" : "Jian-min", "non-dropping-particle" : "", "parse-names" : false, "suffix" : "" }, { "dropping-particle" : "", "family" : "Butler", "given" : "Lesley M", "non-dropping-particle" : "", "parse-names" : false, "suffix" : "" }, { "dropping-particle" : "", "family" : "Koh", "given" : "Woon-puay", "non-dropping-particle" : "", "parse-names" : false, "suffix" : "" }, { "dropping-particle" : "", "family" : "Wang", "given" : "Renwei", "non-dropping-particle" : "", "parse-names" : false, "suffix" : "" }, { "dropping-particle" : "", "family" : "Gao", "given" : "Yu-tang", "non-dropping-particle" : "", "parse-names" : false, "suffix" : "" }, { "dropping-particle" : "", "family" : "Ericson", "given" : "Ulrika", "non-dropping-particle" : "", "parse-names" : false, "suffix" : "" }, { "dropping-particle" : "", "family" : "Sonestedt", "given" : "Emily", "non-dropping-particle" : "", "parse-names" : false, "suffix" : "" }, { "dropping-particle" : "", "family" : "Ziegler", "given" : "Regina G", "non-dropping-particle" : "", "parse-names" : false, "suffix" : "" }, { "dropping-particle" : "", "family" : "Freedman", "given" : "Neal D", "non-dropping-particle" : "", "parse-names" : false, "suffix" : "" }, { "dropping-particle" : "", "family" : "Visvanathan", "given" : "Kala", "non-dropping-particle" : "", "parse-names" : false, "suffix" : "" }, { "dropping-particle" : "", "family" : "Jones", "given" : "Miranda R", "non-dropping-particle" : "", "parse-names" : false, "suffix" : "" }, { "dropping-particle" : "", "family" : "Relton", "given" : "Caroline", "non-dropping-particle" : "", "parse-names" : false, "suffix" : "" }, { "dropping-particle" : "", "family" : "Brennan", "given" : "Paul", "non-dropping-particle" : "", "parse-names" : false, "suffix" : "" }, { "dropping-particle" : "", "family" : "Johansson", "given" : "Mattias", "non-dropping-particle" : "", "parse-names" : false, "suffix" : "" }, { "dropping-particle" : "", "family" : "Ueland", "given" : "Per M", "non-dropping-particle" : "", "parse-names" : false, "suffix" : "" } ], "container-title" : "The American Journal of Clinical Nutrition", "id" : "ITEM-1", "issue" : "C", "issued" : { "date-parts" : [ [ "2017", "4", "19" ] ] }, "page" : "ajcn151241", "title" : "Circulating concentrations of biomarkers and metabolites related to vitamin status, one-carbon and the kynurenine pathways in US, Nordic, Asian, and Australian populations", "type" : "article-journal" }, "uris" : [ "http://www.mendeley.com/documents/?uuid=97de7bfd-b08c-43a4-8e99-702c3ac62990" ] } ], "mendeley" : { "formattedCitation" : "&lt;sup&gt;(71)&lt;/sup&gt;", "plainTextFormattedCitation" : "(71)", "previouslyFormattedCitation" : "&lt;sup&gt;(71)&lt;/sup&gt;" }, "properties" : { "noteIndex" : 0 }, "schema" : "https://github.com/citation-style-language/schema/raw/master/csl-citation.json" }</w:instrText>
      </w:r>
      <w:r w:rsidR="00790745">
        <w:fldChar w:fldCharType="separate"/>
      </w:r>
      <w:r w:rsidR="00C40694" w:rsidRPr="00C40694">
        <w:rPr>
          <w:noProof/>
          <w:vertAlign w:val="superscript"/>
        </w:rPr>
        <w:t>(71)</w:t>
      </w:r>
      <w:r w:rsidR="00790745">
        <w:fldChar w:fldCharType="end"/>
      </w:r>
      <w:r w:rsidR="00790745">
        <w:t xml:space="preserve">.  It illustrated a wide range in vitamin status across the continents, with higher concentration among MVMM-type </w:t>
      </w:r>
      <w:r w:rsidR="00956C8A">
        <w:t>SUs</w:t>
      </w:r>
      <w:r w:rsidR="00790745">
        <w:t xml:space="preserve">.  </w:t>
      </w:r>
      <w:r w:rsidR="008A3EB4">
        <w:t xml:space="preserve">In the 1994/95 NDNS 65+ sample, vitamin but not mineral intake from supplements, was associated with higher status indices, regardless of the supplement assessment tool used </w:t>
      </w:r>
      <w:r w:rsidR="008A3EB4">
        <w:fldChar w:fldCharType="begin" w:fldLock="1"/>
      </w:r>
      <w:r w:rsidR="00C1396B">
        <w:instrText>ADDIN CSL_CITATION { "citationItems" : [ { "id" : "ITEM-1", "itemData" : { "ISSN" : "0954-3007", "PMID" : "9881887", "abstract" : "Objective: To compare the evidence derived from blood biochemical status indices with the evidence from a questionnaire and from a 4-day weighed dietary record of micronutrient supplement use in the British National Diet and Nutrition Survey (NDNS) of People Aged 65 Years and Over; to resolve some apparent incompatibility between nutrient intake and status estimates, and to recommend an approach towards supplement recording that should improve accuracy. Design: The survey procedures described in the National Diet and Nutrition Survey Report (1998) included a health-and-lifestyle questionnaire, a 4-day weighed diet record, and fasting blood and urine sample for biochemical indices, including a wide range of micronutrients. Setting: Eighty randomly selected postcode sectors from mainland Britain during 1994-1995. Subjects: Of 2060 people interviewed, 1467 provided a blood sample and 1217 provided both a blood sample, and a complete 4-day diet record. About 20% were living in institutions such as nursing homes, and the remainder were living in private households. Results: After assigning the subjects to four categories by the use of dietary supplements (A, those not taking supplements (by questionnaire or by the 4-day record); B, those taking supplements (excluding prescribed ones) by questionnaire only; C, those taking supplements by 4-day record only; and D, those taking supplements by both questionnaire and 4-day record), these categories were then compared with respect to estimated total nutrient intakes and blood biochemical indices. Those in category B had estimated (4-day) nutrient intakes (from foods and supplements) that were indistinguishable from those in category A, but had biochemical indices that indicated significantly higher dietary intakes of several vitamins. Conclusions and recommendation: The 4-day weighed intake record may not have identified all of the subjects who were regularly taking micronutrient supplements in amounts sufficient to improve their biochemical status. Because survey respondents may use supplements irregularly or change their usual patterns of supplement use during a period of intensive diet-recording, it is important to design a dietary instrument that will minimise this potential source of inaccuracy. We therefore recommend that population surveys in which an accurate estimate of micronutrient intakes is required, from supplements as well as from food, should record supplement use for a period longer than 4-days. I\u2026", "author" : [ { "dropping-particle" : "", "family" : "Bates", "given" : "C J", "non-dropping-particle" : "", "parse-names" : false, "suffix" : "" }, { "dropping-particle" : "", "family" : "Prentice", "given" : "A", "non-dropping-particle" : "", "parse-names" : false, "suffix" : "" }, { "dropping-particle" : "", "family" : "Pols", "given" : "J C", "non-dropping-particle" : "van der", "parse-names" : false, "suffix" : "" }, { "dropping-particle" : "", "family" : "Walmsley", "given" : "C", "non-dropping-particle" : "", "parse-names" : false, "suffix" : "" }, { "dropping-particle" : "", "family" : "Pentieva", "given" : "K D", "non-dropping-particle" : "", "parse-names" : false, "suffix" : "" }, { "dropping-particle" : "", "family" : "Finch", "given" : "S", "non-dropping-particle" : "", "parse-names" : false, "suffix" : "" }, { "dropping-particle" : "", "family" : "Smithers", "given" : "G", "non-dropping-particle" : "", "parse-names" : false, "suffix" : "" }, { "dropping-particle" : "", "family" : "Clarke", "given" : "P C", "non-dropping-particle" : "", "parse-names" : false, "suffix" : "" } ], "container-title" : "Eur J Clin Nutr", "id" : "ITEM-1", "issue" : "12", "issued" : { "date-parts" : [ [ "1998", "12" ] ] }, "page" : "917-23", "title" : "Estimation of the use of dietary supplements in the National Diet and Nutrition Survey: people aged 65 years and Over. An observed paradox and a recommendation.", "type" : "article-journal", "volume" : "52" }, "uris" : [ "http://www.mendeley.com/documents/?uuid=5883d321-58c4-4534-bc1e-361ff6cf8e42" ] } ], "mendeley" : { "formattedCitation" : "&lt;sup&gt;(18)&lt;/sup&gt;", "plainTextFormattedCitation" : "(18)", "previouslyFormattedCitation" : "&lt;sup&gt;(18)&lt;/sup&gt;" }, "properties" : { "noteIndex" : 0 }, "schema" : "https://github.com/citation-style-language/schema/raw/master/csl-citation.json" }</w:instrText>
      </w:r>
      <w:r w:rsidR="008A3EB4">
        <w:fldChar w:fldCharType="separate"/>
      </w:r>
      <w:r w:rsidR="008A3EB4" w:rsidRPr="009638D1">
        <w:rPr>
          <w:noProof/>
          <w:vertAlign w:val="superscript"/>
        </w:rPr>
        <w:t>(18)</w:t>
      </w:r>
      <w:r w:rsidR="008A3EB4">
        <w:fldChar w:fldCharType="end"/>
      </w:r>
      <w:r w:rsidR="008A3EB4">
        <w:t xml:space="preserve">.  </w:t>
      </w:r>
      <w:r w:rsidR="006717B4" w:rsidRPr="72121007">
        <w:t xml:space="preserve"> </w:t>
      </w:r>
      <w:r>
        <w:t xml:space="preserve"> </w:t>
      </w:r>
      <w:r w:rsidR="008A3EB4">
        <w:t>I</w:t>
      </w:r>
      <w:r>
        <w:t xml:space="preserve">n the UK, </w:t>
      </w:r>
      <w:r w:rsidR="006717B4">
        <w:t>v</w:t>
      </w:r>
      <w:r>
        <w:t>itamin D is mostly contained in</w:t>
      </w:r>
      <w:r w:rsidR="007C5758" w:rsidRPr="72121007">
        <w:t xml:space="preserve"> </w:t>
      </w:r>
      <w:r>
        <w:t xml:space="preserve">cod liver/fish oil supplements as well as multivitamin and </w:t>
      </w:r>
      <w:r w:rsidR="008A3EB4">
        <w:t>MVMM</w:t>
      </w:r>
      <w:r>
        <w:t xml:space="preserve"> supplements.  Here, the doses do not tend to exceed 5 mcg/d and </w:t>
      </w:r>
      <w:r w:rsidR="00CE4120">
        <w:t xml:space="preserve">still 10 </w:t>
      </w:r>
      <w:proofErr w:type="spellStart"/>
      <w:r w:rsidR="00CE4120">
        <w:t>nmol</w:t>
      </w:r>
      <w:proofErr w:type="spellEnd"/>
      <w:r w:rsidR="00CE4120">
        <w:t xml:space="preserve">/L higher 25(OH)D concentrations </w:t>
      </w:r>
      <w:r w:rsidR="008E7617">
        <w:t>we</w:t>
      </w:r>
      <w:r w:rsidR="00CE4120">
        <w:t xml:space="preserve">re observed among </w:t>
      </w:r>
      <w:r w:rsidR="00E01726">
        <w:t xml:space="preserve">participants in the </w:t>
      </w:r>
      <w:r w:rsidR="00E10DDC">
        <w:t>1958</w:t>
      </w:r>
      <w:r w:rsidR="00E01726">
        <w:t xml:space="preserve"> Birth Cohort </w:t>
      </w:r>
      <w:r w:rsidR="00CE4120">
        <w:t>who t</w:t>
      </w:r>
      <w:r w:rsidR="00E01726">
        <w:t>ook</w:t>
      </w:r>
      <w:r w:rsidR="00CE4120">
        <w:t xml:space="preserve"> such supplements</w:t>
      </w:r>
      <w:r w:rsidR="00E01726" w:rsidRPr="72121007">
        <w:t xml:space="preserve"> </w:t>
      </w:r>
      <w:r w:rsidR="00E01726">
        <w:fldChar w:fldCharType="begin" w:fldLock="1"/>
      </w:r>
      <w:r w:rsidR="009241D8">
        <w:instrText>ADDIN CSL_CITATION { "citationItems" : [ { "id" : "ITEM-1", "itemData" : { "ISSN" : "0002-9165", "PMID" : "17344510", "abstract" : "BACKGROUND Increased awareness of the importance of vitamin D to health has led to concerns about the prevalence of hypovitaminosis D in many parts of the world. OBJECTIVES We aimed to determine the prevalence of hypovitaminosis D in the white British population and to evaluate the influence of key dietary and lifestyle risk factors. DESIGN We measured 25-hydroxyvitamin D [25(OH)D] in 7437 whites from the 1958 British birth cohort when they were 45 y old. RESULTS The prevalence of hypovitaminosis D was highest during the winter and spring, when 25(OH)D concentrations &lt;25, &lt;40, and &lt;75 nmol/L were found in 15.5%, 46.6%, and 87.1% of participants, respectively; the proportions were 3.2%, 15.4%, and 60.9%, respectively, during the summer and fall. Men had higher 25(OH)D concentrations, on average, than did women during the summer and fall but not during the winter and spring (P = 0.006, likelihood ratio test for interaction). 25(OH)D concentrations were significantly higher in participants who used vitamin D supplements or oily fish than in those who did not (P &lt; 0.0001 for both) but were not significantly higher in participants who consumed vitamin D-fortified margarine than in those who did not (P = 0.10). 25(OH)D concentrations &lt;40 nmol/L were twice as likely in the obese as in the nonobese and in Scottish participants as in those from other parts of Great Britain (ie, England and Wales) (P &lt; 0.0001 for both). CONCLUSION Prevalence of hypovitaminosis D in the general population was alarmingly high during the winter and spring, which warrants action at a population level rather than at a risk group level.", "author" : [ { "dropping-particle" : "", "family" : "Hypp\u00f6nen", "given" : "Elina", "non-dropping-particle" : "", "parse-names" : false, "suffix" : "" }, { "dropping-particle" : "", "family" : "Power", "given" : "Chris", "non-dropping-particle" : "", "parse-names" : false, "suffix" : "" } ], "container-title" : "The American journal of clinical nutrition", "id" : "ITEM-1", "issue" : "3", "issued" : { "date-parts" : [ [ "2007", "3" ] ] }, "note" : "DA - 20070308\n\n1406-16-2 (Vitamin D)\nSB - AIM\nSB - IM", "page" : "860-8", "title" : "Hypovitaminosis D in British adults at age 45 y: nationwide cohort study of dietary and lifestyle predictors.", "type" : "article-journal", "volume" : "85" }, "uris" : [ "http://www.mendeley.com/documents/?uuid=0b12b089-8266-4587-925a-8189a9b4bb5f" ] } ], "mendeley" : { "formattedCitation" : "&lt;sup&gt;(72)&lt;/sup&gt;", "plainTextFormattedCitation" : "(72)", "previouslyFormattedCitation" : "&lt;sup&gt;(72)&lt;/sup&gt;" }, "properties" : { "noteIndex" : 0 }, "schema" : "https://github.com/citation-style-language/schema/raw/master/csl-citation.json" }</w:instrText>
      </w:r>
      <w:r w:rsidR="00E01726">
        <w:fldChar w:fldCharType="separate"/>
      </w:r>
      <w:r w:rsidR="00C40694" w:rsidRPr="00C40694">
        <w:rPr>
          <w:noProof/>
          <w:vertAlign w:val="superscript"/>
        </w:rPr>
        <w:t>(72)</w:t>
      </w:r>
      <w:r w:rsidR="00E01726">
        <w:fldChar w:fldCharType="end"/>
      </w:r>
      <w:r w:rsidR="00E01726">
        <w:t>, lowering their risk of a 25(OH)D concentration</w:t>
      </w:r>
      <w:r w:rsidR="000302F1">
        <w:t xml:space="preserve"> being</w:t>
      </w:r>
      <w:r w:rsidR="00E01726">
        <w:t xml:space="preserve"> &lt;40 </w:t>
      </w:r>
      <w:proofErr w:type="spellStart"/>
      <w:r w:rsidR="00E01726">
        <w:t>nmol</w:t>
      </w:r>
      <w:proofErr w:type="spellEnd"/>
      <w:r w:rsidR="00E01726">
        <w:t>/L by 64% (95%CI: 56-70%).</w:t>
      </w:r>
    </w:p>
    <w:p w14:paraId="46C59EBD" w14:textId="77777777" w:rsidR="00CB3681" w:rsidRDefault="7AF5BD86" w:rsidP="00CB3681">
      <w:pPr>
        <w:pStyle w:val="Heading2"/>
      </w:pPr>
      <w:r>
        <w:t>Conclusion - biomarker</w:t>
      </w:r>
    </w:p>
    <w:p w14:paraId="4B302476" w14:textId="2308B0CE" w:rsidR="00D05FDE" w:rsidRPr="00D05FDE" w:rsidRDefault="4F1696A8" w:rsidP="00CB3681">
      <w:r>
        <w:t>The supplemented nutrients are capable of raising plasma concentrations of the respective nutrients</w:t>
      </w:r>
      <w:r w:rsidR="0059241E">
        <w:t>, particularly vitamins</w:t>
      </w:r>
      <w:r w:rsidR="00956C8A">
        <w:t xml:space="preserve"> and fatty acids</w:t>
      </w:r>
      <w:r>
        <w:t xml:space="preserve">.  Supplements at pharmaceutical doses might obtain high correlations between intakes and biomarker; however, the dose-response associations indicate </w:t>
      </w:r>
      <w:r w:rsidR="005B02B6" w:rsidRPr="00ED6425">
        <w:lastRenderedPageBreak/>
        <w:t>saturation</w:t>
      </w:r>
      <w:r w:rsidRPr="00ED6425">
        <w:t>.  A biom</w:t>
      </w:r>
      <w:r>
        <w:t>arker may be influenced by many other factors (</w:t>
      </w:r>
      <w:r w:rsidR="00FF3A57">
        <w:t xml:space="preserve">see for example </w:t>
      </w:r>
      <w:proofErr w:type="spellStart"/>
      <w:r w:rsidR="00FF3A57">
        <w:t>Proc</w:t>
      </w:r>
      <w:proofErr w:type="spellEnd"/>
      <w:r w:rsidR="00FF3A57">
        <w:t xml:space="preserve"> Nut </w:t>
      </w:r>
      <w:proofErr w:type="spellStart"/>
      <w:r w:rsidR="00FF3A57">
        <w:t>Soc</w:t>
      </w:r>
      <w:proofErr w:type="spellEnd"/>
      <w:r w:rsidR="00FF3A57">
        <w:t xml:space="preserve"> McMillan</w:t>
      </w:r>
      <w:r>
        <w:t>); moreover, it does not automatically mean that higher circulating concentrations indicate better health or functionality,</w:t>
      </w:r>
      <w:r w:rsidR="00FF3A57">
        <w:t xml:space="preserve"> since circulating biomarkers might not reflect storage or the effectiveness of the nutrient in an organ.</w:t>
      </w:r>
    </w:p>
    <w:p w14:paraId="26B50DD5" w14:textId="77777777" w:rsidR="007D2DEC" w:rsidRDefault="7AF5BD86" w:rsidP="007D2DEC">
      <w:pPr>
        <w:pStyle w:val="Heading1"/>
      </w:pPr>
      <w:r>
        <w:t>Health outcomes</w:t>
      </w:r>
    </w:p>
    <w:p w14:paraId="152C64F8" w14:textId="403E66FE" w:rsidR="001B1796" w:rsidRDefault="004F1B88" w:rsidP="00751773">
      <w:r w:rsidRPr="004F1B88">
        <w:t>In</w:t>
      </w:r>
      <w:r>
        <w:t xml:space="preserve"> this last section, the balance between food and supplements is discussed in light of </w:t>
      </w:r>
      <w:r w:rsidR="00047F38">
        <w:t xml:space="preserve">positive and negative </w:t>
      </w:r>
      <w:r>
        <w:t>health outcomes.</w:t>
      </w:r>
      <w:r w:rsidR="00925D69" w:rsidRPr="589C4AF9">
        <w:t xml:space="preserve">  </w:t>
      </w:r>
      <w:r w:rsidR="00224974">
        <w:t xml:space="preserve">Evidence for causality of a putative beneficial </w:t>
      </w:r>
      <w:r w:rsidR="002F0E49">
        <w:t>nutrient</w:t>
      </w:r>
      <w:r w:rsidR="00224974">
        <w:t xml:space="preserve"> is generally taken from (double-blinded, placebo-controlled) trials</w:t>
      </w:r>
      <w:r w:rsidR="00435083">
        <w:t xml:space="preserve">; however, evidence with regards to side effects, contamination or toxicity are mostly gathered from extensive risk assessment using </w:t>
      </w:r>
      <w:r w:rsidR="00D94CC0">
        <w:t xml:space="preserve">animal models, </w:t>
      </w:r>
      <w:r w:rsidR="00435083">
        <w:t>observational studies and case reports or sensitivity analysis from trial data.</w:t>
      </w:r>
      <w:r w:rsidR="00047F38">
        <w:t xml:space="preserve">  I will first contrast these study designs, followed by a summary of systematic reviews</w:t>
      </w:r>
      <w:r w:rsidR="00FD390B">
        <w:t xml:space="preserve"> </w:t>
      </w:r>
      <w:r w:rsidR="00F34A58">
        <w:t>evaluating the role of</w:t>
      </w:r>
      <w:r w:rsidR="00FD390B">
        <w:t xml:space="preserve"> dietary supplements and </w:t>
      </w:r>
      <w:r w:rsidR="00047F38">
        <w:t xml:space="preserve">emphasizing the differences between foods </w:t>
      </w:r>
      <w:r w:rsidR="00047F38" w:rsidRPr="00047F38">
        <w:rPr>
          <w:i/>
        </w:rPr>
        <w:t>vs</w:t>
      </w:r>
      <w:r w:rsidR="00047F38">
        <w:t>. supplements.</w:t>
      </w:r>
    </w:p>
    <w:p w14:paraId="2B5CC0DE" w14:textId="6223C273" w:rsidR="00751773" w:rsidRDefault="00435083" w:rsidP="00751773">
      <w:r w:rsidRPr="0CB78F84">
        <w:t xml:space="preserve">Trials and </w:t>
      </w:r>
      <w:r w:rsidR="00AB25AD">
        <w:t>observational studies have advantages and disadvantages</w:t>
      </w:r>
      <w:r w:rsidR="00AB25AD" w:rsidRPr="589C4AF9">
        <w:t xml:space="preserve"> </w:t>
      </w:r>
      <w:r w:rsidR="00AB25AD">
        <w:t xml:space="preserve">when studying associations between supplement use and </w:t>
      </w:r>
      <w:r w:rsidR="007D04A6">
        <w:t>health/</w:t>
      </w:r>
      <w:r w:rsidR="00AB25AD">
        <w:t>disease</w:t>
      </w:r>
      <w:r w:rsidR="00FF3A57">
        <w:t xml:space="preserve"> </w:t>
      </w:r>
      <w:r w:rsidR="00FF3A57" w:rsidRPr="589C4AF9">
        <w:t>(</w:t>
      </w:r>
      <w:r w:rsidR="00D34A30">
        <w:t>Table 3</w:t>
      </w:r>
      <w:r w:rsidR="00FF3A57" w:rsidRPr="589C4AF9">
        <w:t>)</w:t>
      </w:r>
      <w:r w:rsidR="00AB25AD">
        <w:t>.</w:t>
      </w:r>
      <w:r w:rsidR="00AB25AD" w:rsidRPr="4F1696A8">
        <w:t xml:space="preserve"> </w:t>
      </w:r>
      <w:r w:rsidR="005B5E2A">
        <w:t xml:space="preserve"> </w:t>
      </w:r>
      <w:r w:rsidR="00AB25AD">
        <w:t>Trials</w:t>
      </w:r>
      <w:r w:rsidR="00751773">
        <w:t xml:space="preserve"> are limited in the number of exposures that can be tested in a single experiment </w:t>
      </w:r>
      <w:r w:rsidR="00751773">
        <w:fldChar w:fldCharType="begin" w:fldLock="1"/>
      </w:r>
      <w:r w:rsidR="009241D8">
        <w:instrText>ADDIN CSL_CITATION { "citationItems" : [ { "id" : "ITEM-1", "itemData" : { "ISSN" : "0957-5243", "PMID" : "9328202", "abstract" : "This report reviews published epidemiologic research on the associations of vitamin and mineral supplementation with cancer risk. Although the literature on nutrition and cancer is vast, few reports to date have addressed supplemental nutrients directly (seven clinical trials, 16 cohort, and 36 case-control studies). These studies offer insight into effects of nutrients that are distinguishable from effects of other biologically active compounds in foods. Randomized clinical trials have not shown significant protective effects of beta-carotene, but have found protective effects of: alpha-tocopherol against prostate cancer; mixtures of retinol/zinc and beta-carotene/alpha-tocopherol/selenium against stomach cancer; and selenium against total, lung, and prostate cancers. Cohort studies provide little evidence that vitamin supplements are associated with cancer. Case-control studies have reported an inverse association between bladder cancer and vitamin C; oral/pharyngeal cancer and several supplemental vitamins; and several cancers and vitamin E. A randomized clinical trial, a cohort study, and a case-control study have all found inverse associations between colon cancer and vitamin E. Overall, there is modest evidence for protective effects of nutrients from supplements against several cancers. Future studies of supplement use and cancer appear warranted; however, methodologic problems that impair ability to assess supplement use and statistical modeling of the relation between cancer risk and supplement use need attention.", "author" : [ { "dropping-particle" : "", "family" : "Patterson", "given" : "R E", "non-dropping-particle" : "", "parse-names" : false, "suffix" : "" }, { "dropping-particle" : "", "family" : "White", "given" : "E", "non-dropping-particle" : "", "parse-names" : false, "suffix" : "" }, { "dropping-particle" : "", "family" : "Kristal", "given" : "A R", "non-dropping-particle" : "", "parse-names" : false, "suffix" : "" }, { "dropping-particle" : "", "family" : "Neuhouser", "given" : "M L", "non-dropping-particle" : "", "parse-names" : false, "suffix" : "" }, { "dropping-particle" : "", "family" : "Potter", "given" : "J D", "non-dropping-particle" : "", "parse-names" : false, "suffix" : "" } ], "container-title" : "Cancer causes &amp; control : CCC", "id" : "ITEM-1", "issue" : "5", "issued" : { "date-parts" : [ [ "1997", "9" ] ] }, "note" : "Times Cited: 93\nReview\nEnglish\nPatterson, R. E\nFRED HUTCHINSON CANC RES CTR,CANC PREVENT RES PROGRAM,1100 FAIRVIEW AVE N,MP 702,POB 19024,SEATTLE,WA 98109\nCited References Count: 89\nXX825\nRAPID SCIENCE PUBLISHERS\n2-6 BOUNDARY ROW, LONDON, ENGLAND SE1 8NH\nLONDON", "page" : "786-802", "title" : "Vitamin supplements and cancer risk: the epidemiologic evidence.", "type" : "article-journal", "volume" : "8" }, "uris" : [ "http://www.mendeley.com/documents/?uuid=61a333a4-8f46-4321-9aa0-7de350f0ed18" ] }, { "id" : "ITEM-2", "itemData" : { "ISSN" : "0002-9262", "abstract" : "Vitamin and mineral supplements are among the most commonly used drugs in the United States, despite limited evidence on their benefits or risks. This paper describes the design, implementation, and participant characteristics of the VITamins And Lifestyle (VITAL) Study, a cohort study of the associations of supplement use with cancer risk. A total of 77,738 men and women in western Washington State, aged 50-76 years, entered the study in 2000-2002 by completing a detailed questionnaire on supplement use, diet, and other cancer risk factors, and 70% provided DNA through self-collected buccal cell specimens. Supplement users were targeted in recruitment: 66% used multivitamins, 46% used individual vitamin C, 47% used individual vitamin E, and 46% used calcium, typically for 5-8 of the past 10 years. Analyses to identify confounding factors, the main study limitation, showed that regular nonsteroidal anti-inflammatory drug use, intake of fruits and vegetables, and recreational physical activity were strongly associated with supplement use (p &lt; 0.001). The authors describe a follow-up system in which cancers, deaths, and changes of residence are tracked efficiently, primarily through linkage to public databases. These methods may be useful to other researchers implementing a large cohort study or designing a passive follow-up system", "author" : [ { "dropping-particle" : "", "family" : "White", "given" : "E", "non-dropping-particle" : "", "parse-names" : false, "suffix" : "" }, { "dropping-particle" : "", "family" : "Patterson", "given" : "R E", "non-dropping-particle" : "", "parse-names" : false, "suffix" : "" }, { "dropping-particle" : "", "family" : "Kristal", "given" : "A R", "non-dropping-particle" : "", "parse-names" : false, "suffix" : "" }, { "dropping-particle" : "", "family" : "Thornquist", "given" : "M", "non-dropping-particle" : "", "parse-names" : false, "suffix" : "" }, { "dropping-particle" : "", "family" : "King", "given" : "I", "non-dropping-particle" : "", "parse-names" : false, "suffix" : "" }, { "dropping-particle" : "", "family" : "Shattuck", "given" : "A L", "non-dropping-particle" : "", "parse-names" : false, "suffix" : "" }, { "dropping-particle" : "", "family" : "Evans", "given" : "I", "non-dropping-particle" : "", "parse-names" : false, "suffix" : "" }, { "dropping-particle" : "", "family" : "Satia-Abouta", "given" : "J", "non-dropping-particle" : "", "parse-names" : false, "suffix" : "" }, { "dropping-particle" : "", "family" : "Littman", "given" : "A J", "non-dropping-particle" : "", "parse-names" : false, "suffix" : "" }, { "dropping-particle" : "", "family" : "Potter", "given" : "J D", "non-dropping-particle" : "", "parse-names" : false, "suffix" : "" } ], "container-title" : "Am J Epidemiol", "id" : "ITEM-2", "issue" : "1", "issued" : { "date-parts" : [ [ "2004", "1", "1" ] ] }, "page" : "83-93", "title" : "VITamins And Lifestyle cohort study: Study design and characteristics of supplement users", "type" : "article-journal", "volume" : "159" }, "uris" : [ "http://www.mendeley.com/documents/?uuid=f7dcbc4a-0da6-4887-98af-e3e7dfd9bb1c" ] }, { "id" : "ITEM-3", "itemData" : { "ISSN" : "0899-9007", "PMID" : "10906556", "author" : [ { "dropping-particle" : "", "family" : "Byers", "given" : "T E", "non-dropping-particle" : "", "parse-names" : false, "suffix" : "" } ], "container-title" : "Nutrition (Burbank, Los Angeles County, Calif.)", "id" : "ITEM-3", "issue" : "7-8", "issued" : { "date-parts" : [ [ "2000", "7" ] ] }, "note" : "DA - 20000824\n\n0 (Dietary Fats)\nSB - IM", "page" : "561-3", "title" : "Nutrition and cancer: ten lessons from the 20th century.", "type" : "article-journal", "volume" : "16" }, "uris" : [ "http://www.mendeley.com/documents/?uuid=7446cb14-4390-4eb9-8336-5018c1183af0" ] } ], "mendeley" : { "formattedCitation" : "&lt;sup&gt;(23,73,74)&lt;/sup&gt;", "plainTextFormattedCitation" : "(23,73,74)", "previouslyFormattedCitation" : "&lt;sup&gt;(23,73,74)&lt;/sup&gt;" }, "properties" : { "noteIndex" : 0 }, "schema" : "https://github.com/citation-style-language/schema/raw/master/csl-citation.json" }</w:instrText>
      </w:r>
      <w:r w:rsidR="00751773">
        <w:fldChar w:fldCharType="separate"/>
      </w:r>
      <w:r w:rsidR="00C40694" w:rsidRPr="00C40694">
        <w:rPr>
          <w:noProof/>
          <w:vertAlign w:val="superscript"/>
        </w:rPr>
        <w:t>(23,73,74)</w:t>
      </w:r>
      <w:r w:rsidR="00751773">
        <w:fldChar w:fldCharType="end"/>
      </w:r>
      <w:r w:rsidR="00751773">
        <w:t xml:space="preserve">.  The conclusion of dietary supplement efficacy in relation to the outcome is hence limited to the </w:t>
      </w:r>
      <w:r w:rsidR="00DC62C8">
        <w:t>number of compounds tested</w:t>
      </w:r>
      <w:r w:rsidR="00751773">
        <w:t>, the dose tested (</w:t>
      </w:r>
      <w:r w:rsidR="007D04A6">
        <w:t>potentially</w:t>
      </w:r>
      <w:r w:rsidR="00751773">
        <w:t xml:space="preserve"> higher than </w:t>
      </w:r>
      <w:r w:rsidR="007D04A6">
        <w:t>a commonly available</w:t>
      </w:r>
      <w:r w:rsidR="00751773">
        <w:t xml:space="preserve"> dose) and the outcome tested.  Moreover, particularly when the outcome is cancer, the follow-up in trials </w:t>
      </w:r>
      <w:r w:rsidR="001B1796">
        <w:t>tends to be</w:t>
      </w:r>
      <w:r w:rsidR="00751773">
        <w:t xml:space="preserve"> too short since the disease might take 10-20 years to develop </w:t>
      </w:r>
      <w:r w:rsidR="00751773">
        <w:fldChar w:fldCharType="begin" w:fldLock="1"/>
      </w:r>
      <w:r w:rsidR="009241D8">
        <w:instrText>ADDIN CSL_CITATION { "citationItems" : [ { "id" : "ITEM-1", "itemData" : { "ISSN" : "1539-3704", "PMID" : "16880453", "abstract" : "BACKGROUND: Multivitamin and mineral supplements are the most commonly used dietary supplements in the United States. PURPOSE: To synthesize studies on the efficacy and safety of multivitamin/mineral supplement use in primary prevention of cancer and chronic disease in the general population. DATA SOURCES: English-language literature search of the MEDLINE, EMBASE, and Cochrane databases through February 2006 and hand-searching of pertinent journals and articles. STUDY SELECTION: Randomized, controlled trials in adults were reviewed to assess efficacy, and randomized, controlled trials and observational studies in adults or children were reviewed to assess safety. DATA EXTRACTION: Paired reviewers extracted data and independently assessed study quality. DATA SYNTHESIS: 12 articles from 5 randomized, controlled trials that assessed efficacy and 8 articles from 4 randomized, controlled trials and 3 case reports on adverse effects were identified. Study quality was rated fair for the studies on cancer, cardiovascular disease, cataracts, or age-related macular degeneration and poor for the studies on hypertension. In a poorly nourished Chinese population, combined supplementation with beta-carotene, alpha-tocopherol, and selenium reduced the incidence of and mortality rate from gastric cancer and the overall mortality rate from cancer by 13% to 21%. In a French trial, combined supplementation with vitamin C, vitamin E, beta-carotene, selenium, and zinc reduced the rate of cancer by 31% in men but not in women. Multivitamin and mineral supplements had no significant effect on cardiovascular disease or cataracts, except that combined beta-carotene, selenium, alpha-tocopherol, retinol, and zinc supplementation reduced the mortality rate from stroke by 29% in the Linxian study and that a combination of 7 vitamins and minerals stabilized visual acuity loss in a small trial. Combined zinc and antioxidants slowed the progression of advanced age-related macular degeneration in high-risk persons. No consistent adverse effects of multivitamin and mineral supplements were evident. LIMITATIONS: Only randomized, controlled trials were considered for efficacy assessment. Special nutritional needs, such as use of folic acid by pregnant women to prevent birth defects, were not addressed. Findings may not apply to use of commercial multivitamin supplements by the general U.S. population. CONCLUSIONS: Evidence is insufficient to prove the presence or absence of benefits from \u2026", "author" : [ { "dropping-particle" : "", "family" : "Huang", "given" : "Han-yao", "non-dropping-particle" : "", "parse-names" : false, "suffix" : "" }, { "dropping-particle" : "", "family" : "Caballero", "given" : "Benjamin", "non-dropping-particle" : "", "parse-names" : false, "suffix" : "" }, { "dropping-particle" : "", "family" : "Chang", "given" : "Stephanie", "non-dropping-particle" : "", "parse-names" : false, "suffix" : "" }, { "dropping-particle" : "", "family" : "Alberg", "given" : "Anthony J", "non-dropping-particle" : "", "parse-names" : false, "suffix" : "" }, { "dropping-particle" : "", "family" : "Semba", "given" : "Richard D", "non-dropping-particle" : "", "parse-names" : false, "suffix" : "" }, { "dropping-particle" : "", "family" : "Schneyer", "given" : "Christine R", "non-dropping-particle" : "", "parse-names" : false, "suffix" : "" }, { "dropping-particle" : "", "family" : "Wilson", "given" : "Renee F", "non-dropping-particle" : "", "parse-names" : false, "suffix" : "" }, { "dropping-particle" : "", "family" : "Cheng", "given" : "Ting-Yuan", "non-dropping-particle" : "", "parse-names" : false, "suffix" : "" }, { "dropping-particle" : "", "family" : "Vassy", "given" : "Jason", "non-dropping-particle" : "", "parse-names" : false, "suffix" : "" }, { "dropping-particle" : "", "family" : "Prokopowicz", "given" : "Gregory", "non-dropping-particle" : "", "parse-names" : false, "suffix" : "" }, { "dropping-particle" : "", "family" : "Barnes", "given" : "George J", "non-dropping-particle" : "", "parse-names" : false, "suffix" : "" }, { "dropping-particle" : "", "family" : "Bass", "given" : "Eric B", "non-dropping-particle" : "", "parse-names" : false, "suffix" : "" } ], "container-title" : "Annals of internal medicine", "id" : "ITEM-1", "issue" : "5", "issued" : { "date-parts" : [ [ "2006", "9", "5" ] ] }, "page" : "372-85", "title" : "The efficacy and safety of multivitamin and mineral supplement use to prevent cancer and chronic disease in adults: a systematic review for a National Institutes of Health state-of-the-science conference.", "type" : "article-journal", "volume" : "145" }, "uris" : [ "http://www.mendeley.com/documents/?uuid=5ff1848d-169d-4586-a67d-b14fc9c16e1c" ] }, { "id" : "ITEM-2", "itemData" : { "DOI" : "10.1177/0148607112444132", "ISBN" : "0148-6071 (Print)\\r0148-6071 (Linking)", "ISSN" : "0148-6071", "PMID" : "22275325", "abstract" : "BACKGROUND: Dietary supplements are regularly used by at least half of the American population, yet the health benefits of these agents are unclear.\\n\\nOBJECTIVE: A systematic review to determine the benefits and risks of dietary supplements in Westernized societies.\\n\\nDATA SOURCES: MEDLINE, Embase, Cochrane Register of Controlled Trials and citation review of relevant articles.\\n\\nSTUDY SELECTION: Randomized, placebo-controlled clinical trials in non-pregnant Westernized adults that evaluated clinical outcomes of nutritional supplements.\\n\\nDATA EXTRACTION: Data were abstracted on study design, study size, study setting, patient population, dietary intervention and clinical outcomes. The outcome of each study was classified as non-beneficial, beneficial or harmful according to whether the end-point(s) of interest reached statistical significance.\\n\\nDATA SYNTHESIS: Sixty-three studies met the criteria for our systematic review. No benefit was recorded in 45 studies, with 10 of these showing a trend towards harm and with two showing a trend towards benefit. Four studies reported harm with increased cancer deaths (n=2) and increased fractures (n=2). Two studies reported both a harmful as well as a beneficial outcome. A beneficial outcome was reported in 12 studies; 6 which studied vitamin D and three which investigated omega-3 fatty acids. While a benefit was reported in one study each which investigated Vitamin E, folic acid and Ginkgo biloba this benefit was not confirmed by larger and more adequately powered studies.\\n\\nCONCLUSIONS: With the possible exceptions of Vitamin D and omega-3 fatty acids there is no data to support the widespread use of dietary supplements in Westernized populations; indeed, many of these supplements may be harmful.", "author" : [ { "dropping-particle" : "", "family" : "Marik", "given" : "Paul E", "non-dropping-particle" : "", "parse-names" : false, "suffix" : "" }, { "dropping-particle" : "", "family" : "Flemmer", "given" : "Mark", "non-dropping-particle" : "", "parse-names" : false, "suffix" : "" } ], "container-title" : "Journal of Parenteral and Enteral Nutrition", "id" : "ITEM-2", "issue" : "3", "issued" : { "date-parts" : [ [ "2012", "3" ] ] }, "page" : "266-266", "title" : "Do Dietary Supplements Have Beneficial Health Effects in Industrialized Nations? What Is the Evidence? Response to Letter From Mister and Hathcock", "type" : "article-journal", "volume" : "36" }, "uris" : [ "http://www.mendeley.com/documents/?uuid=fff4e10c-71ab-4abd-8889-06ba3fe80e37" ] }, { "id" : "ITEM-3", "itemData" : { "DOI" : "10.1200/JCO.2005.06.190", "ISSN" : "0732-183X", "PMID" : "15637396", "abstract" : "The first generation of phase III nutritional intervention studies to prevent cancer has been completed. Nearly 150,000 total participants were studied in nine different interventions using randomized, double-blind, placebo-controlled designs that tested whether vitamins and/or minerals, given singly or in combination, could prevent total or site-specific cancer. The primary agents tested include beta-carotene, alpha-tocopherol, selenium, and retinol. This review summarizes the findings from the first generation of human experimental studies that tested micronutrients in the prevention of cancer, discusses lessons learned from these studies, identifies the most promising leads, and describes future prospects in nutritional intervention research.", "author" : [ { "dropping-particle" : "", "family" : "Taylor", "given" : "Philip R", "non-dropping-particle" : "", "parse-names" : false, "suffix" : "" }, { "dropping-particle" : "", "family" : "Greenwald", "given" : "Peter", "non-dropping-particle" : "", "parse-names" : false, "suffix" : "" } ], "container-title" : "Journal of clinical oncology : official journal of the American Society of Clinical Oncology", "id" : "ITEM-3", "issue" : "2", "issued" : { "date-parts" : [ [ "2005", "1", "10" ] ] }, "page" : "333-45", "title" : "Nutritional interventions in cancer prevention.", "type" : "article-journal", "volume" : "23" }, "uris" : [ "http://www.mendeley.com/documents/?uuid=dd772e60-2d2b-40f7-aa63-9fa5b450fc0c" ] } ], "mendeley" : { "formattedCitation" : "&lt;sup&gt;(75\u201377)&lt;/sup&gt;", "plainTextFormattedCitation" : "(75\u201377)", "previouslyFormattedCitation" : "&lt;sup&gt;(75\u201377)&lt;/sup&gt;" }, "properties" : { "noteIndex" : 0 }, "schema" : "https://github.com/citation-style-language/schema/raw/master/csl-citation.json" }</w:instrText>
      </w:r>
      <w:r w:rsidR="00751773">
        <w:fldChar w:fldCharType="separate"/>
      </w:r>
      <w:r w:rsidR="00C40694" w:rsidRPr="00C40694">
        <w:rPr>
          <w:noProof/>
          <w:vertAlign w:val="superscript"/>
        </w:rPr>
        <w:t>(75–77)</w:t>
      </w:r>
      <w:r w:rsidR="00751773">
        <w:fldChar w:fldCharType="end"/>
      </w:r>
      <w:r w:rsidR="00751773">
        <w:t xml:space="preserve">.  Trial findings can be obscured by the use of supplements beside the trial dose, particularly when these are unrecorded.  Similarly, past use of supplements by trial participants (treatment or control) could obscure findings </w:t>
      </w:r>
      <w:r w:rsidR="00DC62C8">
        <w:t xml:space="preserve">as well as pre-cancerous stages which may modify the risk to the intervention arm </w:t>
      </w:r>
      <w:r w:rsidR="00DC62C8">
        <w:fldChar w:fldCharType="begin" w:fldLock="1"/>
      </w:r>
      <w:r w:rsidR="009241D8">
        <w:instrText>ADDIN CSL_CITATION { "citationItems" : [ { "id" : "ITEM-1", "itemData" : { "DOI" : "10.1200/JCO.2005.06.190", "ISSN" : "0732-183X", "PMID" : "15637396", "abstract" : "The first generation of phase III nutritional intervention studies to prevent cancer has been completed. Nearly 150,000 total participants were studied in nine different interventions using randomized, double-blind, placebo-controlled designs that tested whether vitamins and/or minerals, given singly or in combination, could prevent total or site-specific cancer. The primary agents tested include beta-carotene, alpha-tocopherol, selenium, and retinol. This review summarizes the findings from the first generation of human experimental studies that tested micronutrients in the prevention of cancer, discusses lessons learned from these studies, identifies the most promising leads, and describes future prospects in nutritional intervention research.", "author" : [ { "dropping-particle" : "", "family" : "Taylor", "given" : "Philip R", "non-dropping-particle" : "", "parse-names" : false, "suffix" : "" }, { "dropping-particle" : "", "family" : "Greenwald", "given" : "Peter", "non-dropping-particle" : "", "parse-names" : false, "suffix" : "" } ], "container-title" : "Journal of clinical oncology : official journal of the American Society of Clinical Oncology", "id" : "ITEM-1", "issue" : "2", "issued" : { "date-parts" : [ [ "2005", "1", "10" ] ] }, "page" : "333-45", "title" : "Nutritional interventions in cancer prevention.", "type" : "article-journal", "volume" : "23" }, "uris" : [ "http://www.mendeley.com/documents/?uuid=dd772e60-2d2b-40f7-aa63-9fa5b450fc0c" ] }, { "id" : "ITEM-2", "itemData" : { "ISSN" : "0002-9165", "PMID" : "17209217", "abstract" : "Approximately 20-30% of Americans consume multivitamin supplements daily, indicating high public interest in the prevention of cancer and other chronic diseases through a nutrition-based approach. Although several bioactive food components, including vitamins and minerals, have been investigated for their ability to affect cancer risk, few large, randomized, placebo-controlled clinical trials of multivitamins with cancer as the primary endpoint have been performed. The results of most large-scale trials of multivitamin supplements (combinations of &gt; or = 2 vitamins and minerals) to prevent cancer have been mixed. The Linxian General Population and Dysplasia trials found a decreased risk of cancer, particularly stomach cancer, for participants taking a multivitamin supplement, but this was in a borderline-deficient population in China. Two trials, the Alpha-Tocopherol, Beta-Carotene Cancer Prevention Study and the beta-Carotene and Retinol Efficacy Trial, found an increased risk of lung cancer among male cigarette smokers or asbestos-exposed persons taking beta-carotene-a surprising result, considering that most epidemiologic studies have suggested that consumption of fruit and vegetables appears to lower cancer risk. To clarify the effects of multivitamin supplements, several large randomized clinical trials are underway, including the Physicians' Health Study II, the Selenium and Vitamin E Cancer Prevention Trial, and a European study, Suppl\u00e9mentation en Vitamines et Min\u00e9raux Antioxydants (SU.VI. MAX). Because epidemiologic studies generally evaluate foods rather than specific bioactive food components, a systematic approach to determining how combinations of vitamins and minerals may interact to ameliorate cancer risk is necessary to further our understanding of the potential benefits and risks of supplement use.", "author" : [ { "dropping-particle" : "", "family" : "Greenwald", "given" : "Peter", "non-dropping-particle" : "", "parse-names" : false, "suffix" : "" }, { "dropping-particle" : "", "family" : "Anderson", "given" : "Darrell", "non-dropping-particle" : "", "parse-names" : false, "suffix" : "" }, { "dropping-particle" : "", "family" : "Nelson", "given" : "Stefanie A", "non-dropping-particle" : "", "parse-names" : false, "suffix" : "" }, { "dropping-particle" : "", "family" : "Taylor", "given" : "Philip R", "non-dropping-particle" : "", "parse-names" : false, "suffix" : "" } ], "container-title" : "The American journal of clinical nutrition", "id" : "ITEM-2", "issue" : "1", "issued" : { "date-parts" : [ [ "2007", "1" ] ] }, "page" : "314S-317S", "title" : "Clinical trials of vitamin and mineral supplements for cancer prevention.", "type" : "article-journal", "volume" : "85" }, "uris" : [ "http://www.mendeley.com/documents/?uuid=a6eca852-ca9b-4bec-a269-5618cf62f4e5" ] }, { "id" : "ITEM-3", "itemData" : { "ISSN" : "1055-9965", "abstract" : "Epidemiological studies suggest that certain vitamin supplements may reduce the risk of some cancers. However, observational studies can be compromised by confounding, because supplement use is related to other factors that affect cancer risk. The purpose of this paper is to identify cancer-related behaviors that could confound studies of the associations between vitamin supplement use and cancer risk. Data are from a random digit dial survey to monitor cancer risk behavior in adults in Washington State (n = 1449). Unconditional logistic regression was used to examine whether regular supplement users were more likely to practice other cancer-related behaviors than nonusers, after adjustment for age, education, and smoking. Among women, supplement users were more likely to have had a sigmoidoscopy [odds ratio (OR), 2.3; 95% confidence interval (CI), 1.2-4.5], hemoccult (OR, 2.3; CI, 1.5-3.5), or mammogram (OR, 1.5; CI, 1.0-2.1) in the past 2 years. Among men, supplement users were twice as likely to have had a prostate-specific antigen test (OR, 2.2; CI, 1.3-3.7) and to regularly take aspirin (OR, 1.7; CI, 1.1-2.6). Supplement users were statistically significantly more likely to exercise regularly, eat four or more servings of fruits and vegetables per day, follow a low-fat diet pattern, and believe in a connection between diet and cancer. The association was especially strong for fruits and vegetables (women, OR, 1.9; and CI, 1.3-2.6; men, OR, 2.4; CI, 1.6-3.8). Those investigating the benefits and risks of vitamin and mineral supplements need to be aware of the lifestyle characteristics of supplement users to assess the potential for bias in their studies", "author" : [ { "dropping-particle" : "", "family" : "Patterson", "given" : "R E", "non-dropping-particle" : "", "parse-names" : false, "suffix" : "" }, { "dropping-particle" : "", "family" : "Neuhouser", "given" : "M L", "non-dropping-particle" : "", "parse-names" : false, "suffix" : "" }, { "dropping-particle" : "", "family" : "White", "given" : "E", "non-dropping-particle" : "", "parse-names" : false, "suffix" : "" }, { "dropping-particle" : "", "family" : "Hunt", "given" : "J R", "non-dropping-particle" : "", "parse-names" : false, "suffix" : "" }, { "dropping-particle" : "", "family" : "Kristal", "given" : "A R", "non-dropping-particle" : "", "parse-names" : false, "suffix" : "" } ], "container-title" : "Cancer Epidemiology Biomarkers &amp; Prevention", "id" : "ITEM-3", "issue" : "1", "issued" : { "date-parts" : [ [ "1998", "1" ] ] }, "note" : "Times Cited: 54\nArticle\nEnglish\nPatterson, R. E\nFred Hutchinson Canc Res Ctr, Canc Prevent Res Program, 1100 Fairview Ave N,MP 702,POB 19024, Seattle, WA 98109 USA\nCited References Count: 20\nZA149\nAMER ASSOC CANCER RESEARCH\nPO BOX 11806, BIRMINGHAM, AL 35202 USA\nBIRMINGHAM", "page" : "79-81", "title" : "Cancer-related behavior of vitamin supplement users", "type" : "article-journal", "volume" : "7" }, "uris" : [ "http://www.mendeley.com/documents/?uuid=cb4e3efb-4fdb-4b9e-9d3c-e56e6a1aa61b" ] } ], "mendeley" : { "formattedCitation" : "&lt;sup&gt;(13,77,78)&lt;/sup&gt;", "plainTextFormattedCitation" : "(13,77,78)", "previouslyFormattedCitation" : "&lt;sup&gt;(13,77,78)&lt;/sup&gt;" }, "properties" : { "noteIndex" : 0 }, "schema" : "https://github.com/citation-style-language/schema/raw/master/csl-citation.json" }</w:instrText>
      </w:r>
      <w:r w:rsidR="00DC62C8">
        <w:fldChar w:fldCharType="separate"/>
      </w:r>
      <w:r w:rsidR="00C40694" w:rsidRPr="00C40694">
        <w:rPr>
          <w:noProof/>
          <w:vertAlign w:val="superscript"/>
        </w:rPr>
        <w:t>(13,77,78)</w:t>
      </w:r>
      <w:r w:rsidR="00DC62C8">
        <w:fldChar w:fldCharType="end"/>
      </w:r>
      <w:r w:rsidR="00751773" w:rsidRPr="589C4AF9">
        <w:t>.</w:t>
      </w:r>
      <w:r w:rsidR="00EF7657" w:rsidRPr="589C4AF9">
        <w:t xml:space="preserve">  </w:t>
      </w:r>
      <w:r w:rsidR="00AB25AD">
        <w:t>Regarding o</w:t>
      </w:r>
      <w:r w:rsidR="00751773">
        <w:t xml:space="preserve">bservational studies </w:t>
      </w:r>
      <w:r w:rsidR="00AB25AD">
        <w:t xml:space="preserve">and supplements, such studies </w:t>
      </w:r>
      <w:r w:rsidR="00751773">
        <w:t>can be more inclusive in their eligibility criteria and the follow-up time tends to be longer than in trials.  They can assess a wide range of commonly used dietary supplements</w:t>
      </w:r>
      <w:r w:rsidR="00DA2F2A">
        <w:t xml:space="preserve"> and</w:t>
      </w:r>
      <w:r w:rsidR="00751773">
        <w:t xml:space="preserve"> dose</w:t>
      </w:r>
      <w:r w:rsidR="00DA2F2A">
        <w:t>s</w:t>
      </w:r>
      <w:r w:rsidR="00751773">
        <w:t xml:space="preserve"> </w:t>
      </w:r>
      <w:r w:rsidR="00751773">
        <w:fldChar w:fldCharType="begin" w:fldLock="1"/>
      </w:r>
      <w:r w:rsidR="00C1396B">
        <w:instrText>ADDIN CSL_CITATION { "citationItems" : [ { "id" : "ITEM-1", "itemData" : { "ISSN" : "0002-9262", "abstract" : "Vitamin and mineral supplements are among the most commonly used drugs in the United States, despite limited evidence on their benefits or risks. This paper describes the design, implementation, and participant characteristics of the VITamins And Lifestyle (VITAL) Study, a cohort study of the associations of supplement use with cancer risk. A total of 77,738 men and women in western Washington State, aged 50-76 years, entered the study in 2000-2002 by completing a detailed questionnaire on supplement use, diet, and other cancer risk factors, and 70% provided DNA through self-collected buccal cell specimens. Supplement users were targeted in recruitment: 66% used multivitamins, 46% used individual vitamin C, 47% used individual vitamin E, and 46% used calcium, typically for 5-8 of the past 10 years. Analyses to identify confounding factors, the main study limitation, showed that regular nonsteroidal anti-inflammatory drug use, intake of fruits and vegetables, and recreational physical activity were strongly associated with supplement use (p &lt; 0.001). The authors describe a follow-up system in which cancers, deaths, and changes of residence are tracked efficiently, primarily through linkage to public databases. These methods may be useful to other researchers implementing a large cohort study or designing a passive follow-up system", "author" : [ { "dropping-particle" : "", "family" : "White", "given" : "E", "non-dropping-particle" : "", "parse-names" : false, "suffix" : "" }, { "dropping-particle" : "", "family" : "Patterson", "given" : "R E", "non-dropping-particle" : "", "parse-names" : false, "suffix" : "" }, { "dropping-particle" : "", "family" : "Kristal", "given" : "A R", "non-dropping-particle" : "", "parse-names" : false, "suffix" : "" }, { "dropping-particle" : "", "family" : "Thornquist", "given" : "M", "non-dropping-particle" : "", "parse-names" : false, "suffix" : "" }, { "dropping-particle" : "", "family" : "King", "given" : "I", "non-dropping-particle" : "", "parse-names" : false, "suffix" : "" }, { "dropping-particle" : "", "family" : "Shattuck", "given" : "A L", "non-dropping-particle" : "", "parse-names" : false, "suffix" : "" }, { "dropping-particle" : "", "family" : "Evans", "given" : "I", "non-dropping-particle" : "", "parse-names" : false, "suffix" : "" }, { "dropping-particle" : "", "family" : "Satia-Abouta", "given" : "J", "non-dropping-particle" : "", "parse-names" : false, "suffix" : "" }, { "dropping-particle" : "", "family" : "Littman", "given" : "A J", "non-dropping-particle" : "", "parse-names" : false, "suffix" : "" }, { "dropping-particle" : "", "family" : "Potter", "given" : "J D", "non-dropping-particle" : "", "parse-names" : false, "suffix" : "" } ], "container-title" : "Am J Epidemiol", "id" : "ITEM-1", "issue" : "1", "issued" : { "date-parts" : [ [ "2004", "1", "1" ] ] }, "page" : "83-93", "title" : "VITamins And Lifestyle cohort study: Study design and characteristics of supplement users", "type" : "article-journal", "volume" : "159" }, "uris" : [ "http://www.mendeley.com/documents/?uuid=f7dcbc4a-0da6-4887-98af-e3e7dfd9bb1c" ] } ], "mendeley" : { "formattedCitation" : "&lt;sup&gt;(23)&lt;/sup&gt;", "plainTextFormattedCitation" : "(23)", "previouslyFormattedCitation" : "&lt;sup&gt;(23)&lt;/sup&gt;" }, "properties" : { "noteIndex" : 0 }, "schema" : "https://github.com/citation-style-language/schema/raw/master/csl-citation.json" }</w:instrText>
      </w:r>
      <w:r w:rsidR="00751773">
        <w:fldChar w:fldCharType="separate"/>
      </w:r>
      <w:r w:rsidR="00975B94" w:rsidRPr="00975B94">
        <w:rPr>
          <w:noProof/>
          <w:vertAlign w:val="superscript"/>
        </w:rPr>
        <w:t>(23)</w:t>
      </w:r>
      <w:r w:rsidR="00751773">
        <w:fldChar w:fldCharType="end"/>
      </w:r>
      <w:r w:rsidR="00751773">
        <w:t>.  Depending on the frequency of assessment, cohorts can take into account the vari</w:t>
      </w:r>
      <w:r w:rsidR="00751773" w:rsidRPr="002F5925">
        <w:t xml:space="preserve">ability of supplement use over time, since a single measure cannot be considered to reflect habitual supplement use </w:t>
      </w:r>
      <w:r w:rsidR="00751773" w:rsidRPr="002F5925">
        <w:fldChar w:fldCharType="begin" w:fldLock="1"/>
      </w:r>
      <w:r w:rsidR="009241D8">
        <w:instrText>ADDIN CSL_CITATION { "citationItems" : [ { "id" : "ITEM-1", "itemData" : { "ISSN" : "1044-3983", "PMID" : "9730039", "abstract" : "Although many epidemiologic studies ask about current use of vitamin supplements, long-term use is usually the exposure of etiologic interest. We conducted a mailed survey to investigate the relation between current and long-term (10-year) supplement use (N = 325 adults). Estimates of current daily intake for supplemental micronutrients were roughly twice that of average daily intake over the past 10 years. Correlations between current intake and long-term intake from supplements alone were 0.77, 0.75, and 0.65 for vitamin C, vitamin E, and calcium, respectively. A measure of supplement use at one point in time incorporates measurement error that will attenuate measures of association.", "author" : [ { "dropping-particle" : "", "family" : "Patterson", "given" : "R E", "non-dropping-particle" : "", "parse-names" : false, "suffix" : "" }, { "dropping-particle" : "", "family" : "Neuhouser", "given" : "M L", "non-dropping-particle" : "", "parse-names" : false, "suffix" : "" }, { "dropping-particle" : "", "family" : "White", "given" : "E", "non-dropping-particle" : "", "parse-names" : false, "suffix" : "" }, { "dropping-particle" : "", "family" : "Kristal", "given" : "a R", "non-dropping-particle" : "", "parse-names" : false, "suffix" : "" }, { "dropping-particle" : "", "family" : "Potter", "given" : "J D", "non-dropping-particle" : "", "parse-names" : false, "suffix" : "" } ], "container-title" : "Epidemiology", "id" : "ITEM-1", "issue" : "5", "issued" : { "date-parts" : [ [ "1998", "9" ] ] }, "page" : "567-9", "title" : "Measurement error from assessing use of vitamin supplements at one point in time.", "type" : "article-journal", "volume" : "9" }, "uris" : [ "http://www.mendeley.com/documents/?uuid=ef7fa34e-555e-4248-9f1c-ac7c2b5bd20c" ] }, { "id" : "ITEM-2", "itemData" : { "DOI" : "10.3945/jn.114.204743", "ISSN" : "0022-3166", "PMID" : "25733474", "abstract" : "BACKGROUND Multivitamin-mineral (MVM) products are the most commonly used supplements in the United States, followed by multivitamin (MV) products. Two randomized clinical trials (RCTs) did not show an effect of MVMs or MVs on cardiovascular disease (CVD) mortality; however, no clinical trial data are available for women with MVM supplement use and CVD mortality. OBJECTIVE The objective of this research was to examine the association between MVM and MV use and CVD-specific mortality among US adults without CVD. METHODS A nationally representative sample of adults from the restricted data NHANES III (1988-1994; n = 8678; age \u226540 y) were matched with mortality data reported by the National Death Index through 2011 to examine associations between MVM and MV use and CVD mortality by using Cox proportional hazards models, adjusting for multiple potential confounders. RESULTS We observed no significant association between CVD mortality and users of MVMs or MVs compared with nonusers; however, when users were classified by the reported length of time products were used, a significant association was found with MVM use of &gt;3 y compared with nonusers (HR: 0.65; 95% CI: 0.49, 0.85). This finding was largely driven by the significant association among women (HR: 0.56; 95% CI: 0.37, 0.85) but not men (HR: 0.79; 95% CI: 0.44, 1.42). No significant association was observed for MV products and CVD mortality in fully adjusted models. CONCLUSIONS In this nationally representative data set with detailed information on supplement use and CVD mortality data \u223c20 y later, we found an association between MVM use of &gt;3 y and reduced CVD mortality risk for women when models controlled for age, race, education, body mass index, alcohol, aspirin use, serum lipids, blood pressure, and blood glucose/glycated hemoglobin. Our results are consistent with the 1 available RCT in men, indicating no relation with MVM use and CVD mortality.", "author" : [ { "dropping-particle" : "", "family" : "Bailey", "given" : "R. L.", "non-dropping-particle" : "", "parse-names" : false, "suffix" : "" }, { "dropping-particle" : "", "family" : "Fakhouri", "given" : "T. H.", "non-dropping-particle" : "", "parse-names" : false, "suffix" : "" }, { "dropping-particle" : "", "family" : "Park", "given" : "Y.", "non-dropping-particle" : "", "parse-names" : false, "suffix" : "" }, { "dropping-particle" : "", "family" : "Dwyer", "given" : "J. T.", "non-dropping-particle" : "", "parse-names" : false, "suffix" : "" }, { "dropping-particle" : "", "family" : "Thomas", "given" : "P. R.", "non-dropping-particle" : "", "parse-names" : false, "suffix" : "" }, { "dropping-particle" : "", "family" : "Gahche", "given" : "J. J.", "non-dropping-particle" : "", "parse-names" : false, "suffix" : "" }, { "dropping-particle" : "", "family" : "Miller", "given" : "P. E.", "non-dropping-particle" : "", "parse-names" : false, "suffix" : "" }, { "dropping-particle" : "", "family" : "Dodd", "given" : "K. W.", "non-dropping-particle" : "", "parse-names" : false, "suffix" : "" }, { "dropping-particle" : "", "family" : "Sempos", "given" : "C. T.", "non-dropping-particle" : "", "parse-names" : false, "suffix" : "" }, { "dropping-particle" : "", "family" : "Murray", "given" : "D. M.", "non-dropping-particle" : "", "parse-names" : false, "suffix" : "" } ], "container-title" : "Journal of Nutrition", "id" : "ITEM-2", "issue" : "3", "issued" : { "date-parts" : [ [ "2015" ] ] }, "page" : "572-578", "title" : "Multivitamin-Mineral Use Is Associated with Reduced Risk of Cardiovascular Disease Mortality among Women in the United States", "type" : "article-journal", "volume" : "145" }, "uris" : [ "http://www.mendeley.com/documents/?uuid=17babbc7-505a-4c5a-a245-22f901e4575e" ] } ], "mendeley" : { "formattedCitation" : "&lt;sup&gt;(79,80)&lt;/sup&gt;", "plainTextFormattedCitation" : "(79,80)", "previouslyFormattedCitation" : "&lt;sup&gt;(79,80)&lt;/sup&gt;" }, "properties" : { "noteIndex" : 0 }, "schema" : "https://github.com/citation-style-language/schema/raw/master/csl-citation.json" }</w:instrText>
      </w:r>
      <w:r w:rsidR="00751773" w:rsidRPr="002F5925">
        <w:fldChar w:fldCharType="separate"/>
      </w:r>
      <w:r w:rsidR="00C40694" w:rsidRPr="00C40694">
        <w:rPr>
          <w:noProof/>
          <w:vertAlign w:val="superscript"/>
        </w:rPr>
        <w:t>(79,80)</w:t>
      </w:r>
      <w:r w:rsidR="00751773" w:rsidRPr="002F5925">
        <w:fldChar w:fldCharType="end"/>
      </w:r>
      <w:r w:rsidR="00751773" w:rsidRPr="589C4AF9">
        <w:t>.</w:t>
      </w:r>
      <w:r w:rsidR="00751773">
        <w:t xml:space="preserve">  On the other hand, observational studies suffer from confounding and, if retrospective measures are used, </w:t>
      </w:r>
      <w:r w:rsidR="00462586">
        <w:t xml:space="preserve">potentially </w:t>
      </w:r>
      <w:r w:rsidR="00751773">
        <w:t xml:space="preserve">recall bias </w:t>
      </w:r>
      <w:r w:rsidR="00751773">
        <w:fldChar w:fldCharType="begin" w:fldLock="1"/>
      </w:r>
      <w:r w:rsidR="009241D8">
        <w:instrText>ADDIN CSL_CITATION { "citationItems" : [ { "id" : "ITEM-1", "itemData" : { "ISSN" : "1539-3704", "PMID" : "16880453", "abstract" : "BACKGROUND: Multivitamin and mineral supplements are the most commonly used dietary supplements in the United States. PURPOSE: To synthesize studies on the efficacy and safety of multivitamin/mineral supplement use in primary prevention of cancer and chronic disease in the general population. DATA SOURCES: English-language literature search of the MEDLINE, EMBASE, and Cochrane databases through February 2006 and hand-searching of pertinent journals and articles. STUDY SELECTION: Randomized, controlled trials in adults were reviewed to assess efficacy, and randomized, controlled trials and observational studies in adults or children were reviewed to assess safety. DATA EXTRACTION: Paired reviewers extracted data and independently assessed study quality. DATA SYNTHESIS: 12 articles from 5 randomized, controlled trials that assessed efficacy and 8 articles from 4 randomized, controlled trials and 3 case reports on adverse effects were identified. Study quality was rated fair for the studies on cancer, cardiovascular disease, cataracts, or age-related macular degeneration and poor for the studies on hypertension. In a poorly nourished Chinese population, combined supplementation with beta-carotene, alpha-tocopherol, and selenium reduced the incidence of and mortality rate from gastric cancer and the overall mortality rate from cancer by 13% to 21%. In a French trial, combined supplementation with vitamin C, vitamin E, beta-carotene, selenium, and zinc reduced the rate of cancer by 31% in men but not in women. Multivitamin and mineral supplements had no significant effect on cardiovascular disease or cataracts, except that combined beta-carotene, selenium, alpha-tocopherol, retinol, and zinc supplementation reduced the mortality rate from stroke by 29% in the Linxian study and that a combination of 7 vitamins and minerals stabilized visual acuity loss in a small trial. Combined zinc and antioxidants slowed the progression of advanced age-related macular degeneration in high-risk persons. No consistent adverse effects of multivitamin and mineral supplements were evident. LIMITATIONS: Only randomized, controlled trials were considered for efficacy assessment. Special nutritional needs, such as use of folic acid by pregnant women to prevent birth defects, were not addressed. Findings may not apply to use of commercial multivitamin supplements by the general U.S. population. CONCLUSIONS: Evidence is insufficient to prove the presence or absence of benefits from \u2026", "author" : [ { "dropping-particle" : "", "family" : "Huang", "given" : "Han-yao", "non-dropping-particle" : "", "parse-names" : false, "suffix" : "" }, { "dropping-particle" : "", "family" : "Caballero", "given" : "Benjamin", "non-dropping-particle" : "", "parse-names" : false, "suffix" : "" }, { "dropping-particle" : "", "family" : "Chang", "given" : "Stephanie", "non-dropping-particle" : "", "parse-names" : false, "suffix" : "" }, { "dropping-particle" : "", "family" : "Alberg", "given" : "Anthony J", "non-dropping-particle" : "", "parse-names" : false, "suffix" : "" }, { "dropping-particle" : "", "family" : "Semba", "given" : "Richard D", "non-dropping-particle" : "", "parse-names" : false, "suffix" : "" }, { "dropping-particle" : "", "family" : "Schneyer", "given" : "Christine R", "non-dropping-particle" : "", "parse-names" : false, "suffix" : "" }, { "dropping-particle" : "", "family" : "Wilson", "given" : "Renee F", "non-dropping-particle" : "", "parse-names" : false, "suffix" : "" }, { "dropping-particle" : "", "family" : "Cheng", "given" : "Ting-Yuan", "non-dropping-particle" : "", "parse-names" : false, "suffix" : "" }, { "dropping-particle" : "", "family" : "Vassy", "given" : "Jason", "non-dropping-particle" : "", "parse-names" : false, "suffix" : "" }, { "dropping-particle" : "", "family" : "Prokopowicz", "given" : "Gregory", "non-dropping-particle" : "", "parse-names" : false, "suffix" : "" }, { "dropping-particle" : "", "family" : "Barnes", "given" : "George J", "non-dropping-particle" : "", "parse-names" : false, "suffix" : "" }, { "dropping-particle" : "", "family" : "Bass", "given" : "Eric B", "non-dropping-particle" : "", "parse-names" : false, "suffix" : "" } ], "container-title" : "Annals of internal medicine", "id" : "ITEM-1", "issue" : "5", "issued" : { "date-parts" : [ [ "2006", "9", "5" ] ] }, "page" : "372-85", "title" : "The efficacy and safety of multivitamin and mineral supplement use to prevent cancer and chronic disease in adults: a systematic review for a National Institutes of Health state-of-the-science conference.", "type" : "article-journal", "volume" : "145" }, "uris" : [ "http://www.mendeley.com/documents/?uuid=5ff1848d-169d-4586-a67d-b14fc9c16e1c" ] }, { "id" : "ITEM-2", "itemData" : { "DOI" : "10.1016/1047-2797(94)00091-7", "ISSN" : "1047-2797", "PMID" : "8520707", "abstract" : "The evidence for a potential benefit of antioxidant vitamins in the prevention and therapy of atherosclerotic disease is derived from laboratory, clinical, and observational epidemiologic studies but remains inconclusive. Data from randomized clinical trials are sparse, particularly for women. Therefore, it is both timely and important to conduct large-scale primary and secondary prevention trials of antioxidants and cardiovascular disease (CVD). The Women's Antioxidant and Cardiovascular Study (WACS) is a randomized, double-blind, placebo-controlled secondary prevention trial of the balance of benefits and risks of antioxidant vitamins (vitamins E and C, and beta-carotene) among 8000 women with preexisting CVD. This secondary prevention trial will be conducted as a companion to the recently started Women's Health Study, a primary prevention trial of vitamin E and beta-carotene, as well as aspirin. In the WACS, US female health professionals aged 40 years and older with a history of myocardial infarction, angina pectoris, coronary revascularization, stroke, transient cerebral ischemia, carotid endarterectomy, or peripheral artery surgery will be randomly assigned, utilizing a 2 x 2 x 2 factorial design, to receive vitamin E, vitamin C, beta-carotene, and/or placebo. Cardiovascular end points include nonfatal myocardial infarction, nonfatal stroke, coronary revascularization procedures, and total CVD mortality. The present article describes the rationale, design, and methods of the trial.", "author" : [ { "dropping-particle" : "", "family" : "Manson", "given" : "Joann E", "non-dropping-particle" : "", "parse-names" : false, "suffix" : "" }, { "dropping-particle" : "", "family" : "Gaziano", "given" : "J Michael", "non-dropping-particle" : "", "parse-names" : false, "suffix" : "" }, { "dropping-particle" : "", "family" : "Spelsberg", "given" : "Angela", "non-dropping-particle" : "", "parse-names" : false, "suffix" : "" }, { "dropping-particle" : "", "family" : "Ridker", "given" : "Paul M", "non-dropping-particle" : "", "parse-names" : false, "suffix" : "" }, { "dropping-particle" : "", "family" : "Cook", "given" : "N R", "non-dropping-particle" : "", "parse-names" : false, "suffix" : "" }, { "dropping-particle" : "", "family" : "Buring", "given" : "Julie E", "non-dropping-particle" : "", "parse-names" : false, "suffix" : "" }, { "dropping-particle" : "", "family" : "Willett", "given" : "Walter C", "non-dropping-particle" : "", "parse-names" : false, "suffix" : "" }, { "dropping-particle" : "", "family" : "Hennekens", "given" : "Charles H", "non-dropping-particle" : "", "parse-names" : false, "suffix" : "" } ], "container-title" : "Annals of epidemiology", "id" : "ITEM-2", "issue" : "4", "issued" : { "date-parts" : [ [ "1995" ] ] }, "page" : "261-269", "title" : "A secondary prevention trial of antioxidant vitamins and cardiovascular disease in women. Rationale, design, and methods. The WACS Research Group.", "type" : "article-journal", "volume" : "5" }, "uris" : [ "http://www.mendeley.com/documents/?uuid=c90e8f3c-9c02-4eec-99ee-49ebeff02ff6" ] } ], "mendeley" : { "formattedCitation" : "&lt;sup&gt;(75,81)&lt;/sup&gt;", "plainTextFormattedCitation" : "(75,81)", "previouslyFormattedCitation" : "&lt;sup&gt;(75,81)&lt;/sup&gt;" }, "properties" : { "noteIndex" : 0 }, "schema" : "https://github.com/citation-style-language/schema/raw/master/csl-citation.json" }</w:instrText>
      </w:r>
      <w:r w:rsidR="00751773">
        <w:fldChar w:fldCharType="separate"/>
      </w:r>
      <w:r w:rsidR="00C40694" w:rsidRPr="00C40694">
        <w:rPr>
          <w:noProof/>
          <w:vertAlign w:val="superscript"/>
        </w:rPr>
        <w:t>(75,81)</w:t>
      </w:r>
      <w:r w:rsidR="00751773">
        <w:fldChar w:fldCharType="end"/>
      </w:r>
      <w:r w:rsidR="00751773">
        <w:t xml:space="preserve">.  The distribution of socio-demographic characteristics, behavioural factors, and prevalent illnesses are not uniformly distributed between SU and NSU </w:t>
      </w:r>
      <w:r w:rsidR="00751773">
        <w:fldChar w:fldCharType="begin" w:fldLock="1"/>
      </w:r>
      <w:r w:rsidR="009241D8">
        <w:instrText>ADDIN CSL_CITATION { "citationItems" : [ { "id" : "ITEM-1", "itemData" : { "ISSN" : "0957-5243", "PMID" : "9328202", "abstract" : "This report reviews published epidemiologic research on the associations of vitamin and mineral supplementation with cancer risk. Although the literature on nutrition and cancer is vast, few reports to date have addressed supplemental nutrients directly (seven clinical trials, 16 cohort, and 36 case-control studies). These studies offer insight into effects of nutrients that are distinguishable from effects of other biologically active compounds in foods. Randomized clinical trials have not shown significant protective effects of beta-carotene, but have found protective effects of: alpha-tocopherol against prostate cancer; mixtures of retinol/zinc and beta-carotene/alpha-tocopherol/selenium against stomach cancer; and selenium against total, lung, and prostate cancers. Cohort studies provide little evidence that vitamin supplements are associated with cancer. Case-control studies have reported an inverse association between bladder cancer and vitamin C; oral/pharyngeal cancer and several supplemental vitamins; and several cancers and vitamin E. A randomized clinical trial, a cohort study, and a case-control study have all found inverse associations between colon cancer and vitamin E. Overall, there is modest evidence for protective effects of nutrients from supplements against several cancers. Future studies of supplement use and cancer appear warranted; however, methodologic problems that impair ability to assess supplement use and statistical modeling of the relation between cancer risk and supplement use need attention.", "author" : [ { "dropping-particle" : "", "family" : "Patterson", "given" : "R E", "non-dropping-particle" : "", "parse-names" : false, "suffix" : "" }, { "dropping-particle" : "", "family" : "White", "given" : "E", "non-dropping-particle" : "", "parse-names" : false, "suffix" : "" }, { "dropping-particle" : "", "family" : "Kristal", "given" : "A R", "non-dropping-particle" : "", "parse-names" : false, "suffix" : "" }, { "dropping-particle" : "", "family" : "Neuhouser", "given" : "M L", "non-dropping-particle" : "", "parse-names" : false, "suffix" : "" }, { "dropping-particle" : "", "family" : "Potter", "given" : "J D", "non-dropping-particle" : "", "parse-names" : false, "suffix" : "" } ], "container-title" : "Cancer causes &amp; control : CCC", "id" : "ITEM-1", "issue" : "5", "issued" : { "date-parts" : [ [ "1997", "9" ] ] }, "note" : "Times Cited: 93\nReview\nEnglish\nPatterson, R. E\nFRED HUTCHINSON CANC RES CTR,CANC PREVENT RES PROGRAM,1100 FAIRVIEW AVE N,MP 702,POB 19024,SEATTLE,WA 98109\nCited References Count: 89\nXX825\nRAPID SCIENCE PUBLISHERS\n2-6 BOUNDARY ROW, LONDON, ENGLAND SE1 8NH\nLONDON", "page" : "786-802", "title" : "Vitamin supplements and cancer risk: the epidemiologic evidence.", "type" : "article-journal", "volume" : "8" }, "uris" : [ "http://www.mendeley.com/documents/?uuid=61a333a4-8f46-4321-9aa0-7de350f0ed18" ] }, { "id" : "ITEM-2", "itemData" : { "ISSN" : "0002-9262", "abstract" : "Vitamin and mineral supplements are among the most commonly used drugs in the United States, despite limited evidence on their benefits or risks. This paper describes the design, implementation, and participant characteristics of the VITamins And Lifestyle (VITAL) Study, a cohort study of the associations of supplement use with cancer risk. A total of 77,738 men and women in western Washington State, aged 50-76 years, entered the study in 2000-2002 by completing a detailed questionnaire on supplement use, diet, and other cancer risk factors, and 70% provided DNA through self-collected buccal cell specimens. Supplement users were targeted in recruitment: 66% used multivitamins, 46% used individual vitamin C, 47% used individual vitamin E, and 46% used calcium, typically for 5-8 of the past 10 years. Analyses to identify confounding factors, the main study limitation, showed that regular nonsteroidal anti-inflammatory drug use, intake of fruits and vegetables, and recreational physical activity were strongly associated with supplement use (p &lt; 0.001). The authors describe a follow-up system in which cancers, deaths, and changes of residence are tracked efficiently, primarily through linkage to public databases. These methods may be useful to other researchers implementing a large cohort study or designing a passive follow-up system", "author" : [ { "dropping-particle" : "", "family" : "White", "given" : "E", "non-dropping-particle" : "", "parse-names" : false, "suffix" : "" }, { "dropping-particle" : "", "family" : "Patterson", "given" : "R E", "non-dropping-particle" : "", "parse-names" : false, "suffix" : "" }, { "dropping-particle" : "", "family" : "Kristal", "given" : "A R", "non-dropping-particle" : "", "parse-names" : false, "suffix" : "" }, { "dropping-particle" : "", "family" : "Thornquist", "given" : "M", "non-dropping-particle" : "", "parse-names" : false, "suffix" : "" }, { "dropping-particle" : "", "family" : "King", "given" : "I", "non-dropping-particle" : "", "parse-names" : false, "suffix" : "" }, { "dropping-particle" : "", "family" : "Shattuck", "given" : "A L", "non-dropping-particle" : "", "parse-names" : false, "suffix" : "" }, { "dropping-particle" : "", "family" : "Evans", "given" : "I", "non-dropping-particle" : "", "parse-names" : false, "suffix" : "" }, { "dropping-particle" : "", "family" : "Satia-Abouta", "given" : "J", "non-dropping-particle" : "", "parse-names" : false, "suffix" : "" }, { "dropping-particle" : "", "family" : "Littman", "given" : "A J", "non-dropping-particle" : "", "parse-names" : false, "suffix" : "" }, { "dropping-particle" : "", "family" : "Potter", "given" : "J D", "non-dropping-particle" : "", "parse-names" : false, "suffix" : "" } ], "container-title" : "Am J Epidemiol", "id" : "ITEM-2", "issue" : "1", "issued" : { "date-parts" : [ [ "2004", "1", "1" ] ] }, "page" : "83-93", "title" : "VITamins And Lifestyle cohort study: Study design and characteristics of supplement users", "type" : "article-journal", "volume" : "159" }, "uris" : [ "http://www.mendeley.com/documents/?uuid=f7dcbc4a-0da6-4887-98af-e3e7dfd9bb1c" ] }, { "id" : "ITEM-3", "itemData" : { "ISSN" : "0002-9262", "PMID" : "15286019", "abstract" : "Data from the 1999-2000 National Health and Nutrition Examination Survey, a nationally representative, cross-sectional survey of US health and nutrition, were analyzed to assess prevalence of dietary supplement use overall and in relation to lifestyle and demographic characteristics. Fifty-two percent of adults reported taking a dietary supplement in the past month; 35% took a multivitamin/multimineral. Vitamin C, vitamin E, B-complex vitamins, calcium, and calcium-containing antacids were taken by more than 5% of adults. In bivariate analyses, female gender, older age, more education, non-Hispanic White race/ethnicity, any physical activity, normal/underweight, more frequent wine or distilled spirit consumption, former smoking, and excellent/very good self-reported health were associated with greater use of any supplement and of multivitamin/multiminerals; in multivariable comparisons, the latter three characteristics were not associated with supplement use. Most supplements were taken daily and for at least 2 years. Forty-seven percent of adult supplement users took just one supplement; 55% of women and 63% of adults aged &gt;or=60 years took more than one. These findings suggest that, to minimize possible spurious associations, epidemiologic studies of diet, demography, or lifestyle and health take dietary supplement use into account because of 1) supplements' large contribution to nutrient intake and 2) differential use of supplements by demographic and lifestyle characteristics.", "author" : [ { "dropping-particle" : "", "family" : "Radimer", "given" : "Kathy", "non-dropping-particle" : "", "parse-names" : false, "suffix" : "" }, { "dropping-particle" : "", "family" : "Bindewald", "given" : "Bernadette", "non-dropping-particle" : "", "parse-names" : false, "suffix" : "" }, { "dropping-particle" : "", "family" : "Hughes", "given" : "Jeffery", "non-dropping-particle" : "", "parse-names" : false, "suffix" : "" }, { "dropping-particle" : "", "family" : "Ervin", "given" : "Bethene", "non-dropping-particle" : "", "parse-names" : false, "suffix" : "" }, { "dropping-particle" : "", "family" : "Swanson", "given" : "Christine", "non-dropping-particle" : "", "parse-names" : false, "suffix" : "" }, { "dropping-particle" : "", "family" : "Picciano", "given" : "Mary Frances", "non-dropping-particle" : "", "parse-names" : false, "suffix" : "" } ], "container-title" : "American journal of epidemiology", "id" : "ITEM-3", "issue" : "4", "issued" : { "date-parts" : [ [ "2004", "8", "15" ] ] }, "page" : "339-49", "title" : "Dietary supplement use by US adults: data from the National Health and Nutrition Examination Survey, 1999-2000.", "type" : "article-journal", "volume" : "160" }, "uris" : [ "http://www.mendeley.com/documents/?uuid=b7d8e6ba-e4d7-41c0-86a6-d2af8eaf7811" ] } ], "mendeley" : { "formattedCitation" : "&lt;sup&gt;(23,73,82)&lt;/sup&gt;", "plainTextFormattedCitation" : "(23,73,82)", "previouslyFormattedCitation" : "&lt;sup&gt;(23,73,82)&lt;/sup&gt;" }, "properties" : { "noteIndex" : 0 }, "schema" : "https://github.com/citation-style-language/schema/raw/master/csl-citation.json" }</w:instrText>
      </w:r>
      <w:r w:rsidR="00751773">
        <w:fldChar w:fldCharType="separate"/>
      </w:r>
      <w:r w:rsidR="00C40694" w:rsidRPr="00C40694">
        <w:rPr>
          <w:noProof/>
          <w:vertAlign w:val="superscript"/>
        </w:rPr>
        <w:t>(23,73,82)</w:t>
      </w:r>
      <w:r w:rsidR="00751773">
        <w:fldChar w:fldCharType="end"/>
      </w:r>
      <w:r w:rsidR="00751773">
        <w:t xml:space="preserve">.  Additionally, the role of specific nutrients is difficult to assess due to </w:t>
      </w:r>
      <w:proofErr w:type="spellStart"/>
      <w:r w:rsidR="00751773">
        <w:t>colinearity</w:t>
      </w:r>
      <w:proofErr w:type="spellEnd"/>
      <w:r w:rsidR="00751773" w:rsidRPr="589C4AF9">
        <w:t xml:space="preserve">, </w:t>
      </w:r>
      <w:r w:rsidR="00751773" w:rsidRPr="589C4AF9">
        <w:rPr>
          <w:i/>
          <w:iCs/>
        </w:rPr>
        <w:t>i.e.</w:t>
      </w:r>
      <w:r w:rsidR="00751773">
        <w:t xml:space="preserve"> nutrients are commonly consumed as part of a </w:t>
      </w:r>
      <w:r w:rsidR="008A3EB4">
        <w:t>MVMM</w:t>
      </w:r>
      <w:r w:rsidR="00751773">
        <w:t>-type supplement</w:t>
      </w:r>
      <w:r w:rsidR="00DC62C8">
        <w:t xml:space="preserve"> for which factorial trial designs are better equipped</w:t>
      </w:r>
      <w:r w:rsidR="00751773">
        <w:t xml:space="preserve"> </w:t>
      </w:r>
      <w:r w:rsidR="00751773">
        <w:fldChar w:fldCharType="begin" w:fldLock="1"/>
      </w:r>
      <w:r w:rsidR="009241D8">
        <w:instrText>ADDIN CSL_CITATION { "citationItems" : [ { "id" : "ITEM-1", "itemData" : { "ISSN" : "0957-5243", "PMID" : "9328202", "abstract" : "This report reviews published epidemiologic research on the associations of vitamin and mineral supplementation with cancer risk. Although the literature on nutrition and cancer is vast, few reports to date have addressed supplemental nutrients directly (seven clinical trials, 16 cohort, and 36 case-control studies). These studies offer insight into effects of nutrients that are distinguishable from effects of other biologically active compounds in foods. Randomized clinical trials have not shown significant protective effects of beta-carotene, but have found protective effects of: alpha-tocopherol against prostate cancer; mixtures of retinol/zinc and beta-carotene/alpha-tocopherol/selenium against stomach cancer; and selenium against total, lung, and prostate cancers. Cohort studies provide little evidence that vitamin supplements are associated with cancer. Case-control studies have reported an inverse association between bladder cancer and vitamin C; oral/pharyngeal cancer and several supplemental vitamins; and several cancers and vitamin E. A randomized clinical trial, a cohort study, and a case-control study have all found inverse associations between colon cancer and vitamin E. Overall, there is modest evidence for protective effects of nutrients from supplements against several cancers. Future studies of supplement use and cancer appear warranted; however, methodologic problems that impair ability to assess supplement use and statistical modeling of the relation between cancer risk and supplement use need attention.", "author" : [ { "dropping-particle" : "", "family" : "Patterson", "given" : "R E", "non-dropping-particle" : "", "parse-names" : false, "suffix" : "" }, { "dropping-particle" : "", "family" : "White", "given" : "E", "non-dropping-particle" : "", "parse-names" : false, "suffix" : "" }, { "dropping-particle" : "", "family" : "Kristal", "given" : "A R", "non-dropping-particle" : "", "parse-names" : false, "suffix" : "" }, { "dropping-particle" : "", "family" : "Neuhouser", "given" : "M L", "non-dropping-particle" : "", "parse-names" : false, "suffix" : "" }, { "dropping-particle" : "", "family" : "Potter", "given" : "J D", "non-dropping-particle" : "", "parse-names" : false, "suffix" : "" } ], "container-title" : "Cancer causes &amp; control : CCC", "id" : "ITEM-1", "issue" : "5", "issued" : { "date-parts" : [ [ "1997", "9" ] ] }, "note" : "Times Cited: 93\nReview\nEnglish\nPatterson, R. E\nFRED HUTCHINSON CANC RES CTR,CANC PREVENT RES PROGRAM,1100 FAIRVIEW AVE N,MP 702,POB 19024,SEATTLE,WA 98109\nCited References Count: 89\nXX825\nRAPID SCIENCE PUBLISHERS\n2-6 BOUNDARY ROW, LONDON, ENGLAND SE1 8NH\nLONDON", "page" : "786-802", "title" : "Vitamin supplements and cancer risk: the epidemiologic evidence.", "type" : "article-journal", "volume" : "8" }, "uris" : [ "http://www.mendeley.com/documents/?uuid=61a333a4-8f46-4321-9aa0-7de350f0ed18" ] }, { "id" : "ITEM-2", "itemData" : { "ISSN" : "0002-9262", "abstract" : "Vitamin and mineral supplements are among the most commonly used drugs in the United States, despite limited evidence on their benefits or risks. This paper describes the design, implementation, and participant characteristics of the VITamins And Lifestyle (VITAL) Study, a cohort study of the associations of supplement use with cancer risk. A total of 77,738 men and women in western Washington State, aged 50-76 years, entered the study in 2000-2002 by completing a detailed questionnaire on supplement use, diet, and other cancer risk factors, and 70% provided DNA through self-collected buccal cell specimens. Supplement users were targeted in recruitment: 66% used multivitamins, 46% used individual vitamin C, 47% used individual vitamin E, and 46% used calcium, typically for 5-8 of the past 10 years. Analyses to identify confounding factors, the main study limitation, showed that regular nonsteroidal anti-inflammatory drug use, intake of fruits and vegetables, and recreational physical activity were strongly associated with supplement use (p &lt; 0.001). The authors describe a follow-up system in which cancers, deaths, and changes of residence are tracked efficiently, primarily through linkage to public databases. These methods may be useful to other researchers implementing a large cohort study or designing a passive follow-up system", "author" : [ { "dropping-particle" : "", "family" : "White", "given" : "E", "non-dropping-particle" : "", "parse-names" : false, "suffix" : "" }, { "dropping-particle" : "", "family" : "Patterson", "given" : "R E", "non-dropping-particle" : "", "parse-names" : false, "suffix" : "" }, { "dropping-particle" : "", "family" : "Kristal", "given" : "A R", "non-dropping-particle" : "", "parse-names" : false, "suffix" : "" }, { "dropping-particle" : "", "family" : "Thornquist", "given" : "M", "non-dropping-particle" : "", "parse-names" : false, "suffix" : "" }, { "dropping-particle" : "", "family" : "King", "given" : "I", "non-dropping-particle" : "", "parse-names" : false, "suffix" : "" }, { "dropping-particle" : "", "family" : "Shattuck", "given" : "A L", "non-dropping-particle" : "", "parse-names" : false, "suffix" : "" }, { "dropping-particle" : "", "family" : "Evans", "given" : "I", "non-dropping-particle" : "", "parse-names" : false, "suffix" : "" }, { "dropping-particle" : "", "family" : "Satia-Abouta", "given" : "J", "non-dropping-particle" : "", "parse-names" : false, "suffix" : "" }, { "dropping-particle" : "", "family" : "Littman", "given" : "A J", "non-dropping-particle" : "", "parse-names" : false, "suffix" : "" }, { "dropping-particle" : "", "family" : "Potter", "given" : "J D", "non-dropping-particle" : "", "parse-names" : false, "suffix" : "" } ], "container-title" : "Am J Epidemiol", "id" : "ITEM-2", "issue" : "1", "issued" : { "date-parts" : [ [ "2004", "1", "1" ] ] }, "page" : "83-93", "title" : "VITamins And Lifestyle cohort study: Study design and characteristics of supplement users", "type" : "article-journal", "volume" : "159" }, "uris" : [ "http://www.mendeley.com/documents/?uuid=f7dcbc4a-0da6-4887-98af-e3e7dfd9bb1c" ] }, { "id" : "ITEM-3", "itemData" : { "DOI" : "10.1200/JCO.2005.06.190", "ISSN" : "0732-183X", "PMID" : "15637396", "abstract" : "The first generation of phase III nutritional intervention studies to prevent cancer has been completed. Nearly 150,000 total participants were studied in nine different interventions using randomized, double-blind, placebo-controlled designs that tested whether vitamins and/or minerals, given singly or in combination, could prevent total or site-specific cancer. The primary agents tested include beta-carotene, alpha-tocopherol, selenium, and retinol. This review summarizes the findings from the first generation of human experimental studies that tested micronutrients in the prevention of cancer, discusses lessons learned from these studies, identifies the most promising leads, and describes future prospects in nutritional intervention research.", "author" : [ { "dropping-particle" : "", "family" : "Taylor", "given" : "Philip R", "non-dropping-particle" : "", "parse-names" : false, "suffix" : "" }, { "dropping-particle" : "", "family" : "Greenwald", "given" : "Peter", "non-dropping-particle" : "", "parse-names" : false, "suffix" : "" } ], "container-title" : "Journal of clinical oncology : official journal of the American Society of Clinical Oncology", "id" : "ITEM-3", "issue" : "2", "issued" : { "date-parts" : [ [ "2005", "1", "10" ] ] }, "page" : "333-45", "title" : "Nutritional interventions in cancer prevention.", "type" : "article-journal", "volume" : "23" }, "uris" : [ "http://www.mendeley.com/documents/?uuid=dd772e60-2d2b-40f7-aa63-9fa5b450fc0c" ] } ], "mendeley" : { "formattedCitation" : "&lt;sup&gt;(23,73,77)&lt;/sup&gt;", "plainTextFormattedCitation" : "(23,73,77)", "previouslyFormattedCitation" : "&lt;sup&gt;(23,73,77)&lt;/sup&gt;" }, "properties" : { "noteIndex" : 0 }, "schema" : "https://github.com/citation-style-language/schema/raw/master/csl-citation.json" }</w:instrText>
      </w:r>
      <w:r w:rsidR="00751773">
        <w:fldChar w:fldCharType="separate"/>
      </w:r>
      <w:r w:rsidR="00C40694" w:rsidRPr="00C40694">
        <w:rPr>
          <w:noProof/>
          <w:vertAlign w:val="superscript"/>
        </w:rPr>
        <w:t>(23,73,77)</w:t>
      </w:r>
      <w:r w:rsidR="00751773">
        <w:fldChar w:fldCharType="end"/>
      </w:r>
      <w:r w:rsidR="00751773" w:rsidRPr="589C4AF9">
        <w:t>.</w:t>
      </w:r>
    </w:p>
    <w:p w14:paraId="3A0991A6" w14:textId="338E69AE" w:rsidR="00E90DDB" w:rsidRDefault="00837CB1" w:rsidP="4F1696A8">
      <w:r>
        <w:lastRenderedPageBreak/>
        <w:t xml:space="preserve">Since supplements contain (isolated) nutrients in concentrated forms, </w:t>
      </w:r>
      <w:r w:rsidR="001B1796">
        <w:t>TNI</w:t>
      </w:r>
      <w:r w:rsidR="00A83BA1">
        <w:t xml:space="preserve"> may</w:t>
      </w:r>
      <w:r>
        <w:t xml:space="preserve"> lead to chronic intakes exceeding safe upper levels </w:t>
      </w:r>
      <w:r>
        <w:fldChar w:fldCharType="begin" w:fldLock="1"/>
      </w:r>
      <w:r w:rsidR="009241D8">
        <w:instrText>ADDIN CSL_CITATION { "citationItems" : [ { "id" : "ITEM-1", "itemData" : { "ISSN" : "0002-9165", "abstract" : "Assessment of the safety of nutrients presents a challenge different from that posed by the assessment of other chemicals in food such as additives or contaminants. Because nutrients are essential, a dose-response relation exists at both ends of the intake range, separated by a safe range of intake that reflects normal homeostatic processes. The safe intake may not be the same for all population groups and life stages. The size of the safe intake range for each nutrient will vary and in a few cases may be very small. Certain nutrients such as vitamin A and manganese have known and potentially serious adverse effects at high intakes, whereas others such as iron or vitamin C may have more minor adverse effects that are readily reversible and may only be associated with supplement intake. The risk of harm occurring from taking dietary supplements will depend on the safe intake range of the nutrient concerned, the susceptibility of the individual, and the likely intake of the same nutrient from other supplements or the rest of the diet. In many cases, the available database for the safety of nutrients is very limited because the studies, where available, were not designed to assess adverse effects but may have detected problems when they occurred. Further information on the safety of nutrients could be obtained through careful experimental design", "author" : [ { "dropping-particle" : "", "family" : "Mulholland", "given" : "C A", "non-dropping-particle" : "", "parse-names" : false, "suffix" : "" }, { "dropping-particle" : "", "family" : "Benford", "given" : "D J", "non-dropping-particle" : "", "parse-names" : false, "suffix" : "" } ], "container-title" : "Am J Clin Nutr", "id" : "ITEM-1", "issue" : "1", "issued" : { "date-parts" : [ [ "2007", "1" ] ] }, "note" : "Times Cited: 3\nProceedings Paper\nEnglish\nBenford, D. J\nFood Stand Agcy, Toxicol Unit, Chem Safety Div, 125 Kingsway, London WC2B 6NH, England\nCited References Count: 20\n125CP\nAMER SOC CLINICAL NUTRITION\n9650 ROCKVILLE PIKE, SUBSCRIPTIONS, RM L-3300, BETHESDA, MD 20814-3998 USA\nBETHESDA", "page" : "318S-322S", "title" : "What is known about the safety of multivitamin-multimineral supplements for the generally healthy population? Theoretical basis for harm", "type" : "article-journal", "volume" : "85" }, "uris" : [ "http://www.mendeley.com/documents/?uuid=cdce5556-2731-436a-82db-599cfcbc5976" ] } ], "mendeley" : { "formattedCitation" : "&lt;sup&gt;(83)&lt;/sup&gt;", "plainTextFormattedCitation" : "(83)", "previouslyFormattedCitation" : "&lt;sup&gt;(83)&lt;/sup&gt;" }, "properties" : { "noteIndex" : 0 }, "schema" : "https://github.com/citation-style-language/schema/raw/master/csl-citation.json" }</w:instrText>
      </w:r>
      <w:r>
        <w:fldChar w:fldCharType="separate"/>
      </w:r>
      <w:r w:rsidR="00C40694" w:rsidRPr="00C40694">
        <w:rPr>
          <w:noProof/>
          <w:vertAlign w:val="superscript"/>
        </w:rPr>
        <w:t>(83)</w:t>
      </w:r>
      <w:r>
        <w:fldChar w:fldCharType="end"/>
      </w:r>
      <w:r w:rsidR="00126AA1" w:rsidRPr="4F1696A8">
        <w:t xml:space="preserve"> (</w:t>
      </w:r>
      <w:r w:rsidR="005B1A14">
        <w:t>Figure 2</w:t>
      </w:r>
      <w:r w:rsidR="00126AA1" w:rsidRPr="4F1696A8">
        <w:t>)</w:t>
      </w:r>
      <w:r>
        <w:t>.  I</w:t>
      </w:r>
      <w:r w:rsidR="4F1696A8">
        <w:t xml:space="preserve">n </w:t>
      </w:r>
      <w:r w:rsidR="00CC72A5">
        <w:t>the Iowa Women’s Health Study</w:t>
      </w:r>
      <w:r w:rsidR="4F1696A8">
        <w:t xml:space="preserve">, </w:t>
      </w:r>
      <w:r>
        <w:t>supplement use has -potentially for this reason</w:t>
      </w:r>
      <w:r w:rsidR="000D3FF8">
        <w:t>, but also due to confounding by indication</w:t>
      </w:r>
      <w:r>
        <w:t>- observed harmful associations</w:t>
      </w:r>
      <w:r w:rsidR="00CC72A5">
        <w:t xml:space="preserve"> between supplemental iron and</w:t>
      </w:r>
      <w:r>
        <w:t xml:space="preserve"> mortality</w:t>
      </w:r>
      <w:r w:rsidR="000D3FF8">
        <w:t xml:space="preserve"> </w:t>
      </w:r>
      <w:r w:rsidR="000D3FF8">
        <w:fldChar w:fldCharType="begin" w:fldLock="1"/>
      </w:r>
      <w:r w:rsidR="009241D8">
        <w:instrText>ADDIN CSL_CITATION { "citationItems" : [ { "id" : "ITEM-1", "itemData" : { "DOI" : "10.1001/archinternmed.2011.445", "ISBN" : "1538-3679 (Electronic) 0003-9926 (Linking)", "ISSN" : "0003-9926", "PMID" : "21987192", "abstract" : "In older women, several commonly used dietary vitamin and mineral supplements may be associated with increased total mortality risk; this association is strongest with supplemental iron. In contrast to the findings of many studies, calcium is associated with decreased risk.", "author" : [ { "dropping-particle" : "", "family" : "Mursu", "given" : "Jaakko", "non-dropping-particle" : "", "parse-names" : false, "suffix" : "" }, { "dropping-particle" : "", "family" : "Robien", "given" : "Kim", "non-dropping-particle" : "", "parse-names" : false, "suffix" : "" }, { "dropping-particle" : "", "family" : "Harnack", "given" : "Lisa J", "non-dropping-particle" : "", "parse-names" : false, "suffix" : "" }, { "dropping-particle" : "", "family" : "Park", "given" : "Kyong", "non-dropping-particle" : "", "parse-names" : false, "suffix" : "" }, { "dropping-particle" : "", "family" : "Jacobs", "given" : "David R", "non-dropping-particle" : "", "parse-names" : false, "suffix" : "" } ], "container-title" : "Archives of Internal Medicine", "id" : "ITEM-1", "issue" : "18", "issued" : { "date-parts" : [ [ "2011", "10", "10" ] ] }, "page" : "1625-1633", "title" : "Dietary Supplements and Mortality Rate in Older Women: The Iowa Women's Health Study", "type" : "article-journal", "volume" : "171" }, "uris" : [ "http://www.mendeley.com/documents/?uuid=ebfc51c2-b48f-4e97-8feb-c68a8fa5048e" ] } ], "mendeley" : { "formattedCitation" : "&lt;sup&gt;(84)&lt;/sup&gt;", "plainTextFormattedCitation" : "(84)", "previouslyFormattedCitation" : "&lt;sup&gt;(84)&lt;/sup&gt;" }, "properties" : { "noteIndex" : 0 }, "schema" : "https://github.com/citation-style-language/schema/raw/master/csl-citation.json" }</w:instrText>
      </w:r>
      <w:r w:rsidR="000D3FF8">
        <w:fldChar w:fldCharType="separate"/>
      </w:r>
      <w:r w:rsidR="00C40694" w:rsidRPr="00C40694">
        <w:rPr>
          <w:noProof/>
          <w:vertAlign w:val="superscript"/>
        </w:rPr>
        <w:t>(84)</w:t>
      </w:r>
      <w:r w:rsidR="000D3FF8">
        <w:fldChar w:fldCharType="end"/>
      </w:r>
      <w:r w:rsidR="00955A4F">
        <w:t xml:space="preserve">.  High retinol </w:t>
      </w:r>
      <w:r w:rsidR="006637D2">
        <w:t>TNI</w:t>
      </w:r>
      <w:r w:rsidR="00955A4F">
        <w:t xml:space="preserve"> (~2500</w:t>
      </w:r>
      <w:r w:rsidR="00402CA3">
        <w:t> </w:t>
      </w:r>
      <w:proofErr w:type="spellStart"/>
      <w:r w:rsidR="00955A4F">
        <w:rPr>
          <w:rFonts w:cs="Times New Roman"/>
        </w:rPr>
        <w:t>μ</w:t>
      </w:r>
      <w:r w:rsidR="00955A4F">
        <w:t>g</w:t>
      </w:r>
      <w:proofErr w:type="spellEnd"/>
      <w:r w:rsidR="00955A4F">
        <w:t xml:space="preserve">/d) in combination with low vitamin D </w:t>
      </w:r>
      <w:r w:rsidR="006637D2">
        <w:t>TNI</w:t>
      </w:r>
      <w:r w:rsidR="00955A4F">
        <w:t xml:space="preserve"> (&lt; 11</w:t>
      </w:r>
      <w:r w:rsidR="00402CA3">
        <w:t> </w:t>
      </w:r>
      <w:proofErr w:type="spellStart"/>
      <w:r w:rsidR="00955A4F">
        <w:rPr>
          <w:rFonts w:cs="Times New Roman"/>
        </w:rPr>
        <w:t>μ</w:t>
      </w:r>
      <w:r w:rsidR="00955A4F">
        <w:t>g</w:t>
      </w:r>
      <w:proofErr w:type="spellEnd"/>
      <w:r w:rsidR="00955A4F">
        <w:t xml:space="preserve">/d) </w:t>
      </w:r>
      <w:r w:rsidR="006637D2">
        <w:t xml:space="preserve">has been associated with </w:t>
      </w:r>
      <w:r>
        <w:t xml:space="preserve">fractures in post-menopausal </w:t>
      </w:r>
      <w:r w:rsidR="006D011C">
        <w:t xml:space="preserve">women </w:t>
      </w:r>
      <w:r w:rsidR="006D011C">
        <w:fldChar w:fldCharType="begin" w:fldLock="1"/>
      </w:r>
      <w:r w:rsidR="009241D8">
        <w:instrText>ADDIN CSL_CITATION { "citationItems" : [ { "id" : "ITEM-1", "itemData" : { "DOI" : "10.3945/ajcn.2008.26451", "ISSN" : "1938-3207", "PMID" : "19056568", "abstract" : "BACKGROUND: Excessive intakes of vitamin A have been shown to have adverse skeletal effects in animals. High vitamin A intake may lead to an increased risk of fracture in humans. OBJECTIVE: The objective was to evaluate the relation between total vitamin A and retinol intakes and the risk of incident total and hip fracture in postmenopausal women. DESIGN: A total of 75,747 women from the Women's Health Initiative Observational Study participated. The risk of hip and total fractures was determined using Cox proportional hazards models according to different intakes of vitamin A and retinol. RESULTS: In the analysis adjusted for some covariates (age; protein, vitamin D, vitamin K, calcium, caffeine, and alcohol intakes; body mass index; hormone therapy use; smoking; metabolic equivalents hours per week; ethnicity; and region of clinical center), the association between vitamin A intake and the risk of fracture was not statistically significant. Analyses for retinol showed similar trends. When the interaction term was analyzed as categorical, the highest intake of retinol with vitamin D was significant (P = 0.033). Women with lower vitamin D intake (&lt; or =11 microg/d) in the highest quintile of intake of both vitamin A (hazard ratio: 1.19; 95% CI: 1.04, 1.37; P for trend: 0.022) and retinol (hazard ratio: 1.15; 95% CI: 1.03, 1.29; P for trend: 0.056) had a modest increased risk of total fracture. CONCLUSIONS: No association between vitamin A or retinol intake and the risk of hip or total fractures was observed in postmenopausal women. Only a modest increase in total fracture risk with high vitamin A and retinol intakes was observed in the low vitamin D-intake group.", "author" : [ { "dropping-particle" : "", "family" : "Caire-Juvera", "given" : "Graciela", "non-dropping-particle" : "", "parse-names" : false, "suffix" : "" }, { "dropping-particle" : "", "family" : "Ritenbaugh", "given" : "Cheryl", "non-dropping-particle" : "", "parse-names" : false, "suffix" : "" }, { "dropping-particle" : "", "family" : "Wactawski-Wende", "given" : "Jean", "non-dropping-particle" : "", "parse-names" : false, "suffix" : "" }, { "dropping-particle" : "", "family" : "Snetselaar", "given" : "Linda G", "non-dropping-particle" : "", "parse-names" : false, "suffix" : "" }, { "dropping-particle" : "", "family" : "Chen", "given" : "Zhao", "non-dropping-particle" : "", "parse-names" : false, "suffix" : "" } ], "container-title" : "The American journal of clinical nutrition", "id" : "ITEM-1", "issue" : "1", "issued" : { "date-parts" : [ [ "2009", "1" ] ] }, "page" : "323-30", "title" : "Vitamin A and retinol intakes and the risk of fractures among participants of the Women's Health Initiative Observational Study.", "type" : "article-journal", "volume" : "89" }, "uris" : [ "http://www.mendeley.com/documents/?uuid=c35f34bf-6b68-41bd-9276-fa7e64ab41e7" ] } ], "mendeley" : { "formattedCitation" : "&lt;sup&gt;(85)&lt;/sup&gt;", "plainTextFormattedCitation" : "(85)", "previouslyFormattedCitation" : "&lt;sup&gt;(85)&lt;/sup&gt;" }, "properties" : { "noteIndex" : 0 }, "schema" : "https://github.com/citation-style-language/schema/raw/master/csl-citation.json" }</w:instrText>
      </w:r>
      <w:r w:rsidR="006D011C">
        <w:fldChar w:fldCharType="separate"/>
      </w:r>
      <w:r w:rsidR="00C40694" w:rsidRPr="00C40694">
        <w:rPr>
          <w:noProof/>
          <w:vertAlign w:val="superscript"/>
        </w:rPr>
        <w:t>(85)</w:t>
      </w:r>
      <w:r w:rsidR="006D011C">
        <w:fldChar w:fldCharType="end"/>
      </w:r>
      <w:r w:rsidR="006637D2">
        <w:t xml:space="preserve">.  </w:t>
      </w:r>
      <w:r>
        <w:t xml:space="preserve">For Vitamin C the difference between the RNI and </w:t>
      </w:r>
      <w:r w:rsidR="00604AC0">
        <w:t xml:space="preserve">(reversible) </w:t>
      </w:r>
      <w:r>
        <w:t xml:space="preserve">harm </w:t>
      </w:r>
      <w:r w:rsidR="00402CA3">
        <w:t xml:space="preserve">in the form of GI problems </w:t>
      </w:r>
      <w:r>
        <w:t>ranges between 40 mg</w:t>
      </w:r>
      <w:r w:rsidR="00A83BA1">
        <w:t>/d</w:t>
      </w:r>
      <w:r>
        <w:t xml:space="preserve"> and 1000</w:t>
      </w:r>
      <w:r w:rsidR="00402CA3">
        <w:t> </w:t>
      </w:r>
      <w:r>
        <w:t xml:space="preserve">mg/d; whereas for retinol this is </w:t>
      </w:r>
      <w:proofErr w:type="gramStart"/>
      <w:r>
        <w:t>600</w:t>
      </w:r>
      <w:r w:rsidR="00402CA3">
        <w:t> </w:t>
      </w:r>
      <w:proofErr w:type="spellStart"/>
      <w:r w:rsidR="00402CA3">
        <w:rPr>
          <w:rFonts w:cs="Times New Roman"/>
        </w:rPr>
        <w:t>μ</w:t>
      </w:r>
      <w:r>
        <w:t>g</w:t>
      </w:r>
      <w:proofErr w:type="spellEnd"/>
      <w:r>
        <w:t xml:space="preserve">/d </w:t>
      </w:r>
      <w:r w:rsidRPr="4F1696A8">
        <w:rPr>
          <w:i/>
          <w:iCs/>
        </w:rPr>
        <w:t>vs.</w:t>
      </w:r>
      <w:r>
        <w:t xml:space="preserve"> 1500</w:t>
      </w:r>
      <w:r w:rsidR="00402CA3">
        <w:t> </w:t>
      </w:r>
      <w:proofErr w:type="spellStart"/>
      <w:r w:rsidR="00402CA3">
        <w:rPr>
          <w:rFonts w:cs="Times New Roman"/>
        </w:rPr>
        <w:t>μ</w:t>
      </w:r>
      <w:r>
        <w:t>g</w:t>
      </w:r>
      <w:proofErr w:type="spellEnd"/>
      <w:r>
        <w:t>/d (the difference being just over a common vitamin A dose in a supplement)</w:t>
      </w:r>
      <w:proofErr w:type="gramEnd"/>
      <w:r>
        <w:t xml:space="preserve">.  </w:t>
      </w:r>
      <w:r w:rsidR="00A83BA1">
        <w:t xml:space="preserve">The European Food Safety Authority </w:t>
      </w:r>
      <w:r w:rsidR="00A83BA1">
        <w:fldChar w:fldCharType="begin" w:fldLock="1"/>
      </w:r>
      <w:r w:rsidR="009241D8">
        <w:instrText>ADDIN CSL_CITATION { "citationItems" : [ { "id" : "ITEM-1", "itemData" : { "ISBN" : "9291990140", "author" : [ { "dropping-particle" : "", "family" : "Scientific Committee on Food", "given" : "", "non-dropping-particle" : "", "parse-names" : false, "suffix" : "" }, { "dropping-particle" : "", "family" : "Scientific Panel on Dietetic Products Nutrition and Allergies", "given" : "", "non-dropping-particle" : "", "parse-names" : false, "suffix" : "" } ], "id" : "ITEM-1", "issue" : "February", "issued" : { "date-parts" : [ [ "2006" ] ] }, "publisher" : "EFSA", "publisher-place" : "Parma", "title" : "Tolerable upper intake levels for vitamins and minerals", "type" : "report" }, "uris" : [ "http://www.mendeley.com/documents/?uuid=6810995f-e96d-43eb-9521-85f0336737a4" ] } ], "mendeley" : { "formattedCitation" : "&lt;sup&gt;(86)&lt;/sup&gt;", "plainTextFormattedCitation" : "(86)", "previouslyFormattedCitation" : "&lt;sup&gt;(86)&lt;/sup&gt;" }, "properties" : { "noteIndex" : 0 }, "schema" : "https://github.com/citation-style-language/schema/raw/master/csl-citation.json" }</w:instrText>
      </w:r>
      <w:r w:rsidR="00A83BA1">
        <w:fldChar w:fldCharType="separate"/>
      </w:r>
      <w:r w:rsidR="00C40694" w:rsidRPr="00C40694">
        <w:rPr>
          <w:noProof/>
          <w:vertAlign w:val="superscript"/>
        </w:rPr>
        <w:t>(86)</w:t>
      </w:r>
      <w:r w:rsidR="00A83BA1">
        <w:fldChar w:fldCharType="end"/>
      </w:r>
      <w:r w:rsidR="00A83BA1">
        <w:t xml:space="preserve"> and</w:t>
      </w:r>
      <w:r w:rsidR="00126AA1">
        <w:t xml:space="preserve"> the Expert group on Vitamin</w:t>
      </w:r>
      <w:r w:rsidR="00A83BA1">
        <w:t>s</w:t>
      </w:r>
      <w:r w:rsidR="00126AA1">
        <w:t xml:space="preserve"> and Minerals</w:t>
      </w:r>
      <w:r w:rsidR="00A83BA1">
        <w:t xml:space="preserve"> in the UK have extensively</w:t>
      </w:r>
      <w:r w:rsidR="00126AA1" w:rsidRPr="4F1696A8">
        <w:t xml:space="preserve"> </w:t>
      </w:r>
      <w:r w:rsidR="00A83BA1">
        <w:t>reviewed trials and safety reports</w:t>
      </w:r>
      <w:r w:rsidR="00126AA1">
        <w:t xml:space="preserve"> for a wide range of nutrients </w:t>
      </w:r>
      <w:r w:rsidR="00126AA1">
        <w:fldChar w:fldCharType="begin" w:fldLock="1"/>
      </w:r>
      <w:r w:rsidR="00C1396B">
        <w:instrText>ADDIN CSL_CITATION { "citationItems" : [ { "id" : "ITEM-1", "itemData" : { "abstract" : "The Expert Group on Vitamins and Minerals (EVM) is an independent expert advisory committee which was asked to advise on safe levels of intakes of vitamins and minerals in food supplements and fortified foods. The EVM was asked to consider only vitamins and minerals sold under food law. Review of nutritional or non-nutritional beneficial effects or non nutritional use in medicines was outside the terms of reference of the group. The use of vitamins and minerals in medicines is within the remit of the Medicines and Healthcare products Regulatory Agency (MHRA). The EVM considered a detailed review of the relevant evidence for each substance and then a risk assessment which was based on this evidence. The detailed reviews covered both nutritional and toxicological information. Thirty-four substances were assessed in detail. Safe Upper Levels (SULs) were recommended for eight vitamins and minerals and guidance was issued for twenty-two. Recommendations for SULs made by the EVM depend on the availability of good data on both the nature and the frequency of adverse effects detected at different levels of intake. The database supporting the safety-in-use of vitamins and minerals is generally poor. There is a particular lack of reasonable-sized, well-designed comparative human studies of significant duration at different levels of intake, and with adequate assessment of possible adverse effects. Moreover, there has rarely been adequate consideration of potentially vulnerable population sub-groups such as children or older people. For some nutrients the EVM had to rely on animal data, with the use of empirical uncertainty factors in order to allow the extrapolation of the data to humans. For some vitamins and minerals the animal data were too limited for this purpose. As a consequence, the ability to give clear advice on SULs was often compromised and, in many cases, the EVM considered the evidence base inadequate to set a SUL. In such cases, and where possible, Guidance Levels have been given instead. These are based on very limited data; Guidance Levels must not be confused with, or used as, SULs. The determination of SULs or Guidance Levels entails the determination of doses of vitamins and minerals that potentially susceptible individuals could take daily on a life-long basis, without medical supervision in reasonable safety. The setting of these levels provides a framework within which the consumer can make an informed decision about intake, having confiden\u2026", "author" : [ { "dropping-particle" : "", "family" : "Expert group on vitamins and minerals", "given" : "", "non-dropping-particle" : "", "parse-names" : false, "suffix" : "" } ], "id" : "ITEM-1", "issue" : "May", "issued" : { "date-parts" : [ [ "2003" ] ] }, "publisher" : "Food Standards Agency", "publisher-place" : "London", "title" : "Safe Upper Levels for Vitamins and Minerals", "type" : "report" }, "uris" : [ "http://www.mendeley.com/documents/?uuid=0dbc1101-8251-4b23-b660-4130a89a62b1" ] } ], "mendeley" : { "formattedCitation" : "&lt;sup&gt;(36)&lt;/sup&gt;", "plainTextFormattedCitation" : "(36)", "previouslyFormattedCitation" : "&lt;sup&gt;(36)&lt;/sup&gt;" }, "properties" : { "noteIndex" : 0 }, "schema" : "https://github.com/citation-style-language/schema/raw/master/csl-citation.json" }</w:instrText>
      </w:r>
      <w:r w:rsidR="00126AA1">
        <w:fldChar w:fldCharType="separate"/>
      </w:r>
      <w:r w:rsidR="00975B94" w:rsidRPr="00975B94">
        <w:rPr>
          <w:noProof/>
          <w:vertAlign w:val="superscript"/>
        </w:rPr>
        <w:t>(36)</w:t>
      </w:r>
      <w:r w:rsidR="00126AA1">
        <w:fldChar w:fldCharType="end"/>
      </w:r>
      <w:r w:rsidR="00126AA1" w:rsidRPr="4F1696A8">
        <w:t>.</w:t>
      </w:r>
      <w:r w:rsidR="00E90DDB" w:rsidRPr="4F1696A8">
        <w:t xml:space="preserve">  </w:t>
      </w:r>
      <w:proofErr w:type="gramStart"/>
      <w:r w:rsidR="00AD5AA8">
        <w:t>A selection of the</w:t>
      </w:r>
      <w:r w:rsidR="00D94B52">
        <w:t xml:space="preserve"> </w:t>
      </w:r>
      <w:r w:rsidR="00164713">
        <w:t>S</w:t>
      </w:r>
      <w:r w:rsidR="00D94B52">
        <w:t xml:space="preserve">ULs set by the </w:t>
      </w:r>
      <w:r w:rsidR="00E90DDB">
        <w:t xml:space="preserve">EVM </w:t>
      </w:r>
      <w:r w:rsidR="00D94B52">
        <w:t>are</w:t>
      </w:r>
      <w:proofErr w:type="gramEnd"/>
      <w:r w:rsidR="00E90DDB">
        <w:t xml:space="preserve"> provided in</w:t>
      </w:r>
      <w:r w:rsidR="00D34A30">
        <w:t xml:space="preserve"> Table 4</w:t>
      </w:r>
      <w:r w:rsidR="00D94B52" w:rsidRPr="00AD5AA8">
        <w:t>.</w:t>
      </w:r>
      <w:r w:rsidR="00D94B52">
        <w:t xml:space="preserve">  When compared against the 95</w:t>
      </w:r>
      <w:r w:rsidR="00D94B52" w:rsidRPr="00D94B52">
        <w:rPr>
          <w:vertAlign w:val="superscript"/>
        </w:rPr>
        <w:t>th</w:t>
      </w:r>
      <w:r w:rsidR="00D94B52">
        <w:t xml:space="preserve"> centile of </w:t>
      </w:r>
      <w:r w:rsidR="00AD5AA8">
        <w:t>supplement-</w:t>
      </w:r>
      <w:r w:rsidR="00D94B52">
        <w:t xml:space="preserve">sourced intake among the adult population in the NDNS, </w:t>
      </w:r>
      <w:r w:rsidR="00462586">
        <w:t>it is</w:t>
      </w:r>
      <w:r w:rsidR="00D94B52">
        <w:t xml:space="preserve"> observe</w:t>
      </w:r>
      <w:r w:rsidR="00462586">
        <w:t>d</w:t>
      </w:r>
      <w:r w:rsidR="00D94B52">
        <w:t xml:space="preserve"> that</w:t>
      </w:r>
      <w:r w:rsidR="00AD5AA8">
        <w:t xml:space="preserve"> </w:t>
      </w:r>
      <w:r w:rsidR="003C24D9">
        <w:t>the</w:t>
      </w:r>
      <w:r w:rsidR="00AD5AA8">
        <w:t xml:space="preserve"> </w:t>
      </w:r>
      <w:r w:rsidR="003C24D9">
        <w:t xml:space="preserve">intake of </w:t>
      </w:r>
      <w:r w:rsidR="00AD5AA8">
        <w:t>Zinc and vitamin B6</w:t>
      </w:r>
      <w:r w:rsidR="003C24D9">
        <w:t xml:space="preserve"> could exceed the SUL.  Although such intakes would need to be sustained over a long period of time </w:t>
      </w:r>
      <w:r w:rsidR="007D04A6">
        <w:t>to</w:t>
      </w:r>
      <w:r w:rsidR="003C24D9">
        <w:t xml:space="preserve"> affect health and the collection of a single 4-day diary might not be sufficient to reflect a person’s usual intake or capture the varying behaviour of supplement use.</w:t>
      </w:r>
    </w:p>
    <w:p w14:paraId="5BBAFFDE" w14:textId="660A5D2D" w:rsidR="00213288" w:rsidRDefault="00A73883" w:rsidP="00D94B52">
      <w:r>
        <w:t>Systematic reviews with m</w:t>
      </w:r>
      <w:r w:rsidR="00511CAB">
        <w:t>eta-analyses of trials randomis</w:t>
      </w:r>
      <w:r w:rsidR="002010EA">
        <w:t xml:space="preserve">ing </w:t>
      </w:r>
      <w:r w:rsidR="00511CAB">
        <w:t xml:space="preserve">participants to placebo or </w:t>
      </w:r>
      <w:r w:rsidR="00B4394D">
        <w:t xml:space="preserve">single/combinations of </w:t>
      </w:r>
      <w:r w:rsidR="00511CAB">
        <w:t xml:space="preserve">anti-oxidant supplements (Vitamin A, C, E, </w:t>
      </w:r>
      <w:r w:rsidR="00511CAB">
        <w:rPr>
          <w:rFonts w:ascii="Calibri" w:hAnsi="Calibri" w:cs="Calibri"/>
        </w:rPr>
        <w:t>β</w:t>
      </w:r>
      <w:r w:rsidR="00511CAB">
        <w:t xml:space="preserve">-carotene, selenium), </w:t>
      </w:r>
      <w:r>
        <w:t xml:space="preserve">observed </w:t>
      </w:r>
      <w:r w:rsidR="00B4394D">
        <w:t xml:space="preserve">significant </w:t>
      </w:r>
      <w:r>
        <w:t xml:space="preserve">associations with harm in unbiased trials </w:t>
      </w:r>
      <w:r w:rsidR="00F67D89">
        <w:t xml:space="preserve">(RR </w:t>
      </w:r>
      <w:r w:rsidR="00B4394D">
        <w:t>1.04</w:t>
      </w:r>
      <w:r w:rsidR="00F67D89">
        <w:t>; 95%CI:</w:t>
      </w:r>
      <w:r w:rsidR="00B4394D">
        <w:t xml:space="preserve"> 1.01, 1.07</w:t>
      </w:r>
      <w:r w:rsidR="00F67D89" w:rsidRPr="4F1696A8">
        <w:t>)</w:t>
      </w:r>
      <w:r>
        <w:t xml:space="preserve">, but significant </w:t>
      </w:r>
      <w:r w:rsidR="00F67D89">
        <w:t xml:space="preserve">beneficial associations (RR </w:t>
      </w:r>
      <w:r w:rsidR="00B4394D">
        <w:t>0.91</w:t>
      </w:r>
      <w:r w:rsidR="00F67D89">
        <w:t xml:space="preserve">; 95%CI: </w:t>
      </w:r>
      <w:r w:rsidR="00B4394D">
        <w:t>0.85, 0.98</w:t>
      </w:r>
      <w:r w:rsidR="00F67D89">
        <w:t>) for bia</w:t>
      </w:r>
      <w:r w:rsidR="00F67D89" w:rsidRPr="00ED6425">
        <w:t>sed tri</w:t>
      </w:r>
      <w:r w:rsidR="005B02B6" w:rsidRPr="00ED6425">
        <w:t>a</w:t>
      </w:r>
      <w:r w:rsidR="00F67D89" w:rsidRPr="00ED6425">
        <w:t>ls</w:t>
      </w:r>
      <w:r w:rsidR="00511CAB" w:rsidRPr="00ED6425">
        <w:t xml:space="preserve"> </w:t>
      </w:r>
      <w:r w:rsidR="00467B39" w:rsidRPr="00ED6425">
        <w:fldChar w:fldCharType="begin" w:fldLock="1"/>
      </w:r>
      <w:r w:rsidR="009241D8" w:rsidRPr="00ED6425">
        <w:instrText>ADDIN CSL_CITATION { "citationItems" : [ { "id" : "ITEM-1", "itemData" : { "DOI" : "10.1002/14651858.CD007176.pub2", "PMID" : "2241932018425980", "abstract" : "BACKGROUND: Animal and physiological research as well as observational studies suggest that antioxidant supplements may improve survival. OBJECTIVES: To assess the effect of antioxidant supplements on mortality in primary or secondary prevention randomised clinical trials. SEARCH STRATEGY: We searched The Cochrane Library (Issue 3, 2005), MEDLINE (1966 to October 2005), EMBASE (1985 to October 2005), and the Science Citation Index Expanded (1945 to October 2005). We scanned bibliographies of relevant publications and wrote to pharmaceutical companies for additional trials. SELECTION CRITERIA: We included all primary and secondary prevention randomised clinical trials on antioxidant supplements (beta-carotene, vitamin A, vitamin C, vitamin E, and selenium) versus placebo or no intervention. Included participants were either healthy (primary prevention trials) or had any disease (secondary prevention trials). DATA COLLECTION AND ANALYSIS: Three authors extracted data. Trials with adequate randomisation, blinding, and follow-up were classified as having a low risk of bias. Random-effects and fixed-effect meta-analyses were performed. Random-effects meta-regression analyses were performed to assess sources of intertrial heterogeneity. MAIN RESULTS: Sixty-seven randomised trials with 232,550 participants were included. Forty-seven trials including 180,938 participants had low risk of bias. Twenty-one trials included 164,439 healthy participants. Forty-six trials included 68111 participants with various diseases (gastrointestinal, cardiovascular, neurological, ocular, dermatological, rheumatoid, renal, endocrinological, or unspecified). Overall, the antioxidant supplements had no significant effect on mortality in a random-effects meta-analysis (relative risk [RR] 1.02, 95% confidence interval [CI] 0.99 to 1.06), but significantly increased mortality in a fixed-effect model (RR 1.04, 95% CI 1.02 to 1.06). In meta-regression analysis, the risk of bias and type of antioxidant supplement were the only significant predictors of intertrial heterogeneity. In the trials with a low risk of bias, the antioxidant supplements significantly increased mortality (RR 1.05, 95% CI 1.02 to 1.08). When the different antioxidants were assessed separately, analyses including trials with a low risk of bias and excluding selenium trials found significantly increased mortality by vitamin A (RR 1.16, 95% CI 1.10 to 1.24), beta-carotene (RR 1.07, 95% CI 1.02 to 1.11), and vitamin E (\u2026", "author" : [ { "dropping-particle" : "", "family" : "Bjelakovic", "given" : "Goran", "non-dropping-particle" : "", "parse-names" : false, "suffix" : "" }, { "dropping-particle" : "", "family" : "Nikolova", "given" : "Dimitrinka", "non-dropping-particle" : "", "parse-names" : false, "suffix" : "" }, { "dropping-particle" : "", "family" : "Gluud", "given" : "Lise Lotte", "non-dropping-particle" : "", "parse-names" : false, "suffix" : "" }, { "dropping-particle" : "", "family" : "Simonetti", "given" : "Rosa G.", "non-dropping-particle" : "", "parse-names" : false, "suffix" : "" }, { "dropping-particle" : "", "family" : "Gluud", "given" : "Christian", "non-dropping-particle" : "", "parse-names" : false, "suffix" : "" } ], "container-title" : "Cochrane Database of Systematic Reviews", "editor" : [ { "dropping-particle" : "", "family" : "Bjelakovic", "given" : "Goran", "non-dropping-particle" : "", "parse-names" : false, "suffix" : "" } ], "id" : "ITEM-1", "issue" : "2", "issued" : { "date-parts" : [ [ "2012", "3", "14" ] ] }, "publisher" : "John Wiley &amp; Sons, Ltd", "publisher-place" : "Chichester, UK", "title" : "Antioxidant supplements for prevention of mortality in healthy participants and patients with various diseases", "type" : "chapter" }, "uris" : [ "http://www.mendeley.com/documents/?uuid=712954d5-9da0-4fd0-aefc-84bd8108d79f" ] } ], "mendeley" : { "formattedCitation" : "&lt;sup&gt;(87)&lt;/sup&gt;", "plainTextFormattedCitation" : "(87)", "previouslyFormattedCitation" : "&lt;sup&gt;(87)&lt;/sup&gt;" }, "properties" : { "noteIndex" : 0 }, "schema" : "https://github.com/citation-style-language/schema/raw/master/csl-citation.json" }</w:instrText>
      </w:r>
      <w:r w:rsidR="00467B39" w:rsidRPr="00ED6425">
        <w:fldChar w:fldCharType="separate"/>
      </w:r>
      <w:r w:rsidR="00C40694" w:rsidRPr="00ED6425">
        <w:rPr>
          <w:noProof/>
          <w:vertAlign w:val="superscript"/>
        </w:rPr>
        <w:t>(87)</w:t>
      </w:r>
      <w:r w:rsidR="00467B39" w:rsidRPr="00ED6425">
        <w:fldChar w:fldCharType="end"/>
      </w:r>
      <w:r w:rsidR="008E5A3B" w:rsidRPr="00ED6425">
        <w:t>.</w:t>
      </w:r>
      <w:r w:rsidR="00F67D89" w:rsidRPr="4F1696A8">
        <w:t xml:space="preserve">  </w:t>
      </w:r>
      <w:r w:rsidR="00B4394D">
        <w:t>Significantly h</w:t>
      </w:r>
      <w:r w:rsidR="00F67D89">
        <w:t xml:space="preserve">igher all-cause mortality risks were observed for </w:t>
      </w:r>
      <w:r w:rsidR="002010EA">
        <w:rPr>
          <w:rFonts w:ascii="Calibri" w:hAnsi="Calibri" w:cs="Calibri"/>
        </w:rPr>
        <w:t>β</w:t>
      </w:r>
      <w:r w:rsidR="002010EA">
        <w:t>-</w:t>
      </w:r>
      <w:r w:rsidR="00B4394D">
        <w:t>carotene</w:t>
      </w:r>
      <w:r w:rsidR="00F67D89">
        <w:t xml:space="preserve"> (RR </w:t>
      </w:r>
      <w:r w:rsidR="00B4394D">
        <w:t>1.05</w:t>
      </w:r>
      <w:r w:rsidR="00F67D89">
        <w:t xml:space="preserve">; 95%CI: </w:t>
      </w:r>
      <w:r w:rsidR="00B4394D">
        <w:t>1.01, 1.09</w:t>
      </w:r>
      <w:r w:rsidR="00F67D89" w:rsidRPr="4F1696A8">
        <w:t>)</w:t>
      </w:r>
      <w:r w:rsidR="00B4394D">
        <w:t>, and potentially for vitamins A and E, but not for vitamin C or selenium</w:t>
      </w:r>
      <w:r w:rsidR="00F67D89" w:rsidRPr="4F1696A8">
        <w:t>.</w:t>
      </w:r>
      <w:r w:rsidR="00D94B52">
        <w:t xml:space="preserve">  Also the U.S. Preventive services Task Force recommendation statement concluded that overall no benefit could be observed for primary prevention of cancer or cardiovascular disease when using single nutrient supplements </w:t>
      </w:r>
      <w:r w:rsidR="00D94B52">
        <w:fldChar w:fldCharType="begin" w:fldLock="1"/>
      </w:r>
      <w:r w:rsidR="009241D8">
        <w:instrText>ADDIN CSL_CITATION { "citationItems" : [ { "id" : "ITEM-1", "itemData" : { "DOI" : "10.7326/M14-0198", "ISSN" : "1539-3704", "PMID" : "24566474", "abstract" : "DESCRIPTION: Update of the 2003 U.S. Preventive Services Task Force (USPSTF) recommendation on vitamin supplementation to prevent cardiovascular disease and cancer. METHODS: The USPSTF reviewed the evidence on the efficacy of multivitamin or mineral supplements in the general adult population for the prevention of cardiovascular disease and cancer. POPULATION: This recommendation applies to healthy adults without special nutritional needs (typically aged 50 years or older). It does not apply to children, women who are pregnant or may become pregnant, or persons who are chronically ill or hospitalized or have a known nutritional deficiency. RECOMMENDATION: The USPSTF concludes that the current evidence is insufficient to assess the balance of benefits and harms of multivitamins for the prevention of cardiovascular disease or cancer. (I statement). The USPSTF concludes that the current evidence is insufficient to assess the balance of benefits and harms of single- or paired-nutrient supplements (except \u03b2-carotene and vitamin E) for the prevention of cardiovascular disease or cancer. (I statement). The USPSTF recommends against \u03b2-carotene or vitamin E supplements for the prevention of cardiovascular disease or cancer. (D recommendation).", "author" : [ { "dropping-particle" : "", "family" : "Moyer", "given" : "Virginia A", "non-dropping-particle" : "", "parse-names" : false, "suffix" : "" } ], "container-title" : "Annals of internal medicine", "id" : "ITEM-1", "issue" : "8", "issued" : { "date-parts" : [ [ "2014", "4", "15" ] ] }, "page" : "558-64", "title" : "Vitamin, mineral, and multivitamin supplements for the primary prevention of cardiovascular disease and cancer: U.S. Preventive services Task Force recommendation statement.", "type" : "article-journal", "volume" : "160" }, "uris" : [ "http://www.mendeley.com/documents/?uuid=8526c7b4-febf-42b7-812a-590e00a59c48" ] }, { "id" : "ITEM-2", "itemData" : { "DOI" : "10.7326/0003-4819-159-12-201312170-00729", "ISSN" : "1539-3704", "PMID" : "24217421", "abstract" : "BACKGROUND: Vitamin and mineral supplements are commonly used to prevent chronic diseases. PURPOSE: To systematically review evidence for the benefit and harms of vitamin and mineral supplements in community-dwelling, nutrient-sufficient adults for the primary prevention of cardiovascular disease (CVD) and cancer. DATA SOURCES: MEDLINE, Embase, Cochrane Central Register of Controlled Trials, Cochrane Database of Systematic Reviews, and Database of Abstracts of Reviews of Effects were searched from January 2005 to 29 January 2013, with manual searches of reference lists and gray literature. STUDY SELECTION: Two investigators independently selected and reviewed fair- and good-quality trials for benefit and fair- and good-quality trials and observational studies for harms. DATA EXTRACTION: Dual quality assessments and data abstraction. DATA SYNTHESIS: Two large trials (n = 27 658) reported lower cancer incidence in men taking a multivitamin for more than 10 years (pooled unadjusted relative risk, 0.93 [95% CI, 0.87 to 0.99]). The study that included women showed no effect in that group. High-quality studies (k = 24; n = 324 653) of single and paired nutrients (such as vitamins A, C, or D; folic acid; selenium; or calcium) were scant and heterogeneous and showed no clear evidence of benefit or harm. Neither vitamin E nor \u03b2-carotene prevented CVD or cancer, and \u03b2-carotene increased lung cancer risk in smokers. LIMITATIONS: The analysis included only primary prevention studies in adults without known nutritional deficiencies. Studies were conducted in older individuals and included various supplements and doses under the set upper tolerable limits. Duration of most studies was less than 10 years. CONCLUSION: Limited evidence supports any benefit from vitamin and mineral supplementation for the prevention of cancer or CVD. Two trials found a small, borderline-significant benefit from multivitamin supplements on cancer in men only and no effect on CVD. PRIMARY FUNDING SOURCE: Agency for Healthcare Research and Quality.", "author" : [ { "dropping-particle" : "", "family" : "Fortmann", "given" : "Stephen P", "non-dropping-particle" : "", "parse-names" : false, "suffix" : "" }, { "dropping-particle" : "", "family" : "Burda", "given" : "Brittany U", "non-dropping-particle" : "", "parse-names" : false, "suffix" : "" }, { "dropping-particle" : "", "family" : "Senger", "given" : "Caitlyn A", "non-dropping-particle" : "", "parse-names" : false, "suffix" : "" }, { "dropping-particle" : "", "family" : "Lin", "given" : "Jennifer S", "non-dropping-particle" : "", "parse-names" : false, "suffix" : "" }, { "dropping-particle" : "", "family" : "Whitlock", "given" : "Evelyn P", "non-dropping-particle" : "", "parse-names" : false, "suffix" : "" } ], "container-title" : "Annals of internal medicine", "id" : "ITEM-2", "issue" : "12", "issued" : { "date-parts" : [ [ "2013", "12", "17" ] ] }, "page" : "824-34", "title" : "Vitamin and mineral supplements in the primary prevention of cardiovascular disease and cancer: An updated systematic evidence review for the U.S. Preventive Services Task Force.", "type" : "article-journal", "volume" : "159" }, "uris" : [ "http://www.mendeley.com/documents/?uuid=fefae264-b4d5-4ea2-9a49-ee05ebbb4efb" ] } ], "mendeley" : { "formattedCitation" : "&lt;sup&gt;(88,89)&lt;/sup&gt;", "plainTextFormattedCitation" : "(88,89)", "previouslyFormattedCitation" : "&lt;sup&gt;(88,89)&lt;/sup&gt;" }, "properties" : { "noteIndex" : 0 }, "schema" : "https://github.com/citation-style-language/schema/raw/master/csl-citation.json" }</w:instrText>
      </w:r>
      <w:r w:rsidR="00D94B52">
        <w:fldChar w:fldCharType="separate"/>
      </w:r>
      <w:r w:rsidR="00C40694" w:rsidRPr="00C40694">
        <w:rPr>
          <w:noProof/>
          <w:vertAlign w:val="superscript"/>
        </w:rPr>
        <w:t>(88,89)</w:t>
      </w:r>
      <w:r w:rsidR="00D94B52">
        <w:fldChar w:fldCharType="end"/>
      </w:r>
      <w:r w:rsidR="00D94B52">
        <w:t xml:space="preserve">.  A meta-analysis of MVMM-type supplement trials concluded no benefit with regards to </w:t>
      </w:r>
      <w:r w:rsidR="006637D2">
        <w:t xml:space="preserve">total, cardiovascular or cancer </w:t>
      </w:r>
      <w:r w:rsidR="00D94B52">
        <w:t xml:space="preserve">mortality </w:t>
      </w:r>
      <w:r w:rsidR="00213288">
        <w:fldChar w:fldCharType="begin" w:fldLock="1"/>
      </w:r>
      <w:r w:rsidR="009241D8">
        <w:instrText>ADDIN CSL_CITATION { "citationItems" : [ { "id" : "ITEM-1", "itemData" : { "ISSN" : "1938-3207", "PMID" : "23255568", "abstract" : "BACKGROUND: Multivitamins are the most commonly used supplement in the developed world. Recent epidemiologic findings suggest that multivitamin use increases the risk of mortality. OBJECTIVE: We aimed to determine whether multivitamin-multimineral treatment, used for primary or secondary prevention, increases the risk of mortality in independently living adults. DESIGN: We performed a meta-analysis of randomized controlled trials. Multiple electronic databases were systematically searched from March to October 2012. Randomized controlled primary or secondary prevention trials were considered for inclusion. Eligible trials investigated daily multivitamin-multimineral supplementation for \u22651 y. Cohorts described as institutionalized or as having terminal illness (tertiary prevention) were excluded. The number of deaths and the sample size of each study arm were extracted independently by 2 researchers. Twenty-one articles were included in the analysis, which generated a total pooled sample of 91,074 people and 8794 deaths. These trials were pooled in a meta-analysis, and the outcomes were expressed as RRs and 95% CIs. RESULTS: The average age of the pooled sample was 62 y, and the average duration of supplementation was 43 mo. Across all studies, no effect of multivitamin-multimineral treatment on all-cause mortality (RR: 0.98; 95% CI: 0.94, 1.02) was observed. There was a trend for a reduced risk of all-cause mortality across primary prevention trials (RR: 0.94; 95% CI: 0.89, 1.00). Multivitamin-multimineral treatment had no effect on mortality due to vascular causes (RR: 1.01; 95% CI: 0.93, 1.09) or cancer (RR: 0.96; 95% CI: 0.88, 1.04). No statistical evidence of heterogeneity or publication bias was observed. CONCLUSION: Multivitamin-multimineral treatment has no effect on mortality risk.", "author" : [ { "dropping-particle" : "", "family" : "Macpherson", "given" : "Helen", "non-dropping-particle" : "", "parse-names" : false, "suffix" : "" }, { "dropping-particle" : "", "family" : "Pipingas", "given" : "Andrew", "non-dropping-particle" : "", "parse-names" : false, "suffix" : "" }, { "dropping-particle" : "", "family" : "Pase", "given" : "Matthew P", "non-dropping-particle" : "", "parse-names" : false, "suffix" : "" } ], "container-title" : "The American journal of clinical nutrition", "id" : "ITEM-1", "issue" : "2", "issued" : { "date-parts" : [ [ "2013", "2", "19" ] ] }, "page" : "437-44", "title" : "Multivitamin-multimineral supplementation and mortality: a meta-analysis of randomized controlled trials.", "type" : "article-journal", "volume" : "97" }, "uris" : [ "http://www.mendeley.com/documents/?uuid=5df0aa0d-7767-4fa0-9619-449dd2a40d3d" ] } ], "mendeley" : { "formattedCitation" : "&lt;sup&gt;(90)&lt;/sup&gt;", "plainTextFormattedCitation" : "(90)", "previouslyFormattedCitation" : "&lt;sup&gt;(90)&lt;/sup&gt;" }, "properties" : { "noteIndex" : 0 }, "schema" : "https://github.com/citation-style-language/schema/raw/master/csl-citation.json" }</w:instrText>
      </w:r>
      <w:r w:rsidR="00213288">
        <w:fldChar w:fldCharType="separate"/>
      </w:r>
      <w:r w:rsidR="00C40694" w:rsidRPr="00C40694">
        <w:rPr>
          <w:noProof/>
          <w:vertAlign w:val="superscript"/>
        </w:rPr>
        <w:t>(90)</w:t>
      </w:r>
      <w:r w:rsidR="00213288">
        <w:fldChar w:fldCharType="end"/>
      </w:r>
      <w:r w:rsidR="00213288" w:rsidRPr="4F1696A8">
        <w:t>.</w:t>
      </w:r>
    </w:p>
    <w:p w14:paraId="7B6E7AED" w14:textId="64BB5610" w:rsidR="0078409A" w:rsidRDefault="004F1B88" w:rsidP="589C4AF9">
      <w:pPr>
        <w:rPr>
          <w:rFonts w:eastAsia="Times New Roman" w:cs="Times New Roman"/>
          <w:szCs w:val="24"/>
        </w:rPr>
      </w:pPr>
      <w:r>
        <w:t xml:space="preserve">The </w:t>
      </w:r>
      <w:proofErr w:type="spellStart"/>
      <w:r w:rsidR="00396D7C">
        <w:t>Linxian</w:t>
      </w:r>
      <w:proofErr w:type="spellEnd"/>
      <w:r w:rsidR="00396D7C">
        <w:t xml:space="preserve"> Nutrition Intervention Trials </w:t>
      </w:r>
      <w:r w:rsidR="006A0FEF">
        <w:t>in the general population</w:t>
      </w:r>
      <w:r w:rsidR="0064433B" w:rsidRPr="589C4AF9">
        <w:t>,</w:t>
      </w:r>
      <w:r w:rsidR="006A0FEF" w:rsidRPr="589C4AF9">
        <w:t xml:space="preserve"> </w:t>
      </w:r>
      <w:r w:rsidR="004C05C0">
        <w:t xml:space="preserve">studied the effects of the use of </w:t>
      </w:r>
      <w:r w:rsidR="0078409A">
        <w:t>any of the four supplement combinations:</w:t>
      </w:r>
      <w:r w:rsidR="0078409A" w:rsidRPr="589C4AF9">
        <w:t xml:space="preserve"> </w:t>
      </w:r>
      <w:r w:rsidR="004C05C0">
        <w:t>retin</w:t>
      </w:r>
      <w:r w:rsidR="006637D2">
        <w:t>o</w:t>
      </w:r>
      <w:r w:rsidR="004C05C0">
        <w:t xml:space="preserve">l &amp; zinc, riboflavin &amp; niacin, vitamin C &amp; molybdenum, or </w:t>
      </w:r>
      <w:r w:rsidR="00DB79AB">
        <w:rPr>
          <w:rFonts w:cs="Times New Roman"/>
        </w:rPr>
        <w:t>ß</w:t>
      </w:r>
      <w:r w:rsidR="004C05C0">
        <w:t>-carotene, vitamin E &amp; selenium in the prevention of all-cause mortality, cancer mortality and cancer incidence</w:t>
      </w:r>
      <w:r w:rsidR="004C05C0" w:rsidRPr="589C4AF9">
        <w:t xml:space="preserve"> </w:t>
      </w:r>
      <w:r w:rsidR="004C05C0">
        <w:fldChar w:fldCharType="begin" w:fldLock="1"/>
      </w:r>
      <w:r w:rsidR="009241D8">
        <w:instrText>ADDIN CSL_CITATION { "citationItems" : [ { "id" : "ITEM-1", "itemData" : { "ISSN" : "0027-8874", "PMID" : "8360931", "abstract" : "BACKGROUND Epidemiologic evidence indicates that diets high in fruits and vegetables are associated with a reduced risk of several cancers, including cancers of the esophagus and stomach. Vitamins and minerals in these foods may contribute to the reduced cancer risk. The people of Linxian County, China, have one of the world's highest rates of esophageal/gastric cardia cancer and a persistently low intake of several micronutrients. PURPOSE We sought to determine if dietary supplementation with specific vitamins and minerals can lower mortality from or incidence of cancer as well as mortality from other diseases in Linxian. METHODS Individuals of ages 40-69 were recruited in 1985 from four Linxian communes. Mortality and cancer incidence during March 1986-May 1991 were ascertained for 29,584 adults who received daily vitamin and mineral supplementation throughout this period. The subjects were randomly assigned to intervention groups according to a one-half replicate of a 2(4) factorial experimental design. This design enabled testing for the effects of four combinations of nutrients: (A) retinol and zinc; (B) riboflavin and niacin; (C) vitamin C and molybdenum; and (D) beta carotene, vitamin E, and selenium. Doses ranged from one to two times U.S. Recommended Daily Allowances. RESULTS A total of 2127 deaths occurred among trial participants during the intervention period. Cancer was the leading cause of death, with 32% of all deaths due to esophageal or stomach cancer, followed by cerebrovascular disease (25%). Significantly (P = .03) lower total mortality (relative risk [RR] = 0.91; 95% confidence interval [CI] = 0.84-0.99) occurred among those receiving supplementation with beta carotene, vitamin E, and selenium. The reduction was mainly due to lower cancer rates (RR = 0.87; 95% CI = 0.75-1.00), especially stomach cancer (RR = 0.79; 95% CI = 0.64-0.99), with the reduced risk beginning to arise about 1-2 years after the start of supplementation with these vitamins and minerals. No significant effects on mortality rates from all causes were found for supplementation with retinol and zinc, riboflavin and niacin, or vitamin C and molybdenum. Patterns of cancer incidence, on the basis of 1298 cases, generally resembled those for cancer mortality. CONCLUSIONS The findings indicate that vitamin and mineral supplementation of the diet of Linxian adults, particularly with the combination of beta carotene, vitamin E, and selenium, may effect a reduction in canc\u2026", "author" : [ { "dropping-particle" : "", "family" : "Blot", "given" : "William J", "non-dropping-particle" : "", "parse-names" : false, "suffix" : "" }, { "dropping-particle" : "", "family" : "Li", "given" : "J Y", "non-dropping-particle" : "", "parse-names" : false, "suffix" : "" }, { "dropping-particle" : "", "family" : "Taylor", "given" : "Philip R", "non-dropping-particle" : "", "parse-names" : false, "suffix" : "" }, { "dropping-particle" : "", "family" : "Guo", "given" : "Wande", "non-dropping-particle" : "", "parse-names" : false, "suffix" : "" }, { "dropping-particle" : "", "family" : "Dawsey", "given" : "Sanford", "non-dropping-particle" : "", "parse-names" : false, "suffix" : "" }, { "dropping-particle" : "", "family" : "Wang", "given" : "G Q", "non-dropping-particle" : "", "parse-names" : false, "suffix" : "" }, { "dropping-particle" : "", "family" : "Yang", "given" : "Chung S", "non-dropping-particle" : "", "parse-names" : false, "suffix" : "" }, { "dropping-particle" : "", "family" : "Zheng", "given" : "S F", "non-dropping-particle" : "", "parse-names" : false, "suffix" : "" }, { "dropping-particle" : "", "family" : "Gail", "given" : "Mitchell", "non-dropping-particle" : "", "parse-names" : false, "suffix" : "" }, { "dropping-particle" : "", "family" : "Li", "given" : "G Y", "non-dropping-particle" : "", "parse-names" : false, "suffix" : "" } ], "container-title" : "Journal of the National Cancer Institute", "id" : "ITEM-1", "issue" : "18", "issued" : { "date-parts" : [ [ "1993", "9", "15" ] ] }, "page" : "1483-92", "title" : "Nutrition intervention trials in Linxian, China: supplementation with specific vitamin/mineral combinations, cancer incidence, and disease-specific mortality in the general population.", "type" : "article-journal", "volume" : "85" }, "uris" : [ "http://www.mendeley.com/documents/?uuid=3ebf4413-9824-447a-bce2-695ff830235f" ] } ], "mendeley" : { "formattedCitation" : "&lt;sup&gt;(91)&lt;/sup&gt;", "plainTextFormattedCitation" : "(91)", "previouslyFormattedCitation" : "&lt;sup&gt;(91)&lt;/sup&gt;" }, "properties" : { "noteIndex" : 0 }, "schema" : "https://github.com/citation-style-language/schema/raw/master/csl-citation.json" }</w:instrText>
      </w:r>
      <w:r w:rsidR="004C05C0">
        <w:fldChar w:fldCharType="separate"/>
      </w:r>
      <w:r w:rsidR="00C40694" w:rsidRPr="00C40694">
        <w:rPr>
          <w:noProof/>
          <w:vertAlign w:val="superscript"/>
        </w:rPr>
        <w:t>(91)</w:t>
      </w:r>
      <w:r w:rsidR="004C05C0">
        <w:fldChar w:fldCharType="end"/>
      </w:r>
      <w:r w:rsidR="0078409A" w:rsidRPr="589C4AF9">
        <w:t xml:space="preserve">. </w:t>
      </w:r>
      <w:r w:rsidR="004C05C0" w:rsidRPr="589C4AF9">
        <w:t xml:space="preserve"> </w:t>
      </w:r>
      <w:r w:rsidR="004C05C0">
        <w:t xml:space="preserve">It observed significant reductions in mortality (9%), cancer mortality (13%), but particularly for stomach cancer (21%) when </w:t>
      </w:r>
      <w:r w:rsidR="7471AC24" w:rsidRPr="7471AC24">
        <w:rPr>
          <w:rFonts w:cs="Times New Roman"/>
        </w:rPr>
        <w:t>ß</w:t>
      </w:r>
      <w:r w:rsidR="7471AC24">
        <w:t xml:space="preserve">-carotene, vitamin E &amp; selenium were supplemented. </w:t>
      </w:r>
      <w:r w:rsidR="004C05C0" w:rsidRPr="589C4AF9">
        <w:t xml:space="preserve"> </w:t>
      </w:r>
      <w:r w:rsidR="004C05C0">
        <w:t xml:space="preserve">Potential explanations for the observed </w:t>
      </w:r>
      <w:r w:rsidR="006637D2">
        <w:t xml:space="preserve">effects </w:t>
      </w:r>
      <w:r w:rsidR="004C05C0">
        <w:t>were</w:t>
      </w:r>
      <w:r w:rsidR="00DB79AB">
        <w:t xml:space="preserve"> marginal micronutrient intake </w:t>
      </w:r>
      <w:r w:rsidR="007D04A6">
        <w:t xml:space="preserve">at baseline </w:t>
      </w:r>
      <w:r w:rsidR="00DB79AB">
        <w:t>due to low consumption of fruits and vegetables</w:t>
      </w:r>
      <w:r w:rsidR="004C05C0" w:rsidRPr="589C4AF9">
        <w:t xml:space="preserve">.  </w:t>
      </w:r>
      <w:r w:rsidR="004C05C0" w:rsidRPr="3260BE44">
        <w:t xml:space="preserve">Indeed, plasma vitamin C concentrations were low at the start of the trial and </w:t>
      </w:r>
      <w:proofErr w:type="gramStart"/>
      <w:r w:rsidR="004C05C0" w:rsidRPr="3260BE44">
        <w:t>a daily supplement doses</w:t>
      </w:r>
      <w:proofErr w:type="gramEnd"/>
      <w:r w:rsidR="004C05C0" w:rsidRPr="3260BE44">
        <w:t xml:space="preserve"> of 120</w:t>
      </w:r>
      <w:r w:rsidR="004C05C0" w:rsidRPr="589C4AF9">
        <w:t xml:space="preserve"> </w:t>
      </w:r>
      <w:r w:rsidR="004C05C0" w:rsidRPr="3260BE44">
        <w:t xml:space="preserve">mg/d raised these concentrations comparable to or just below the UK mean.  </w:t>
      </w:r>
      <w:bookmarkStart w:id="8" w:name="_Hlk522093621"/>
      <w:r w:rsidR="004C05C0" w:rsidRPr="3260BE44">
        <w:t xml:space="preserve">Suboptimal circulating vitamin </w:t>
      </w:r>
      <w:r w:rsidR="004C05C0" w:rsidRPr="3260BE44">
        <w:lastRenderedPageBreak/>
        <w:t xml:space="preserve">concentrations have also been proposed as an explanation for the decrease in cancer incidence in the supplementation </w:t>
      </w:r>
      <w:r w:rsidR="004C05C0" w:rsidRPr="589C4AF9">
        <w:rPr>
          <w:i/>
          <w:iCs/>
        </w:rPr>
        <w:t>vs.</w:t>
      </w:r>
      <w:r w:rsidR="004C05C0" w:rsidRPr="3260BE44">
        <w:t xml:space="preserve"> pl</w:t>
      </w:r>
      <w:r w:rsidR="004C05C0" w:rsidRPr="00ED6425">
        <w:t>acebo</w:t>
      </w:r>
      <w:r w:rsidR="007D04A6" w:rsidRPr="00ED6425">
        <w:t xml:space="preserve"> arm</w:t>
      </w:r>
      <w:r w:rsidR="004C05C0" w:rsidRPr="00ED6425">
        <w:t xml:space="preserve"> in men</w:t>
      </w:r>
      <w:r w:rsidR="00D34A30" w:rsidRPr="00ED6425">
        <w:t xml:space="preserve"> </w:t>
      </w:r>
      <w:r w:rsidR="004C05C0" w:rsidRPr="00ED6425">
        <w:t xml:space="preserve">of the </w:t>
      </w:r>
      <w:proofErr w:type="spellStart"/>
      <w:r w:rsidR="3260BE44" w:rsidRPr="00ED6425">
        <w:rPr>
          <w:rFonts w:eastAsia="Times New Roman" w:cs="Times New Roman"/>
          <w:szCs w:val="24"/>
        </w:rPr>
        <w:t>SUpplementation</w:t>
      </w:r>
      <w:proofErr w:type="spellEnd"/>
      <w:r w:rsidR="3260BE44" w:rsidRPr="00ED6425">
        <w:rPr>
          <w:rFonts w:eastAsia="Times New Roman" w:cs="Times New Roman"/>
          <w:szCs w:val="24"/>
        </w:rPr>
        <w:t xml:space="preserve"> </w:t>
      </w:r>
      <w:proofErr w:type="spellStart"/>
      <w:r w:rsidR="3260BE44" w:rsidRPr="00ED6425">
        <w:rPr>
          <w:rFonts w:eastAsia="Times New Roman" w:cs="Times New Roman"/>
          <w:szCs w:val="24"/>
        </w:rPr>
        <w:t>en</w:t>
      </w:r>
      <w:proofErr w:type="spellEnd"/>
      <w:r w:rsidR="3260BE44" w:rsidRPr="00ED6425">
        <w:rPr>
          <w:rFonts w:eastAsia="Times New Roman" w:cs="Times New Roman"/>
          <w:szCs w:val="24"/>
        </w:rPr>
        <w:t xml:space="preserve"> </w:t>
      </w:r>
      <w:proofErr w:type="spellStart"/>
      <w:r w:rsidR="3260BE44" w:rsidRPr="00ED6425">
        <w:rPr>
          <w:rFonts w:eastAsia="Times New Roman" w:cs="Times New Roman"/>
          <w:szCs w:val="24"/>
        </w:rPr>
        <w:t>VItamines</w:t>
      </w:r>
      <w:proofErr w:type="spellEnd"/>
      <w:r w:rsidR="3260BE44" w:rsidRPr="00ED6425">
        <w:rPr>
          <w:rFonts w:eastAsia="Times New Roman" w:cs="Times New Roman"/>
          <w:szCs w:val="24"/>
        </w:rPr>
        <w:t xml:space="preserve"> </w:t>
      </w:r>
      <w:proofErr w:type="gramStart"/>
      <w:r w:rsidR="3260BE44" w:rsidRPr="00ED6425">
        <w:rPr>
          <w:rFonts w:eastAsia="Times New Roman" w:cs="Times New Roman"/>
          <w:szCs w:val="24"/>
        </w:rPr>
        <w:t>et</w:t>
      </w:r>
      <w:proofErr w:type="gramEnd"/>
      <w:r w:rsidR="3260BE44" w:rsidRPr="00ED6425">
        <w:rPr>
          <w:rFonts w:eastAsia="Times New Roman" w:cs="Times New Roman"/>
          <w:szCs w:val="24"/>
        </w:rPr>
        <w:t xml:space="preserve"> </w:t>
      </w:r>
      <w:proofErr w:type="spellStart"/>
      <w:r w:rsidR="3260BE44" w:rsidRPr="00ED6425">
        <w:rPr>
          <w:rFonts w:eastAsia="Times New Roman" w:cs="Times New Roman"/>
          <w:szCs w:val="24"/>
        </w:rPr>
        <w:t>Mineraux</w:t>
      </w:r>
      <w:proofErr w:type="spellEnd"/>
      <w:r w:rsidR="3260BE44" w:rsidRPr="00ED6425">
        <w:rPr>
          <w:rFonts w:eastAsia="Times New Roman" w:cs="Times New Roman"/>
          <w:szCs w:val="24"/>
        </w:rPr>
        <w:t xml:space="preserve"> </w:t>
      </w:r>
      <w:proofErr w:type="spellStart"/>
      <w:r w:rsidR="3260BE44" w:rsidRPr="00ED6425">
        <w:rPr>
          <w:rFonts w:eastAsia="Times New Roman" w:cs="Times New Roman"/>
          <w:szCs w:val="24"/>
        </w:rPr>
        <w:t>AntioXydants</w:t>
      </w:r>
      <w:proofErr w:type="spellEnd"/>
      <w:r w:rsidR="3260BE44" w:rsidRPr="00ED6425">
        <w:rPr>
          <w:rFonts w:eastAsia="Times New Roman" w:cs="Times New Roman"/>
          <w:szCs w:val="24"/>
        </w:rPr>
        <w:t xml:space="preserve"> (SU.VI.MAX) trial, since the baseline antioxidant concentrations were lower in men. </w:t>
      </w:r>
      <w:r w:rsidR="00D34A30" w:rsidRPr="00ED6425">
        <w:rPr>
          <w:rFonts w:eastAsia="Times New Roman" w:cs="Times New Roman"/>
          <w:szCs w:val="24"/>
        </w:rPr>
        <w:t>I</w:t>
      </w:r>
      <w:r w:rsidR="3260BE44" w:rsidRPr="00ED6425">
        <w:rPr>
          <w:rFonts w:eastAsia="Times New Roman" w:cs="Times New Roman"/>
          <w:szCs w:val="24"/>
        </w:rPr>
        <w:t>n post-hoc analysis, an interaction (</w:t>
      </w:r>
      <w:r w:rsidR="3260BE44" w:rsidRPr="00ED6425">
        <w:rPr>
          <w:rFonts w:eastAsia="Times New Roman" w:cs="Times New Roman"/>
          <w:i/>
          <w:iCs/>
          <w:szCs w:val="24"/>
        </w:rPr>
        <w:t>P</w:t>
      </w:r>
      <w:r w:rsidR="3260BE44" w:rsidRPr="00ED6425">
        <w:rPr>
          <w:rFonts w:eastAsia="Times New Roman" w:cs="Times New Roman"/>
          <w:szCs w:val="24"/>
        </w:rPr>
        <w:t xml:space="preserve">=0.04) between baseline concentrations </w:t>
      </w:r>
      <w:r w:rsidR="00635965" w:rsidRPr="00ED6425">
        <w:rPr>
          <w:rFonts w:eastAsia="Times New Roman" w:cs="Times New Roman"/>
          <w:szCs w:val="24"/>
        </w:rPr>
        <w:t xml:space="preserve">and trial arm </w:t>
      </w:r>
      <w:r w:rsidR="3260BE44" w:rsidRPr="00ED6425">
        <w:rPr>
          <w:rFonts w:eastAsia="Times New Roman" w:cs="Times New Roman"/>
          <w:szCs w:val="24"/>
        </w:rPr>
        <w:t>could only be observed for vitamin C and only among men</w:t>
      </w:r>
      <w:r w:rsidRPr="00ED6425">
        <w:t xml:space="preserve"> </w:t>
      </w:r>
      <w:r w:rsidRPr="00ED6425">
        <w:fldChar w:fldCharType="begin" w:fldLock="1"/>
      </w:r>
      <w:r w:rsidR="009241D8" w:rsidRPr="00ED6425">
        <w:instrText>ADDIN CSL_CITATION { "citationItems" : [ { "id" : "ITEM-1", "itemData" : { "ISSN" : "0007-1145", "PMID" : "16115341", "abstract" : "The SUpplementation en VItamines et Mineraux AntioXydants (SU.VI.MAX) study, a randomised double-blind, primary-prevention trial showed that after 7.5 years, low-dose antioxidant supplementation lowered the total cancer incidence in men, but not in women. To explain this difference in the impact of antioxidant supplementation in men and women, we hypothesised that the effect of supplementation is dependent on initial antioxidant status; 12 741 French adults (7713 females aged 35--60 years; 5028 males aged 45--60 years) received daily antioxidant supplementation (120 mg vitamin C, 30 mg vitamin E, 6 mg beta-carotene, 100 microg Se, 20 mg Zn daily) or a matching placebo. Cut-off limits for baseline serum concentrations of the different antioxidant vitamins and minerals were defined as follows for both men and women: 0.3 micromol/l for beta-carotene, 11.4 micromol/l for vitamin C, 15 micromol/l for vitamin E, 0.75 micromol/l for Se and 10.7 micromol/l for Zn. The percentage of men with serum concentrations under cut-off limits was higher for vitamins C and E and beta-carotene in those who developed a cancer than in those who did not. The risk of cancer was higher in men with baseline concentrations of serum vitamin C or vitamin E under cut-off limits, but not in women. The effect of supplementation was greater in men with baseline serum concentrations of vitamin C, vitamin E and beta-carotene below the cut-off limits compared with those above it. This effect was maintained only for vitamin E after adjustment for age, tobacco, and alcohol consumption and BMI. No effect of supplementation could be seen in women. Baseline antioxidant status is related to the risk of cancer in men but not in women and therefore does not entirely explain the differences observed in the effect of antioxidant supplementation on cancer risk between sexes in the SU.VI.MAX study.", "author" : [ { "dropping-particle" : "", "family" : "Galan", "given" : "Pilar", "non-dropping-particle" : "", "parse-names" : false, "suffix" : "" }, { "dropping-particle" : "", "family" : "Brian\u00e7on", "given" : "Serge", "non-dropping-particle" : "", "parse-names" : false, "suffix" : "" }, { "dropping-particle" : "", "family" : "Favier", "given" : "Alain", "non-dropping-particle" : "", "parse-names" : false, "suffix" : "" }, { "dropping-particle" : "", "family" : "Bertrais", "given" : "Sandrine", "non-dropping-particle" : "", "parse-names" : false, "suffix" : "" }, { "dropping-particle" : "", "family" : "Preziosi", "given" : "Paul", "non-dropping-particle" : "", "parse-names" : false, "suffix" : "" }, { "dropping-particle" : "", "family" : "Faure", "given" : "Henri", "non-dropping-particle" : "", "parse-names" : false, "suffix" : "" }, { "dropping-particle" : "", "family" : "Arnaud", "given" : "Josiane", "non-dropping-particle" : "", "parse-names" : false, "suffix" : "" }, { "dropping-particle" : "", "family" : "Arnault", "given" : "Nathalie", "non-dropping-particle" : "", "parse-names" : false, "suffix" : "" }, { "dropping-particle" : "", "family" : "Czernichow", "given" : "S\u00e9bastien", "non-dropping-particle" : "", "parse-names" : false, "suffix" : "" }, { "dropping-particle" : "", "family" : "Mennen", "given" : "Louise", "non-dropping-particle" : "", "parse-names" : false, "suffix" : "" }, { "dropping-particle" : "", "family" : "Hercberg", "given" : "Serge", "non-dropping-particle" : "", "parse-names" : false, "suffix" : "" } ], "container-title" : "The British journal of nutrition", "id" : "ITEM-1", "issue" : "1", "issued" : { "date-parts" : [ [ "2005", "7" ] ] }, "note" : "DA - 20050823\n\n0 (Anticarcinogenic Agents)\n\n0 (Antioxidants)\n\n1406-18-4 (Vitamin E)\n\n50-81-7 (Ascorbic Acid)\n\n7235-40-7 (beta Carotene)\n\n7440-66-6 (Zinc)\n\n7782-49-2 (Selenium)\nSB - IM", "page" : "125-32", "title" : "Antioxidant status and risk of cancer in the SU.VI.MAX study: is the effect of supplementation dependent on baseline levels?", "type" : "article-journal", "volume" : "94" }, "uris" : [ "http://www.mendeley.com/documents/?uuid=381f788e-17c5-4dfc-b9c1-58cf7e8d2d17" ] } ], "mendeley" : { "formattedCitation" : "&lt;sup&gt;(92)&lt;/sup&gt;", "plainTextFormattedCitation" : "(92)", "previouslyFormattedCitation" : "&lt;sup&gt;(92)&lt;/sup&gt;" }, "properties" : { "noteIndex" : 0 }, "schema" : "https://github.com/citation-style-language/schema/raw/master/csl-citation.json" }</w:instrText>
      </w:r>
      <w:r w:rsidRPr="00ED6425">
        <w:fldChar w:fldCharType="separate"/>
      </w:r>
      <w:r w:rsidR="00C40694" w:rsidRPr="00ED6425">
        <w:rPr>
          <w:noProof/>
          <w:vertAlign w:val="superscript"/>
        </w:rPr>
        <w:t>(92)</w:t>
      </w:r>
      <w:r w:rsidRPr="00ED6425">
        <w:fldChar w:fldCharType="end"/>
      </w:r>
      <w:r w:rsidRPr="00ED6425">
        <w:t>.</w:t>
      </w:r>
      <w:bookmarkEnd w:id="8"/>
    </w:p>
    <w:p w14:paraId="27CECC2C" w14:textId="356E5913" w:rsidR="00E04768" w:rsidRDefault="00AA791E" w:rsidP="7471AC24">
      <w:r>
        <w:t>S</w:t>
      </w:r>
      <w:r w:rsidR="72121007">
        <w:t>ince nutrient</w:t>
      </w:r>
      <w:r>
        <w:t>s</w:t>
      </w:r>
      <w:r w:rsidR="72121007">
        <w:t xml:space="preserve"> </w:t>
      </w:r>
      <w:r>
        <w:t xml:space="preserve">may be </w:t>
      </w:r>
      <w:r w:rsidR="72121007">
        <w:t xml:space="preserve">derived from a variety of </w:t>
      </w:r>
      <w:r w:rsidR="006E311E">
        <w:t xml:space="preserve">(potentially fortified) </w:t>
      </w:r>
      <w:r w:rsidR="72121007">
        <w:t>foods, and not necessarily from foods which are recommended for public health</w:t>
      </w:r>
      <w:r w:rsidR="00707878">
        <w:t>, one can argue that food intake might be a better marker of optimal intake rather than nutrient intake</w:t>
      </w:r>
      <w:r w:rsidR="72121007">
        <w:t xml:space="preserve">. </w:t>
      </w:r>
      <w:r w:rsidR="006E311E">
        <w:t xml:space="preserve"> </w:t>
      </w:r>
      <w:r w:rsidR="00707878">
        <w:t xml:space="preserve">For example, </w:t>
      </w:r>
      <w:r w:rsidR="00DC63FD">
        <w:t xml:space="preserve">median </w:t>
      </w:r>
      <w:r w:rsidR="00707878">
        <w:t xml:space="preserve">vitamin C </w:t>
      </w:r>
      <w:r w:rsidR="00DC63FD">
        <w:t xml:space="preserve">TNI expressed as a percentage of the RNI was 185% and 197% </w:t>
      </w:r>
      <w:r w:rsidR="00F34A58">
        <w:t xml:space="preserve">in men </w:t>
      </w:r>
      <w:r w:rsidR="00DC63FD">
        <w:t xml:space="preserve">aged 19-64 y and 65+ y respectively, and 192% and 209% in women </w:t>
      </w:r>
      <w:r w:rsidR="00DC63FD">
        <w:fldChar w:fldCharType="begin" w:fldLock="1"/>
      </w:r>
      <w:r w:rsidR="00C1396B">
        <w:instrText>ADDIN CSL_CITATION { "citationItems" : [ { "id" : "ITEM-1", "itemData" : { "DOI" : "2014051", "abstract" : "About Public Health England Public Health England's mission is to protect and improve the nation's health and to address inequalities through working with national and local government, the NHS, industry and the voluntary and community sector. PHE is an operationally autonomous executive agency of the Department of Health.", "author" : [ { "dropping-particle" : "", "family" : "Bates", "given" : "Beverley", "non-dropping-particle" : "", "parse-names" : false, "suffix" : "" }, { "dropping-particle" : "", "family" : "Lennox", "given" : "Alison", "non-dropping-particle" : "", "parse-names" : false, "suffix" : "" }, { "dropping-particle" : "", "family" : "Prentice", "given" : "Ann", "non-dropping-particle" : "", "parse-names" : false, "suffix" : "" }, { "dropping-particle" : "", "family" : "Bates", "given" : "Chris", "non-dropping-particle" : "", "parse-names" : false, "suffix" : "" }, { "dropping-particle" : "", "family" : "Page", "given" : "Polly", "non-dropping-particle" : "", "parse-names" : false, "suffix" : "" }, { "dropping-particle" : "", "family" : "Nicholson", "given" : "Sonja", "non-dropping-particle" : "", "parse-names" : false, "suffix" : "" }, { "dropping-particle" : "", "family" : "Swan", "given" : "Gillian", "non-dropping-particle" : "", "parse-names" : false, "suffix" : "" } ], "id" : "ITEM-1", "issued" : { "date-parts" : [ [ "2014" ] ] }, "page" : "1-27", "title" : "National Diet and Nutrition Survey: Results from Years 1, 2, 3 and 4 (combined) of the Rolling Programme", "type" : "article-journal", "volume" : "4" }, "uris" : [ "http://www.mendeley.com/documents/?uuid=88c8ba7e-1c29-4e2f-846b-264a30ec17e8" ] } ], "mendeley" : { "formattedCitation" : "&lt;sup&gt;(32)&lt;/sup&gt;", "plainTextFormattedCitation" : "(32)", "previouslyFormattedCitation" : "&lt;sup&gt;(32)&lt;/sup&gt;" }, "properties" : { "noteIndex" : 0 }, "schema" : "https://github.com/citation-style-language/schema/raw/master/csl-citation.json" }</w:instrText>
      </w:r>
      <w:r w:rsidR="00DC63FD">
        <w:fldChar w:fldCharType="separate"/>
      </w:r>
      <w:r w:rsidR="00975B94" w:rsidRPr="00975B94">
        <w:rPr>
          <w:noProof/>
          <w:vertAlign w:val="superscript"/>
        </w:rPr>
        <w:t>(32)</w:t>
      </w:r>
      <w:r w:rsidR="00DC63FD">
        <w:fldChar w:fldCharType="end"/>
      </w:r>
      <w:r w:rsidR="00DC63FD">
        <w:t>.</w:t>
      </w:r>
      <w:r w:rsidR="00707878">
        <w:t xml:space="preserve"> </w:t>
      </w:r>
      <w:r w:rsidR="00DC63FD">
        <w:t xml:space="preserve"> Contrasting this to </w:t>
      </w:r>
      <w:r w:rsidR="72121007">
        <w:t xml:space="preserve">fruit and vegetable consumption, the UK diet meets </w:t>
      </w:r>
      <w:r w:rsidR="00707878">
        <w:t>30</w:t>
      </w:r>
      <w:r w:rsidR="72121007">
        <w:t xml:space="preserve">% and </w:t>
      </w:r>
      <w:r w:rsidR="00707878">
        <w:t>40</w:t>
      </w:r>
      <w:r w:rsidR="72121007">
        <w:t>%</w:t>
      </w:r>
      <w:r w:rsidR="009F73AE">
        <w:t xml:space="preserve"> of the 5-a-day guidelines in</w:t>
      </w:r>
      <w:r w:rsidR="72121007">
        <w:t xml:space="preserve"> </w:t>
      </w:r>
      <w:r w:rsidR="009F73AE">
        <w:t xml:space="preserve">both </w:t>
      </w:r>
      <w:r w:rsidR="00707878">
        <w:t xml:space="preserve">men and women </w:t>
      </w:r>
      <w:r w:rsidR="72121007">
        <w:t>aged 19-64 y and 65+ y respectively</w:t>
      </w:r>
      <w:r w:rsidR="00DC63FD">
        <w:t xml:space="preserve"> </w:t>
      </w:r>
      <w:r w:rsidR="00DC63FD">
        <w:fldChar w:fldCharType="begin" w:fldLock="1"/>
      </w:r>
      <w:r w:rsidR="00C1396B">
        <w:instrText>ADDIN CSL_CITATION { "citationItems" : [ { "id" : "ITEM-1", "itemData" : { "DOI" : "2014051", "abstract" : "About Public Health England Public Health England's mission is to protect and improve the nation's health and to address inequalities through working with national and local government, the NHS, industry and the voluntary and community sector. PHE is an operationally autonomous executive agency of the Department of Health.", "author" : [ { "dropping-particle" : "", "family" : "Bates", "given" : "Beverley", "non-dropping-particle" : "", "parse-names" : false, "suffix" : "" }, { "dropping-particle" : "", "family" : "Lennox", "given" : "Alison", "non-dropping-particle" : "", "parse-names" : false, "suffix" : "" }, { "dropping-particle" : "", "family" : "Prentice", "given" : "Ann", "non-dropping-particle" : "", "parse-names" : false, "suffix" : "" }, { "dropping-particle" : "", "family" : "Bates", "given" : "Chris", "non-dropping-particle" : "", "parse-names" : false, "suffix" : "" }, { "dropping-particle" : "", "family" : "Page", "given" : "Polly", "non-dropping-particle" : "", "parse-names" : false, "suffix" : "" }, { "dropping-particle" : "", "family" : "Nicholson", "given" : "Sonja", "non-dropping-particle" : "", "parse-names" : false, "suffix" : "" }, { "dropping-particle" : "", "family" : "Swan", "given" : "Gillian", "non-dropping-particle" : "", "parse-names" : false, "suffix" : "" } ], "id" : "ITEM-1", "issued" : { "date-parts" : [ [ "2014" ] ] }, "page" : "1-27", "title" : "National Diet and Nutrition Survey: Results from Years 1, 2, 3 and 4 (combined) of the Rolling Programme", "type" : "article-journal", "volume" : "4" }, "uris" : [ "http://www.mendeley.com/documents/?uuid=88c8ba7e-1c29-4e2f-846b-264a30ec17e8" ] } ], "mendeley" : { "formattedCitation" : "&lt;sup&gt;(32)&lt;/sup&gt;", "plainTextFormattedCitation" : "(32)", "previouslyFormattedCitation" : "&lt;sup&gt;(32)&lt;/sup&gt;" }, "properties" : { "noteIndex" : 0 }, "schema" : "https://github.com/citation-style-language/schema/raw/master/csl-citation.json" }</w:instrText>
      </w:r>
      <w:r w:rsidR="00DC63FD">
        <w:fldChar w:fldCharType="separate"/>
      </w:r>
      <w:r w:rsidR="00975B94" w:rsidRPr="00975B94">
        <w:rPr>
          <w:noProof/>
          <w:vertAlign w:val="superscript"/>
        </w:rPr>
        <w:t>(32)</w:t>
      </w:r>
      <w:r w:rsidR="00DC63FD">
        <w:fldChar w:fldCharType="end"/>
      </w:r>
      <w:r w:rsidR="72121007">
        <w:t xml:space="preserve">.  The role of multivitamins in the past was </w:t>
      </w:r>
      <w:r w:rsidR="00F34A58">
        <w:t>partly seen as a means to</w:t>
      </w:r>
      <w:r w:rsidR="72121007">
        <w:t xml:space="preserve"> compensat</w:t>
      </w:r>
      <w:r w:rsidR="00F34A58">
        <w:t>e</w:t>
      </w:r>
      <w:r w:rsidR="72121007">
        <w:t xml:space="preserve"> poor dietary choices </w:t>
      </w:r>
      <w:r w:rsidR="009F73AE">
        <w:fldChar w:fldCharType="begin" w:fldLock="1"/>
      </w:r>
      <w:r w:rsidR="009241D8">
        <w:instrText>ADDIN CSL_CITATION { "citationItems" : [ { "id" : "ITEM-1", "itemData" : { "ISSN" : "0957-5243", "PMID" : "9328202", "abstract" : "This report reviews published epidemiologic research on the associations of vitamin and mineral supplementation with cancer risk. Although the literature on nutrition and cancer is vast, few reports to date have addressed supplemental nutrients directly (seven clinical trials, 16 cohort, and 36 case-control studies). These studies offer insight into effects of nutrients that are distinguishable from effects of other biologically active compounds in foods. Randomized clinical trials have not shown significant protective effects of beta-carotene, but have found protective effects of: alpha-tocopherol against prostate cancer; mixtures of retinol/zinc and beta-carotene/alpha-tocopherol/selenium against stomach cancer; and selenium against total, lung, and prostate cancers. Cohort studies provide little evidence that vitamin supplements are associated with cancer. Case-control studies have reported an inverse association between bladder cancer and vitamin C; oral/pharyngeal cancer and several supplemental vitamins; and several cancers and vitamin E. A randomized clinical trial, a cohort study, and a case-control study have all found inverse associations between colon cancer and vitamin E. Overall, there is modest evidence for protective effects of nutrients from supplements against several cancers. Future studies of supplement use and cancer appear warranted; however, methodologic problems that impair ability to assess supplement use and statistical modeling of the relation between cancer risk and supplement use need attention.", "author" : [ { "dropping-particle" : "", "family" : "Patterson", "given" : "R E", "non-dropping-particle" : "", "parse-names" : false, "suffix" : "" }, { "dropping-particle" : "", "family" : "White", "given" : "E", "non-dropping-particle" : "", "parse-names" : false, "suffix" : "" }, { "dropping-particle" : "", "family" : "Kristal", "given" : "A R", "non-dropping-particle" : "", "parse-names" : false, "suffix" : "" }, { "dropping-particle" : "", "family" : "Neuhouser", "given" : "M L", "non-dropping-particle" : "", "parse-names" : false, "suffix" : "" }, { "dropping-particle" : "", "family" : "Potter", "given" : "J D", "non-dropping-particle" : "", "parse-names" : false, "suffix" : "" } ], "container-title" : "Cancer causes &amp; control : CCC", "id" : "ITEM-1", "issue" : "5", "issued" : { "date-parts" : [ [ "1997", "9" ] ] }, "note" : "Times Cited: 93\nReview\nEnglish\nPatterson, R. E\nFRED HUTCHINSON CANC RES CTR,CANC PREVENT RES PROGRAM,1100 FAIRVIEW AVE N,MP 702,POB 19024,SEATTLE,WA 98109\nCited References Count: 89\nXX825\nRAPID SCIENCE PUBLISHERS\n2-6 BOUNDARY ROW, LONDON, ENGLAND SE1 8NH\nLONDON", "page" : "786-802", "title" : "Vitamin supplements and cancer risk: the epidemiologic evidence.", "type" : "article-journal", "volume" : "8" }, "uris" : [ "http://www.mendeley.com/documents/?uuid=61a333a4-8f46-4321-9aa0-7de350f0ed18" ] } ], "mendeley" : { "formattedCitation" : "&lt;sup&gt;(73)&lt;/sup&gt;", "plainTextFormattedCitation" : "(73)", "previouslyFormattedCitation" : "&lt;sup&gt;(73)&lt;/sup&gt;" }, "properties" : { "noteIndex" : 0 }, "schema" : "https://github.com/citation-style-language/schema/raw/master/csl-citation.json" }</w:instrText>
      </w:r>
      <w:r w:rsidR="009F73AE">
        <w:fldChar w:fldCharType="separate"/>
      </w:r>
      <w:r w:rsidR="00C40694" w:rsidRPr="00C40694">
        <w:rPr>
          <w:noProof/>
          <w:vertAlign w:val="superscript"/>
        </w:rPr>
        <w:t>(73)</w:t>
      </w:r>
      <w:r w:rsidR="009F73AE">
        <w:fldChar w:fldCharType="end"/>
      </w:r>
      <w:r w:rsidR="009F73AE">
        <w:t>;</w:t>
      </w:r>
      <w:r w:rsidR="72121007">
        <w:t xml:space="preserve"> or</w:t>
      </w:r>
      <w:r w:rsidR="009F73AE">
        <w:t>,</w:t>
      </w:r>
      <w:r w:rsidR="72121007">
        <w:t xml:space="preserve"> where after various considerations</w:t>
      </w:r>
      <w:r w:rsidR="009F73AE">
        <w:t>,</w:t>
      </w:r>
      <w:r w:rsidR="72121007">
        <w:t xml:space="preserve"> the likely benefits outweighed harm</w:t>
      </w:r>
      <w:r w:rsidR="00F34A58">
        <w:t xml:space="preserve"> of supplement use</w:t>
      </w:r>
      <w:r w:rsidR="000D3FF8">
        <w:t xml:space="preserve"> </w:t>
      </w:r>
      <w:r w:rsidR="000D3FF8">
        <w:fldChar w:fldCharType="begin" w:fldLock="1"/>
      </w:r>
      <w:r w:rsidR="009241D8">
        <w:instrText>ADDIN CSL_CITATION { "citationItems" : [ { "id" : "ITEM-1", "itemData" : { "DOI" : "10.1056/NEJMcp010710", "ISSN" : "0028-4793", "PMID" : "11752359", "author" : [ { "dropping-particle" : "", "family" : "Willett", "given" : "W C", "non-dropping-particle" : "", "parse-names" : false, "suffix" : "" }, { "dropping-particle" : "", "family" : "Stampfer", "given" : "M J", "non-dropping-particle" : "", "parse-names" : false, "suffix" : "" } ], "container-title" : "The New England journal of medicine", "id" : "ITEM-1", "issue" : "25", "issued" : { "date-parts" : [ [ "2001" ] ] }, "page" : "1819-1824", "title" : "Clinical practice. What vitamins should I be taking, doctor?", "type" : "legal_case", "volume" : "345" }, "uris" : [ "http://www.mendeley.com/documents/?uuid=aa5887f0-6cde-459a-852b-36a860b8a0d4" ] } ], "mendeley" : { "formattedCitation" : "&lt;sup&gt;(93)&lt;/sup&gt;", "plainTextFormattedCitation" : "(93)", "previouslyFormattedCitation" : "&lt;sup&gt;(93)&lt;/sup&gt;" }, "properties" : { "noteIndex" : 0 }, "schema" : "https://github.com/citation-style-language/schema/raw/master/csl-citation.json" }</w:instrText>
      </w:r>
      <w:r w:rsidR="000D3FF8">
        <w:fldChar w:fldCharType="separate"/>
      </w:r>
      <w:r w:rsidR="00C40694" w:rsidRPr="00C40694">
        <w:rPr>
          <w:noProof/>
          <w:vertAlign w:val="superscript"/>
        </w:rPr>
        <w:t>(93)</w:t>
      </w:r>
      <w:r w:rsidR="000D3FF8">
        <w:fldChar w:fldCharType="end"/>
      </w:r>
      <w:r w:rsidR="72121007">
        <w:t>.  However, as observed in above described meta-analyses, such use has not been successful in the prevention of disease or early death in populations.</w:t>
      </w:r>
      <w:r w:rsidR="00F34A58">
        <w:t xml:space="preserve"> </w:t>
      </w:r>
      <w:r w:rsidR="72121007">
        <w:t xml:space="preserve"> Potentially, since foods contain more than vitamins and minerals alone </w:t>
      </w:r>
      <w:r w:rsidR="009F73AE">
        <w:t xml:space="preserve">and dietary patterns as a whole play an important role in health </w:t>
      </w:r>
      <w:r w:rsidR="009F73AE">
        <w:fldChar w:fldCharType="begin" w:fldLock="1"/>
      </w:r>
      <w:r w:rsidR="00C1396B">
        <w:instrText>ADDIN CSL_CITATION { "citationItems" : [ { "id" : "ITEM-1", "itemData" : { "DOI" : "10.3945/an.115.011718", "ISSN" : "2156-5376", "PMID" : "27184272", "abstract" : "Dietary guidelines provide evidence-based statements on food choices to meet nutritional requirements and reduce the risk of prevailing chronic disease. They involve a substantial amount of research translation, and their implementation has important health consequences. Foods, however, are complex combinations of nutrients and other compounds that act synergistically within the food and across food combinations. In addition, the evidence base underpinning dietary guidelines accesses research that reflects different study designs, with inherent strengths and limitations. We propose a systematic approach for the review of evidence that begins with research on dietary patterns. This research will identify the combinations of foods that best protect, or appear deleterious to, health. Next, we suggest that evidence be sought from research that focuses on the effects of individual foods. Finally, nutrient-based research should be considered to explain the mechanisms by which these foods and dietary patterns exert their effects, take into account the effects of ingredients added to the food supply, and enable assessments of dietary sufficiency. The consideration of individual nutrients and food components (e.g., upper limits for saturated fat, added sugar, and sodium) provides important benchmarks for evaluating overall diet quality. The concepts of core and discretionary foods (nutrient-rich and nutrient-poor foods, respectively) enable distinctions between foods, and this has implications for the relation between food policy and food manufacturing. In summary, evidence supporting healthy dietary patterns provides the foundation for the development of dietary guidelines. Further reference to individual foods and nutrients follows from the foundation of healthy dietary patterns.", "author" : [ { "dropping-particle" : "", "family" : "Tapsell", "given" : "L. C.", "non-dropping-particle" : "", "parse-names" : false, "suffix" : "" }, { "dropping-particle" : "", "family" : "Neale", "given" : "E. P.", "non-dropping-particle" : "", "parse-names" : false, "suffix" : "" }, { "dropping-particle" : "", "family" : "Satija", "given" : "A.", "non-dropping-particle" : "", "parse-names" : false, "suffix" : "" }, { "dropping-particle" : "", "family" : "Hu", "given" : "F. B.", "non-dropping-particle" : "", "parse-names" : false, "suffix" : "" } ], "container-title" : "Advances in Nutrition: An International Review Journal", "id" : "ITEM-1", "issue" : "3", "issued" : { "date-parts" : [ [ "2016" ] ] }, "page" : "445-454", "title" : "Foods, Nutrients, and Dietary Patterns: Interconnections and Implications for Dietary Guidelines", "type" : "article-journal", "volume" : "7" }, "uris" : [ "http://www.mendeley.com/documents/?uuid=cccd6b8f-5f65-4507-8e90-fa87c05ac81d" ] } ], "mendeley" : { "formattedCitation" : "&lt;sup&gt;(3)&lt;/sup&gt;", "plainTextFormattedCitation" : "(3)", "previouslyFormattedCitation" : "&lt;sup&gt;(3)&lt;/sup&gt;" }, "properties" : { "noteIndex" : 0 }, "schema" : "https://github.com/citation-style-language/schema/raw/master/csl-citation.json" }</w:instrText>
      </w:r>
      <w:r w:rsidR="009F73AE">
        <w:fldChar w:fldCharType="separate"/>
      </w:r>
      <w:r w:rsidR="00F30F58" w:rsidRPr="00F30F58">
        <w:rPr>
          <w:noProof/>
          <w:vertAlign w:val="superscript"/>
        </w:rPr>
        <w:t>(3)</w:t>
      </w:r>
      <w:r w:rsidR="009F73AE">
        <w:fldChar w:fldCharType="end"/>
      </w:r>
      <w:r w:rsidR="72121007">
        <w:t>.</w:t>
      </w:r>
    </w:p>
    <w:p w14:paraId="2852ADAA" w14:textId="3418D7E1" w:rsidR="00F34A58" w:rsidRDefault="00E04768" w:rsidP="7471AC24">
      <w:r>
        <w:t xml:space="preserve">An example of a sub optimally consumed food group in the UK is fish, </w:t>
      </w:r>
      <w:r w:rsidR="00F73689">
        <w:t xml:space="preserve">of </w:t>
      </w:r>
      <w:r>
        <w:t>which</w:t>
      </w:r>
      <w:r w:rsidR="589C4AF9">
        <w:t xml:space="preserve"> </w:t>
      </w:r>
      <w:r w:rsidR="00FC7D33">
        <w:t xml:space="preserve">the recommendation </w:t>
      </w:r>
      <w:r w:rsidR="00F73689">
        <w:t xml:space="preserve">is to consume </w:t>
      </w:r>
      <w:proofErr w:type="gramStart"/>
      <w:r w:rsidR="00FC7D33">
        <w:t>2 portions/week</w:t>
      </w:r>
      <w:r w:rsidR="004E3201">
        <w:t xml:space="preserve"> (~280 g/week)</w:t>
      </w:r>
      <w:proofErr w:type="gramEnd"/>
      <w:r w:rsidR="589C4AF9">
        <w:t xml:space="preserve">.  </w:t>
      </w:r>
      <w:r w:rsidR="00FC7D33">
        <w:t>In</w:t>
      </w:r>
      <w:r w:rsidR="589C4AF9">
        <w:t xml:space="preserve"> men</w:t>
      </w:r>
      <w:r w:rsidR="00FC7D33">
        <w:t>,</w:t>
      </w:r>
      <w:r w:rsidR="589C4AF9">
        <w:t xml:space="preserve"> </w:t>
      </w:r>
      <w:r w:rsidR="00FC7D33">
        <w:t>intake reached 161 g/week and 252 g/week</w:t>
      </w:r>
      <w:r w:rsidR="589C4AF9">
        <w:t xml:space="preserve"> for the age groups 19-64 y and 65+ y respectively</w:t>
      </w:r>
      <w:r w:rsidR="00FC7D33">
        <w:t xml:space="preserve">, </w:t>
      </w:r>
      <w:r w:rsidR="589C4AF9">
        <w:t xml:space="preserve">in women </w:t>
      </w:r>
      <w:r w:rsidR="00FC7D33">
        <w:t>154</w:t>
      </w:r>
      <w:r w:rsidR="589C4AF9">
        <w:t xml:space="preserve"> g/</w:t>
      </w:r>
      <w:r w:rsidR="00FC7D33">
        <w:t>week</w:t>
      </w:r>
      <w:r w:rsidR="589C4AF9">
        <w:t xml:space="preserve"> and </w:t>
      </w:r>
      <w:r w:rsidR="00FC7D33">
        <w:t xml:space="preserve">189 </w:t>
      </w:r>
      <w:r w:rsidR="589C4AF9">
        <w:t>g/</w:t>
      </w:r>
      <w:r w:rsidR="00FC7D33">
        <w:t>week</w:t>
      </w:r>
      <w:r w:rsidR="00F34A58">
        <w:t xml:space="preserve"> </w:t>
      </w:r>
      <w:r w:rsidR="00F34A58">
        <w:fldChar w:fldCharType="begin" w:fldLock="1"/>
      </w:r>
      <w:r w:rsidR="00C1396B">
        <w:instrText>ADDIN CSL_CITATION { "citationItems" : [ { "id" : "ITEM-1", "itemData" : { "DOI" : "2014051", "abstract" : "About Public Health England Public Health England's mission is to protect and improve the nation's health and to address inequalities through working with national and local government, the NHS, industry and the voluntary and community sector. PHE is an operationally autonomous executive agency of the Department of Health.", "author" : [ { "dropping-particle" : "", "family" : "Bates", "given" : "Beverley", "non-dropping-particle" : "", "parse-names" : false, "suffix" : "" }, { "dropping-particle" : "", "family" : "Lennox", "given" : "Alison", "non-dropping-particle" : "", "parse-names" : false, "suffix" : "" }, { "dropping-particle" : "", "family" : "Prentice", "given" : "Ann", "non-dropping-particle" : "", "parse-names" : false, "suffix" : "" }, { "dropping-particle" : "", "family" : "Bates", "given" : "Chris", "non-dropping-particle" : "", "parse-names" : false, "suffix" : "" }, { "dropping-particle" : "", "family" : "Page", "given" : "Polly", "non-dropping-particle" : "", "parse-names" : false, "suffix" : "" }, { "dropping-particle" : "", "family" : "Nicholson", "given" : "Sonja", "non-dropping-particle" : "", "parse-names" : false, "suffix" : "" }, { "dropping-particle" : "", "family" : "Swan", "given" : "Gillian", "non-dropping-particle" : "", "parse-names" : false, "suffix" : "" } ], "id" : "ITEM-1", "issued" : { "date-parts" : [ [ "2014" ] ] }, "page" : "1-27", "title" : "National Diet and Nutrition Survey: Results from Years 1, 2, 3 and 4 (combined) of the Rolling Programme", "type" : "article-journal", "volume" : "4" }, "uris" : [ "http://www.mendeley.com/documents/?uuid=88c8ba7e-1c29-4e2f-846b-264a30ec17e8" ] } ], "mendeley" : { "formattedCitation" : "&lt;sup&gt;(32)&lt;/sup&gt;", "plainTextFormattedCitation" : "(32)", "previouslyFormattedCitation" : "&lt;sup&gt;(32)&lt;/sup&gt;" }, "properties" : { "noteIndex" : 0 }, "schema" : "https://github.com/citation-style-language/schema/raw/master/csl-citation.json" }</w:instrText>
      </w:r>
      <w:r w:rsidR="00F34A58">
        <w:fldChar w:fldCharType="separate"/>
      </w:r>
      <w:r w:rsidR="00975B94" w:rsidRPr="00975B94">
        <w:rPr>
          <w:noProof/>
          <w:vertAlign w:val="superscript"/>
        </w:rPr>
        <w:t>(32)</w:t>
      </w:r>
      <w:r w:rsidR="00F34A58">
        <w:fldChar w:fldCharType="end"/>
      </w:r>
      <w:r w:rsidR="589C4AF9">
        <w:t xml:space="preserve">.  Data on the contribution of EPA+DHA from the most commonly consumed supplement, cod liver oils &amp; fish oils, are lacking in the national surveys.  These results are available from the </w:t>
      </w:r>
      <w:r w:rsidR="00C22E7A">
        <w:t xml:space="preserve">baseline </w:t>
      </w:r>
      <w:r w:rsidR="589C4AF9">
        <w:t>EPIC-Norfolk coho</w:t>
      </w:r>
      <w:r w:rsidR="589C4AF9" w:rsidRPr="000571AA">
        <w:t xml:space="preserve">rt </w:t>
      </w:r>
      <w:r w:rsidR="00DF60EB" w:rsidRPr="000571AA">
        <w:t>(</w:t>
      </w:r>
      <w:r w:rsidR="00D34A30">
        <w:t>SUPP-Table 5</w:t>
      </w:r>
      <w:r w:rsidR="589C4AF9" w:rsidRPr="000571AA">
        <w:t>)</w:t>
      </w:r>
      <w:r w:rsidR="00C22E7A" w:rsidRPr="000571AA">
        <w:t>.  T</w:t>
      </w:r>
      <w:r w:rsidR="589C4AF9" w:rsidRPr="000571AA">
        <w:t>he</w:t>
      </w:r>
      <w:r w:rsidR="589C4AF9">
        <w:t xml:space="preserve"> low dose EPA+DHA from mainly cod liver oil resulted in 15-20% more participants meet</w:t>
      </w:r>
      <w:r w:rsidR="000A79AE">
        <w:t>ing</w:t>
      </w:r>
      <w:r w:rsidR="589C4AF9">
        <w:t xml:space="preserve"> the EAR of 0.45</w:t>
      </w:r>
      <w:r w:rsidR="00B1233A">
        <w:t> </w:t>
      </w:r>
      <w:r w:rsidR="589C4AF9">
        <w:t xml:space="preserve">g/d.  </w:t>
      </w:r>
    </w:p>
    <w:p w14:paraId="4E1B04E7" w14:textId="30496A34" w:rsidR="7471AC24" w:rsidRDefault="00196267" w:rsidP="7471AC24">
      <w:pPr>
        <w:rPr>
          <w:noProof/>
        </w:rPr>
      </w:pPr>
      <w:r>
        <w:t>Higher f</w:t>
      </w:r>
      <w:r w:rsidR="589C4AF9">
        <w:t>ish consumption has been associated with lower CHD</w:t>
      </w:r>
      <w:r w:rsidR="00F817D6">
        <w:t>/CVD</w:t>
      </w:r>
      <w:r w:rsidR="589C4AF9">
        <w:t xml:space="preserve"> mortality in cohort studies, </w:t>
      </w:r>
      <w:r w:rsidR="00F73689">
        <w:t>despite</w:t>
      </w:r>
      <w:r w:rsidR="589C4AF9">
        <w:t xml:space="preserve"> differences across the globe due to differences in dietary assessment methods, absolute amounts of fish consumed, fish preparation and water contamination </w:t>
      </w:r>
      <w:r w:rsidR="00FC7D33">
        <w:fldChar w:fldCharType="begin" w:fldLock="1"/>
      </w:r>
      <w:r w:rsidR="009241D8">
        <w:instrText>ADDIN CSL_CITATION { "citationItems" : [ { "id" : "ITEM-1", "itemData" : { "DOI" : "10.1017/S1368980017003834", "ISSN" : "1368-9800", "author" : [ { "dropping-particle" : "", "family" : "Jayedi", "given" : "Ahmad", "non-dropping-particle" : "", "parse-names" : false, "suffix" : "" }, { "dropping-particle" : "", "family" : "Shab-Bidar", "given" : "Sakineh", "non-dropping-particle" : "", "parse-names" : false, "suffix" : "" }, { "dropping-particle" : "", "family" : "Eimeri", "given" : "Saragol", "non-dropping-particle" : "", "parse-names" : false, "suffix" : "" }, { "dropping-particle" : "", "family" : "Djafarian", "given" : "Kurosh", "non-dropping-particle" : "", "parse-names" : false, "suffix" : "" } ], "container-title" : "Public Health Nutrition", "id" : "ITEM-1", "issue" : "07", "issued" : { "date-parts" : [ [ "2018", "5", "10" ] ] }, "page" : "1297-1306", "title" : "Fish consumption and risk of all-cause and cardiovascular mortality: a dose\u2013response meta-analysis of prospective observational studies", "type" : "article-journal", "volume" : "21" }, "uris" : [ "http://www.mendeley.com/documents/?uuid=91102b51-360e-4b3d-bbf2-be179cde4981" ] }, { "id" : "ITEM-2", "itemData" : { "ISBN" : "1475-2727", "ISSN" : "1368-9800", "PMID" : "21914258", "abstract" : "OBJECTIVE: Results of studies on fish consumption and CHD mortality are inconsistent. The present updated meta-analysis was conducted to investigate the up-to-date pooling effects.\\n\\nDESIGN: A random-effects model was used to pool the risk estimates. Generalized least-squares regression and restricted cubic splines were used to assess the possible dose-response relationship. Subgroup analyses were conducted to examine the sources of heterogeneity.\\n\\nSETTING: PubMed and ISI Web of Science databases up to September 2010 were searched and secondary referencing qualified for inclusion in the study.\\n\\nSUBJECTS: Seventeen cohorts with 315,812 participants and average follow-up period of 15\u00b79 years were identified.\\n\\nRESULTS: Compared with the lowest fish intake (&lt;1 serving/month or 1-3 servings/month), the pooled relative risk (RR) of fish intake on CHD mortality was 0\u00b784 (95% CI 0\u00b775, 0\u00b795) for low fish intake (1 serving/week), 0\u00b779 (95% CI 0\u00b767, 0\u00b792) for moderate fish intake (2-4 servings/week) and 0\u00b783 (95% CI 0\u00b768, 1\u00b701) for high fish intake (&gt;5 servings/week). The dose-response analysis indicated that every 15 g/d increment of fish intake decreased the risk of CHD mortality by 6% (RR = 0\u00b794; 95% CI 0\u00b790, 0\u00b798). The method of dietary assessment, gender and energy adjustment affected the results remarkably.\\n\\nCONCLUSIONS: Our results indicate that either low (1 serving/week) or moderate fish consumption (2-4 servings/week) has a significantly beneficial effect on the prevention of CHD mortality. High fish consumption (&gt;5 servings/week) possesses only a marginally protective effect on CHD mortality, possibly due to the limited studies included in this group.", "author" : [ { "dropping-particle" : "", "family" : "Zheng", "given" : "Jusheng", "non-dropping-particle" : "", "parse-names" : false, "suffix" : "" }, { "dropping-particle" : "", "family" : "Huang", "given" : "Tao", "non-dropping-particle" : "", "parse-names" : false, "suffix" : "" }, { "dropping-particle" : "", "family" : "Yu", "given" : "Yinghua", "non-dropping-particle" : "", "parse-names" : false, "suffix" : "" }, { "dropping-particle" : "", "family" : "Hu", "given" : "Xiaojie", "non-dropping-particle" : "", "parse-names" : false, "suffix" : "" }, { "dropping-particle" : "", "family" : "Yang", "given" : "Bin", "non-dropping-particle" : "", "parse-names" : false, "suffix" : "" }, { "dropping-particle" : "", "family" : "Li", "given" : "Duo", "non-dropping-particle" : "", "parse-names" : false, "suffix" : "" } ], "container-title" : "Public Health Nutrition", "id" : "ITEM-2", "issue" : "04", "issued" : { "date-parts" : [ [ "2012" ] ] }, "page" : "725-737", "title" : "Fish consumption and CHD mortality: an updated meta-analysis of seventeen cohort studies", "type" : "article-journal", "volume" : "15" }, "uris" : [ "http://www.mendeley.com/documents/?uuid=05a38dc3-a8c6-4dc8-b30c-b81d40178568" ] } ], "mendeley" : { "formattedCitation" : "&lt;sup&gt;(94,95)&lt;/sup&gt;", "plainTextFormattedCitation" : "(94,95)", "previouslyFormattedCitation" : "&lt;sup&gt;(94,95)&lt;/sup&gt;" }, "properties" : { "noteIndex" : 0 }, "schema" : "https://github.com/citation-style-language/schema/raw/master/csl-citation.json" }</w:instrText>
      </w:r>
      <w:r w:rsidR="00FC7D33">
        <w:fldChar w:fldCharType="separate"/>
      </w:r>
      <w:r w:rsidR="00C40694" w:rsidRPr="00C40694">
        <w:rPr>
          <w:noProof/>
          <w:vertAlign w:val="superscript"/>
        </w:rPr>
        <w:t>(94,95)</w:t>
      </w:r>
      <w:r w:rsidR="00FC7D33">
        <w:fldChar w:fldCharType="end"/>
      </w:r>
      <w:r w:rsidR="589C4AF9">
        <w:t xml:space="preserve">.  </w:t>
      </w:r>
      <w:r w:rsidR="008B0CD3">
        <w:t>Various biological mechanisms relating to long chain omega</w:t>
      </w:r>
      <w:r w:rsidR="008B0CD3">
        <w:noBreakHyphen/>
        <w:t xml:space="preserve">3 fatty acids and CHD have recently been reviewed in these Proceedings, including the prevention of arrhythmia and anti-inflammatory properties </w:t>
      </w:r>
      <w:r w:rsidR="008B0CD3">
        <w:fldChar w:fldCharType="begin" w:fldLock="1"/>
      </w:r>
      <w:r w:rsidR="009241D8">
        <w:instrText>ADDIN CSL_CITATION { "citationItems" : [ { "id" : "ITEM-1", "itemData" : { "DOI" : "10.1017/S0029665117003950", "ISSN" : "14752719", "PMID" : "29039280", "abstract" : "&lt;p&gt; EPA and DHA appear to be the most important &lt;italic&gt;n&lt;/italic&gt; -3 fatty acids, but roles for &lt;italic&gt;n&lt;/italic&gt; -3 docosapentaenoic acid are now also emerging. Intakes of EPA and DHA are usually low, typically below those recommended. Increased intakes result in higher concentrations of EPA and DHA in blood lipids, cells and tissues. Increased content of EPA and DHA modifies the structure of cell membranes and the function of membrane proteins. EPA and DHA modulate the production of lipid mediators and through effects on cell signalling can alter the patterns of gene expression. Through these mechanisms, EPA and DHA alter cell and tissue responsiveness in a way that often results in more optimal conditions for growth, development and maintenance of health. DHA has vital roles in brain and eye development and function. EPA and DHA have a wide range of physiological roles, which are linked to certain health or clinical benefits, particularly related to CVD, cancer, inflammation and neurocognitive function. The benefits of EPA and DHA are evident throughout the life course. Future research will include better identification of the determinants of variation of responses to increased intake of EPA and DHA; more in-depth dose\u2013response studies of the effects of EPA and DHA; clearer identification of the specific roles of EPA, docosapentaenoic acid and DHA; testing strategies to enhance delivery of &lt;italic&gt;n&lt;/italic&gt; -3 fatty acids to the bloodstream; and exploration of sustainable alternatives to fish-derived very long-chain &lt;italic&gt;n&lt;/italic&gt; -3 fatty acids. &lt;/p&gt;", "author" : [ { "dropping-particle" : "", "family" : "Calder", "given" : "P. C.", "non-dropping-particle" : "", "parse-names" : false, "suffix" : "" } ], "container-title" : "Proceedings of the Nutrition Society", "id" : "ITEM-1", "issue" : "July 2015", "issued" : { "date-parts" : [ [ "2017" ] ] }, "page" : "1-21", "title" : "Very long-chain n-3 fatty acids and human health: fact, fiction and the future", "type" : "article-journal" }, "uris" : [ "http://www.mendeley.com/documents/?uuid=748e1aca-965b-49d7-88d1-f612c9842930" ] }, { "id" : "ITEM-2", "itemData" : { "DOI" : "10.1017/S0029665117000428", "ISSN" : "0029-6651", "abstract" : "&lt;p&gt; Dietary guidelines in many countries include a recommendation to consume oily fish, mainly on the basis of evidence from prospective cohort studies that fish consumption is cardioprotective. However, average intakes are very low in a large proportion of the UK population. Some groups, such as vegans and vegetarians, purposely omit fish (along with meat) from their diet resulting in zero or trace intakes of long chain (LC) &lt;italic&gt;n&lt;/italic&gt; -3 PUFA. Although the efficacy of dietary fish oil supplementation in the prevention of CVD has been questioned in recent years, the balance of evidence indicates that LC &lt;italic&gt;n&lt;/italic&gt; -3 PUFA exert systemic pleiotropic effects through their influence on gene expression, cell signalling, membrane fluidity and by conversion to specialised proresolving mediators; autacoid lipid mediators that resolve inflammatory events. The long-term impact of reduced tissue LC &lt;italic&gt;n&lt;/italic&gt; -3 PUFA content on cardiovascular health is surprisingly poorly understood, particularly with regard to how low proportions of LC &lt;italic&gt;n&lt;/italic&gt; -3 PUFA in cell membranes may affect cardiac electrophysiology and chronic inflammation. Randomised controlled trials investigating effects of supplementation on prevention of CHD in populations with low basal LC &lt;italic&gt;n&lt;/italic&gt; -3 PUFA tissue status are lacking, and so the clinical benefits of supplementing non-fish-eating groups with vegetarian sources of LC &lt;italic&gt;n&lt;/italic&gt; -3 PUFA remain to be determined. Refocusing dietary LC &lt;italic&gt;n&lt;/italic&gt; -3 PUFA intervention studies towards those individuals with a low LC &lt;italic&gt;n&lt;/italic&gt; -3 PUFA tissue status may go some way towards reconciling results from randomised controlled trials with the epidemiological evidence. &lt;/p&gt;", "author" : [ { "dropping-particle" : "", "family" : "Hall", "given" : "W. L.", "non-dropping-particle" : "", "parse-names" : false, "suffix" : "" } ], "container-title" : "Proceedings of the Nutrition Society", "id" : "ITEM-2", "issue" : "July 2016", "issued" : { "date-parts" : [ [ "2017" ] ] }, "page" : "1-11", "title" : "The future for long chain n-3 PUFA in the prevention of coronary heart disease: do we need to target non-fish-eaters?", "type" : "article-journal" }, "uris" : [ "http://www.mendeley.com/documents/?uuid=838bafdb-ae54-45b2-9dc6-7cf5dcfe3099" ] } ], "mendeley" : { "formattedCitation" : "&lt;sup&gt;(96,97)&lt;/sup&gt;", "plainTextFormattedCitation" : "(96,97)", "previouslyFormattedCitation" : "&lt;sup&gt;(96,97)&lt;/sup&gt;" }, "properties" : { "noteIndex" : 0 }, "schema" : "https://github.com/citation-style-language/schema/raw/master/csl-citation.json" }</w:instrText>
      </w:r>
      <w:r w:rsidR="008B0CD3">
        <w:fldChar w:fldCharType="separate"/>
      </w:r>
      <w:r w:rsidR="00C40694" w:rsidRPr="00C40694">
        <w:rPr>
          <w:noProof/>
          <w:vertAlign w:val="superscript"/>
        </w:rPr>
        <w:t>(96,97)</w:t>
      </w:r>
      <w:r w:rsidR="008B0CD3">
        <w:fldChar w:fldCharType="end"/>
      </w:r>
      <w:r w:rsidR="008B0CD3">
        <w:t xml:space="preserve">.  </w:t>
      </w:r>
      <w:r w:rsidR="00F73689">
        <w:t xml:space="preserve">Fish may also exert its benefit as a source of protein, vitamin D, iodine, calcium (bones), or due to the substitution effect when consumed as part of a meal </w:t>
      </w:r>
      <w:r w:rsidR="00F73689">
        <w:fldChar w:fldCharType="begin" w:fldLock="1"/>
      </w:r>
      <w:r w:rsidR="009241D8">
        <w:instrText>ADDIN CSL_CITATION { "citationItems" : [ { "id" : "ITEM-1", "itemData" : { "ISSN" : "1573-7284", "PMID" : "23283593", "author" : [ { "dropping-particle" : "", "family" : "Kiefte-de Jong", "given" : "Jessica C", "non-dropping-particle" : "", "parse-names" : false, "suffix" : "" }, { "dropping-particle" : "", "family" : "Chowdhury", "given" : "Rajiv", "non-dropping-particle" : "", "parse-names" : false, "suffix" : "" }, { "dropping-particle" : "", "family" : "Franco", "given" : "Oscar H", "non-dropping-particle" : "", "parse-names" : false, "suffix" : "" } ], "container-title" : "European journal of epidemiology", "id" : "ITEM-1", "issue" : "12", "issued" : { "date-parts" : [ [ "2012", "12" ] ] }, "page" : "891-4", "title" : "Fish intake or omega-3 fatty acids: greater than the sum of all parts?", "type" : "article-journal", "volume" : "27" }, "uris" : [ "http://www.mendeley.com/documents/?uuid=d96b146a-4a1b-4b1c-8df3-e020762cbeae" ] }, { "id" : "ITEM-2", "itemData" : { "DOI" : "10.1007/s11936-016-0487-1", "ISSN" : "15343189", "PMID" : "27747477", "abstract" : "OPINION STATEMENT Early secondary prevention trials of fish and omega-3 polyunsaturated fatty acid (PUFA) capsules reported beneficial effects on cardiovascular disease (CVD) outcomes, including all-cause mortality and sudden cardiac death. These clinical findings, as well as observational and experimental data, demonstrated that omega-3 PUFAs reduced the risk of coronary outcomes and overall mortality and were the basis for recommendations made in the early 2000s to increase omega-3 PUFA intake. In the last 6 years, however, results from both primary and secondary prevention trials have generally failed to show a beneficial effect of omega-3 PUFA supplementation, bringing current recommendations into question. Several possible reasons for these null findings have been proposed, including short treatment periods, relatively low doses of omega-3 PUFAs, small sample sizes, higher background omega-3 intakes, and the concurrent use of modern pharmacotherapy for CVD prevention. At least one of these caveats is being assessed in major clinical trials, with two omega-3 PUFA pharmacological agents being tested at doses of 4 g/day (instead of the more common &lt;1 g/day). These null findings, however, do not necessarily mean that omega-3 PUFAs \"are ineffective\" in general, only that they were not effective in the context in which they were tested. Accordingly, higher intakes of omega-3 PUFAs, either from fatty fish or from supplements, if continued for decades (as the epidemiological data support) are likely to contribute towards lower risk for CVD. At this time, evidence supports the consumption of a healthy dietary pattern with at least two servings per week of fatty fish. Omega-3 PUFA supplementation is a reasonable alternative for those who do not consume fish, although fish is the preferred source of omega-3 PUFAs because it also provides additional nutrients, some of which are often under-consumed.", "author" : [ { "dropping-particle" : "", "family" : "Bowen", "given" : "Kate J.", "non-dropping-particle" : "", "parse-names" : false, "suffix" : "" }, { "dropping-particle" : "", "family" : "Harris", "given" : "William S.", "non-dropping-particle" : "", "parse-names" : false, "suffix" : "" }, { "dropping-particle" : "", "family" : "Kris-Etherton", "given" : "Penny M.", "non-dropping-particle" : "", "parse-names" : false, "suffix" : "" } ], "container-title" : "Current Treatment Options in Cardiovascular Medicine", "id" : "ITEM-2", "issue" : "11", "issued" : { "date-parts" : [ [ "2016" ] ] }, "publisher" : "Current Treatment Options in Cardiovascular Medicine", "title" : "Omega-3 Fatty Acids and Cardiovascular Disease: Are There Benefits?", "type" : "article-journal", "volume" : "18" }, "uris" : [ "http://www.mendeley.com/documents/?uuid=6c8ae780-c728-4372-bc9a-cdf269dfd0d2" ] } ], "mendeley" : { "formattedCitation" : "&lt;sup&gt;(98,99)&lt;/sup&gt;", "plainTextFormattedCitation" : "(98,99)", "previouslyFormattedCitation" : "&lt;sup&gt;(98,99)&lt;/sup&gt;" }, "properties" : { "noteIndex" : 0 }, "schema" : "https://github.com/citation-style-language/schema/raw/master/csl-citation.json" }</w:instrText>
      </w:r>
      <w:r w:rsidR="00F73689">
        <w:fldChar w:fldCharType="separate"/>
      </w:r>
      <w:r w:rsidR="00C40694" w:rsidRPr="00C40694">
        <w:rPr>
          <w:noProof/>
          <w:vertAlign w:val="superscript"/>
        </w:rPr>
        <w:t>(98,99)</w:t>
      </w:r>
      <w:r w:rsidR="00F73689">
        <w:fldChar w:fldCharType="end"/>
      </w:r>
      <w:r w:rsidR="00F73689">
        <w:t>.</w:t>
      </w:r>
      <w:r w:rsidR="00F73689">
        <w:rPr>
          <w:noProof/>
        </w:rPr>
        <w:t xml:space="preserve">  </w:t>
      </w:r>
      <w:r w:rsidR="001A27C5">
        <w:rPr>
          <w:noProof/>
        </w:rPr>
        <w:t>Although</w:t>
      </w:r>
      <w:r w:rsidR="00F73689">
        <w:rPr>
          <w:noProof/>
        </w:rPr>
        <w:t xml:space="preserve">, </w:t>
      </w:r>
      <w:r w:rsidR="0015521B">
        <w:rPr>
          <w:noProof/>
        </w:rPr>
        <w:t>trials</w:t>
      </w:r>
      <w:r w:rsidR="589C4AF9">
        <w:t xml:space="preserve"> using EPA+DHA supplements in secondary/tertiary prevention groups showed promising results initially, later trials observed no benefit</w:t>
      </w:r>
      <w:r w:rsidR="00DF60EB">
        <w:t xml:space="preserve"> </w:t>
      </w:r>
      <w:r w:rsidR="00DF60EB">
        <w:fldChar w:fldCharType="begin" w:fldLock="1"/>
      </w:r>
      <w:r w:rsidR="009241D8">
        <w:instrText>ADDIN CSL_CITATION { "citationItems" : [ { "id" : "ITEM-1", "itemData" : { "ISSN" : "0007-1145", "PMID" : "24933212", "abstract" : "Randomised controlled trials (RCT) examining the effects of fish oil supplementation on cardiac outcomes have yielded varying results over time. Although RCT are placed at the top of the evidence hierarchy, this methodology arose in the framework of pharmaceutical development. RCT with pharmaceuticals differ in important ways from RCT involving fish oil interventions. In particular, in pharmaceutical RCT, the test agent is present only in the intervention group and not in the control group, whereas in fish oil RCT, n-3 fats are present in the diet and in the tissues of both groups. Also, early phase studies with pharmaceuticals determine pharmacokinetics and pharmacodynamics to design the dose of the RCT intervention so that it is in a predicted linear dose-response range. None of this happens in fish oil RCT, and there is evidence that both baseline n-3 intake and tissue levels may be sufficiently high in the dose-response range that it is not possible to demonstrate a clinical effect with a RCT. When these issues are considered, it is possible that the changing pattern of fish consumption and fish oil use over time, especially in cardiac patients, can explain the disparity where benefit was observed in the early fish oil trials but not in the more recent trials.", "author" : [ { "dropping-particle" : "", "family" : "James", "given" : "Michael J", "non-dropping-particle" : "", "parse-names" : false, "suffix" : "" }, { "dropping-particle" : "", "family" : "Sullivan", "given" : "Thomas R", "non-dropping-particle" : "", "parse-names" : false, "suffix" : "" }, { "dropping-particle" : "", "family" : "Metcalf", "given" : "Robert G", "non-dropping-particle" : "", "parse-names" : false, "suffix" : "" }, { "dropping-particle" : "", "family" : "Cleland", "given" : "Leslie G", "non-dropping-particle" : "", "parse-names" : false, "suffix" : "" } ], "container-title" : "British Journal of Nutrition", "id" : "ITEM-1", "issue" : "05", "issued" : { "date-parts" : [ [ "2014", "9", "16" ] ] }, "page" : "812-820", "title" : "Pitfalls in the use of randomised controlled trials for fish oil studies with cardiac patients", "type" : "article-journal", "volume" : "112" }, "uris" : [ "http://www.mendeley.com/documents/?uuid=ab78ccfe-b0a0-4fe3-b7a3-6b4418833a26" ] } ], "mendeley" : { "formattedCitation" : "&lt;sup&gt;(100)&lt;/sup&gt;", "plainTextFormattedCitation" : "(100)", "previouslyFormattedCitation" : "&lt;sup&gt;(100)&lt;/sup&gt;" }, "properties" : { "noteIndex" : 0 }, "schema" : "https://github.com/citation-style-language/schema/raw/master/csl-citation.json" }</w:instrText>
      </w:r>
      <w:r w:rsidR="00DF60EB">
        <w:fldChar w:fldCharType="separate"/>
      </w:r>
      <w:r w:rsidR="00C40694" w:rsidRPr="00C40694">
        <w:rPr>
          <w:noProof/>
          <w:vertAlign w:val="superscript"/>
        </w:rPr>
        <w:t>(100)</w:t>
      </w:r>
      <w:r w:rsidR="00DF60EB">
        <w:fldChar w:fldCharType="end"/>
      </w:r>
      <w:r w:rsidR="589C4AF9">
        <w:t>.</w:t>
      </w:r>
      <w:r w:rsidR="000457CD">
        <w:t xml:space="preserve">  A recent review by the </w:t>
      </w:r>
      <w:r w:rsidR="000457CD" w:rsidRPr="000457CD">
        <w:t xml:space="preserve">Omega-3 Treatment </w:t>
      </w:r>
      <w:proofErr w:type="spellStart"/>
      <w:r w:rsidR="000457CD" w:rsidRPr="000457CD">
        <w:t>Trialists</w:t>
      </w:r>
      <w:proofErr w:type="spellEnd"/>
      <w:r w:rsidR="000457CD" w:rsidRPr="000457CD">
        <w:t>’ Collaboration</w:t>
      </w:r>
      <w:r w:rsidR="000457CD">
        <w:t xml:space="preserve"> confirmed </w:t>
      </w:r>
      <w:r w:rsidR="000457CD">
        <w:rPr>
          <w:noProof/>
        </w:rPr>
        <w:t>no benefit in relation to fatal CHD</w:t>
      </w:r>
      <w:r>
        <w:rPr>
          <w:noProof/>
        </w:rPr>
        <w:t xml:space="preserve"> or</w:t>
      </w:r>
      <w:r w:rsidR="000457CD">
        <w:rPr>
          <w:noProof/>
        </w:rPr>
        <w:t xml:space="preserve"> nonfatal myocard</w:t>
      </w:r>
      <w:r w:rsidR="00FB4514">
        <w:rPr>
          <w:noProof/>
        </w:rPr>
        <w:t>i</w:t>
      </w:r>
      <w:r w:rsidR="000457CD">
        <w:rPr>
          <w:noProof/>
        </w:rPr>
        <w:t xml:space="preserve">al infarction </w:t>
      </w:r>
      <w:r>
        <w:rPr>
          <w:noProof/>
        </w:rPr>
        <w:t xml:space="preserve">among those with </w:t>
      </w:r>
      <w:r>
        <w:rPr>
          <w:noProof/>
        </w:rPr>
        <w:lastRenderedPageBreak/>
        <w:t>existing CHD</w:t>
      </w:r>
      <w:r w:rsidR="000457CD">
        <w:rPr>
          <w:noProof/>
        </w:rPr>
        <w:t xml:space="preserve"> </w:t>
      </w:r>
      <w:r w:rsidR="000457CD">
        <w:fldChar w:fldCharType="begin" w:fldLock="1"/>
      </w:r>
      <w:r w:rsidR="009241D8">
        <w:instrText>ADDIN CSL_CITATION { "citationItems" : [ { "id" : "ITEM-1", "itemData" : { "DOI" : "10.1001/jamacardio.2017.5205", "ISSN" : "2380-6583", "PMID" : "29387889", "author" : [ { "dropping-particle" : "", "family" : "Aung", "given" : "Theingi", "non-dropping-particle" : "", "parse-names" : false, "suffix" : "" }, { "dropping-particle" : "", "family" : "Halsey", "given" : "Jim", "non-dropping-particle" : "", "parse-names" : false, "suffix" : "" }, { "dropping-particle" : "", "family" : "Kromhout", "given" : "Daan", "non-dropping-particle" : "", "parse-names" : false, "suffix" : "" }, { "dropping-particle" : "", "family" : "Gerstein", "given" : "Hertzel C.", "non-dropping-particle" : "", "parse-names" : false, "suffix" : "" }, { "dropping-particle" : "", "family" : "Marchioli", "given" : "Roberto", "non-dropping-particle" : "", "parse-names" : false, "suffix" : "" }, { "dropping-particle" : "", "family" : "Tavazzi", "given" : "Luigi", "non-dropping-particle" : "", "parse-names" : false, "suffix" : "" }, { "dropping-particle" : "", "family" : "Geleijnse", "given" : "Johanna M", "non-dropping-particle" : "", "parse-names" : false, "suffix" : "" }, { "dropping-particle" : "", "family" : "Rauch", "given" : "Bernhard", "non-dropping-particle" : "", "parse-names" : false, "suffix" : "" }, { "dropping-particle" : "", "family" : "Ness", "given" : "Andrew", "non-dropping-particle" : "", "parse-names" : false, "suffix" : "" }, { "dropping-particle" : "", "family" : "Galan", "given" : "Pilar", "non-dropping-particle" : "", "parse-names" : false, "suffix" : "" }, { "dropping-particle" : "", "family" : "Chew", "given" : "Emily Y.", "non-dropping-particle" : "", "parse-names" : false, "suffix" : "" }, { "dropping-particle" : "", "family" : "Bosch", "given" : "Jackie", "non-dropping-particle" : "", "parse-names" : false, "suffix" : "" }, { "dropping-particle" : "", "family" : "Collins", "given" : "Rory", "non-dropping-particle" : "", "parse-names" : false, "suffix" : "" }, { "dropping-particle" : "", "family" : "Lewington", "given" : "Sarah", "non-dropping-particle" : "", "parse-names" : false, "suffix" : "" }, { "dropping-particle" : "", "family" : "Armitage", "given" : "Jane", "non-dropping-particle" : "", "parse-names" : false, "suffix" : "" }, { "dropping-particle" : "", "family" : "Clarke", "given" : "Robert", "non-dropping-particle" : "", "parse-names" : false, "suffix" : "" } ], "container-title" : "JAMA Cardiology", "id" : "ITEM-1", "issued" : { "date-parts" : [ [ "2018" ] ] }, "page" : "1-9", "title" : "Associations of Omega-3 Fatty Acid Supplement Use With Cardiovascular Disease Risks", "type" : "article-journal" }, "uris" : [ "http://www.mendeley.com/documents/?uuid=a3a061da-1f15-4b31-9519-c5aef2fe38aa" ] } ], "mendeley" : { "formattedCitation" : "&lt;sup&gt;(101)&lt;/sup&gt;", "plainTextFormattedCitation" : "(101)", "previouslyFormattedCitation" : "&lt;sup&gt;(101)&lt;/sup&gt;" }, "properties" : { "noteIndex" : 0 }, "schema" : "https://github.com/citation-style-language/schema/raw/master/csl-citation.json" }</w:instrText>
      </w:r>
      <w:r w:rsidR="000457CD">
        <w:fldChar w:fldCharType="separate"/>
      </w:r>
      <w:r w:rsidR="00C40694" w:rsidRPr="00C40694">
        <w:rPr>
          <w:noProof/>
          <w:vertAlign w:val="superscript"/>
        </w:rPr>
        <w:t>(101)</w:t>
      </w:r>
      <w:r w:rsidR="000457CD">
        <w:fldChar w:fldCharType="end"/>
      </w:r>
      <w:r w:rsidR="000457CD">
        <w:t>.</w:t>
      </w:r>
      <w:r w:rsidR="000457CD">
        <w:rPr>
          <w:noProof/>
        </w:rPr>
        <w:t xml:space="preserve">  </w:t>
      </w:r>
      <w:r w:rsidR="000457CD">
        <w:t>Supplementation with omega</w:t>
      </w:r>
      <w:r w:rsidR="000457CD">
        <w:noBreakHyphen/>
        <w:t xml:space="preserve">3 fatty acids for primary prevention of CVD has not been advised due to lack of trial results in primary prevention </w:t>
      </w:r>
      <w:r w:rsidR="000457CD">
        <w:fldChar w:fldCharType="begin" w:fldLock="1"/>
      </w:r>
      <w:r w:rsidR="009241D8">
        <w:instrText>ADDIN CSL_CITATION { "citationItems" : [ { "id" : "ITEM-1", "itemData" : { "DOI" : "10.1161/CIR.0000000000000482", "ISBN" : "0000000000000", "ISSN" : "15244539", "PMID" : "28289069", "author" : [ { "dropping-particle" : "", "family" : "Siscovick", "given" : "David S.", "non-dropping-particle" : "", "parse-names" : false, "suffix" : "" }, { "dropping-particle" : "", "family" : "Barringer", "given" : "Thomas A.", "non-dropping-particle" : "", "parse-names" : false, "suffix" : "" }, { "dropping-particle" : "", "family" : "Fretts", "given" : "Amanda M.", "non-dropping-particle" : "", "parse-names" : false, "suffix" : "" }, { "dropping-particle" : "", "family" : "Wu", "given" : "Jason H.Y.", "non-dropping-particle" : "", "parse-names" : false, "suffix" : "" }, { "dropping-particle" : "", "family" : "Lichtenstein", "given" : "Alice H.", "non-dropping-particle" : "", "parse-names" : false, "suffix" : "" }, { "dropping-particle" : "", "family" : "Costello", "given" : "Rebecca B.", "non-dropping-particle" : "", "parse-names" : false, "suffix" : "" }, { "dropping-particle" : "", "family" : "Kris-Etherton", "given" : "Penny M.", "non-dropping-particle" : "", "parse-names" : false, "suffix" : "" }, { "dropping-particle" : "", "family" : "Jacobson", "given" : "Terry A.", "non-dropping-particle" : "", "parse-names" : false, "suffix" : "" }, { "dropping-particle" : "", "family" : "Engler", "given" : "Mary B.", "non-dropping-particle" : "", "parse-names" : false, "suffix" : "" }, { "dropping-particle" : "", "family" : "Alger", "given" : "Heather M.", "non-dropping-particle" : "", "parse-names" : false, "suffix" : "" }, { "dropping-particle" : "", "family" : "Appel", "given" : "Lawrence J.", "non-dropping-particle" : "", "parse-names" : false, "suffix" : "" }, { "dropping-particle" : "", "family" : "Mozaffarian", "given" : "Dariush", "non-dropping-particle" : "", "parse-names" : false, "suffix" : "" } ], "container-title" : "Circulation", "id" : "ITEM-1", "issue" : "15", "issued" : { "date-parts" : [ [ "2017" ] ] }, "page" : "e867-e884", "title" : "Omega-3 Polyunsaturated Fatty Acid (Fish Oil) Supplementation and the Prevention of Clinical Cardiovascular Disease: A Science Advisory from the American Heart Association", "type" : "article-journal", "volume" : "135" }, "uris" : [ "http://www.mendeley.com/documents/?uuid=1f4ba87b-ddc3-4ae9-8931-66be0885a3bc" ] }, { "id" : "ITEM-2", "itemData" : { "DOI" : "10.1016/j.hlc.2015.03.020", "ISSN" : "14439506", "PMID" : "25936871", "abstract" : "BACKGROUND: The National Heart Foundation of Australia (NHFA) 2008 review on omega-3 long-chain polyunsaturated fatty acids (LCPUFA) made recommendations with respect to supplementation for primary and secondary prevention of cardiovascular disease. Since then, new findings have been published regarding the relationship between omega-3 polyunsaturated fatty acids, including supplementation, and cardiovascular health.\\n\\nMETHODS: A literature search was undertaken in PubMed and Medline, for literature published between January 1, 2007 and August 31, 2013.\\n\\nRESULTS AND CONCLUSIONS: A total of eight research questions were developed and, using the National Health and Medical Research Council's evidence assessment framework, conclusions were made in relation to dietary intake of fish and omega-3 LCPUFA for cardiovascular health. In the evidence published since 2007, this summary of evidence concludes that dietary intake of fish was found to be mostly consistent with respect to protection from heart disease and stroke. Higher fish intake was associated with lower incident rates of heart failure in addition to lower sudden cardiac death, stroke and myocardial infarction. In relation to omega-3 LCPUFA supplementation, neither a beneficial nor adverse effect was demonstrated in primary or secondary prevention of coronary heart disease (CHD). Although the evidence continues to be positive for the role of omega-3 LCPUFA in the treatment of hypertriglyceridaemia and a modest positive benefit in heart failure. No further evidence was found to support the consumption of 2g alpha-linolenic acid (ALA)/day over the current Australian guidelines for 1g/day.", "author" : [ { "dropping-particle" : "", "family" : "Nestel", "given" : "Paul", "non-dropping-particle" : "", "parse-names" : false, "suffix" : "" }, { "dropping-particle" : "", "family" : "Clifton", "given" : "Peter", "non-dropping-particle" : "", "parse-names" : false, "suffix" : "" }, { "dropping-particle" : "", "family" : "Colquhoun", "given" : "David", "non-dropping-particle" : "", "parse-names" : false, "suffix" : "" }, { "dropping-particle" : "", "family" : "Noakes", "given" : "Manny", "non-dropping-particle" : "", "parse-names" : false, "suffix" : "" }, { "dropping-particle" : "", "family" : "Mori", "given" : "Trevor a.", "non-dropping-particle" : "", "parse-names" : false, "suffix" : "" }, { "dropping-particle" : "", "family" : "Sullivan", "given" : "David", "non-dropping-particle" : "", "parse-names" : false, "suffix" : "" }, { "dropping-particle" : "", "family" : "Thomas", "given" : "Beth", "non-dropping-particle" : "", "parse-names" : false, "suffix" : "" } ], "container-title" : "Heart, Lung and Circulation", "id" : "ITEM-2", "issue" : "8", "issued" : { "date-parts" : [ [ "2015" ] ] }, "page" : "1-11", "publisher" : "Australian and New Zealand Society of Cardiac and Thoracic Surgeons (ANZSCTS) and the Cardiac Society of Australia and New Zealand (CSANZ)", "title" : "Indications for Omega-3 Long Chain Polyunsaturated Fatty Acid in the Prevention and Treatment of Cardiovascular Disease", "type" : "article-journal", "volume" : "24" }, "uris" : [ "http://www.mendeley.com/documents/?uuid=7d45f652-fbd0-4e0d-8a58-52ce4b0dd760" ] } ], "mendeley" : { "formattedCitation" : "&lt;sup&gt;(102,103)&lt;/sup&gt;", "plainTextFormattedCitation" : "(102,103)", "previouslyFormattedCitation" : "&lt;sup&gt;(102,103)&lt;/sup&gt;" }, "properties" : { "noteIndex" : 0 }, "schema" : "https://github.com/citation-style-language/schema/raw/master/csl-citation.json" }</w:instrText>
      </w:r>
      <w:r w:rsidR="000457CD">
        <w:fldChar w:fldCharType="separate"/>
      </w:r>
      <w:r w:rsidR="00C40694" w:rsidRPr="00C40694">
        <w:rPr>
          <w:noProof/>
          <w:vertAlign w:val="superscript"/>
        </w:rPr>
        <w:t>(102,103)</w:t>
      </w:r>
      <w:r w:rsidR="000457CD">
        <w:fldChar w:fldCharType="end"/>
      </w:r>
      <w:r>
        <w:t xml:space="preserve"> </w:t>
      </w:r>
      <w:r w:rsidR="00FB4514">
        <w:t>(</w:t>
      </w:r>
      <w:r>
        <w:t>the results from the first primary prevention trial on Vitamin D and EPA+DHA, the</w:t>
      </w:r>
      <w:r w:rsidRPr="589C4AF9">
        <w:rPr>
          <w:rFonts w:eastAsia="Times New Roman" w:cs="Times New Roman"/>
          <w:szCs w:val="24"/>
        </w:rPr>
        <w:t xml:space="preserve"> </w:t>
      </w:r>
      <w:proofErr w:type="spellStart"/>
      <w:r w:rsidRPr="589C4AF9">
        <w:rPr>
          <w:rFonts w:eastAsia="Times New Roman" w:cs="Times New Roman"/>
          <w:szCs w:val="24"/>
        </w:rPr>
        <w:t>VITamin</w:t>
      </w:r>
      <w:proofErr w:type="spellEnd"/>
      <w:r w:rsidRPr="589C4AF9">
        <w:rPr>
          <w:rFonts w:eastAsia="Times New Roman" w:cs="Times New Roman"/>
          <w:szCs w:val="24"/>
        </w:rPr>
        <w:t xml:space="preserve"> D and OmegA-3 </w:t>
      </w:r>
      <w:proofErr w:type="spellStart"/>
      <w:r w:rsidRPr="589C4AF9">
        <w:rPr>
          <w:rFonts w:eastAsia="Times New Roman" w:cs="Times New Roman"/>
          <w:szCs w:val="24"/>
        </w:rPr>
        <w:t>TriaL</w:t>
      </w:r>
      <w:proofErr w:type="spellEnd"/>
      <w:r w:rsidRPr="589C4AF9">
        <w:rPr>
          <w:rFonts w:eastAsia="Times New Roman" w:cs="Times New Roman"/>
          <w:szCs w:val="24"/>
        </w:rPr>
        <w:t xml:space="preserve"> </w:t>
      </w:r>
      <w:r w:rsidR="00FB4514">
        <w:t>[</w:t>
      </w:r>
      <w:r>
        <w:t>VITAL</w:t>
      </w:r>
      <w:r w:rsidR="00FB4514">
        <w:t>]</w:t>
      </w:r>
      <w:r>
        <w:t xml:space="preserve">, are </w:t>
      </w:r>
      <w:r w:rsidR="000A79AE">
        <w:t>not yet available</w:t>
      </w:r>
      <w:r>
        <w:t xml:space="preserve"> </w:t>
      </w:r>
      <w:r>
        <w:fldChar w:fldCharType="begin" w:fldLock="1"/>
      </w:r>
      <w:r w:rsidR="009241D8">
        <w:instrText>ADDIN CSL_CITATION { "citationItems" : [ { "id" : "ITEM-1", "itemData" : { "ISBN" : "1559-2030", "ISSN" : "15517144", "PMID" : "21986389", "abstract" : "Data from laboratory studies, observational research, and/or secondary prevention trials suggest that vitamin D and marine omega-3 fatty acids may reduce risk for cancer or cardiovascular disease (CVD), but primary prevention trials with adequate dosing in general populations (i.e., unselected for disease risk) are lacking. The ongoing VITamin D and OmegA-3 TriaL (VITAL) is a large randomized, double-blind, placebo-controlled, 2 x 2 factorial trial of vitamin D (in the form of vitamin D(3) [cholecalciferol], 2000 IU/day) and marine omega-3 fatty acid (Omacor fish oil, eicosapentaenoic acid [EPA]+docosahexaenoic acid [DHA], 1g/day) supplements in the primary prevention of cancer and CVD among a multi-ethnic population of 20,000 U.S. men aged \u2265 50 and women aged \u2265 55. The mean treatment period will be 5 years. Baseline blood samples will be collected in at least 16,000 participants, with follow-up blood collection in about 6000 participants. Yearly follow-up questionnaires will assess treatment compliance (plasma biomarker measures will also assess compliance in a random sample of participants), use of non-study drugs or supplements, occurrence of endpoints, and cancer and vascular risk factors. Self-reported endpoints will be confirmed by medical record review by physicians blinded to treatment assignment, and deaths will be ascertained through national registries and other sources. Ancillary studies will investigate whether these agents affect risk for diabetes and glucose intolerance; hypertension; cognitive decline; depression; osteoporosis and fracture; physical disability and falls; asthma and other respiratory diseases; infections; and rheumatoid arthritis, systemic lupus erythematosus, thyroid diseases, and other autoimmune disorders.", "author" : [ { "dropping-particle" : "", "family" : "Manson", "given" : "Joann E", "non-dropping-particle" : "", "parse-names" : false, "suffix" : "" }, { "dropping-particle" : "", "family" : "Bassuk", "given" : "Shari S", "non-dropping-particle" : "", "parse-names" : false, "suffix" : "" }, { "dropping-particle" : "", "family" : "Lee", "given" : "I-Min", "non-dropping-particle" : "", "parse-names" : false, "suffix" : "" }, { "dropping-particle" : "", "family" : "Cook", "given" : "Nancy R", "non-dropping-particle" : "", "parse-names" : false, "suffix" : "" }, { "dropping-particle" : "", "family" : "Albert", "given" : "Michelle A", "non-dropping-particle" : "", "parse-names" : false, "suffix" : "" }, { "dropping-particle" : "", "family" : "Gordon", "given" : "David", "non-dropping-particle" : "", "parse-names" : false, "suffix" : "" }, { "dropping-particle" : "", "family" : "Zaharris", "given" : "Elaine", "non-dropping-particle" : "", "parse-names" : false, "suffix" : "" }, { "dropping-particle" : "", "family" : "MacFadyen", "given" : "Jean G.", "non-dropping-particle" : "", "parse-names" : false, "suffix" : "" }, { "dropping-particle" : "", "family" : "Danielson", "given" : "Eleanor", "non-dropping-particle" : "", "parse-names" : false, "suffix" : "" }, { "dropping-particle" : "", "family" : "Lin", "given" : "Jennifer", "non-dropping-particle" : "", "parse-names" : false, "suffix" : "" }, { "dropping-particle" : "", "family" : "Zhang", "given" : "Shumin M", "non-dropping-particle" : "", "parse-names" : false, "suffix" : "" }, { "dropping-particle" : "", "family" : "Buring", "given" : "Julie E", "non-dropping-particle" : "", "parse-names" : false, "suffix" : "" } ], "container-title" : "Contemporary Clinical Trials", "id" : "ITEM-1", "issue" : "1", "issued" : { "date-parts" : [ [ "2012", "1" ] ] }, "note" : "DA - 20120109\n\n0 (Fatty Acids, Omega-3)\n\n0 (Fish Oils)\n\n0 (Vitamins)\n\n1406-16-2 (Vitamin D)\nSB - IM", "page" : "159-171", "title" : "The VITamin D and OmegA-3 TriaL (VITAL): Rationale and design of a large randomized controlled trial of vitamin D and marine omega-3 fatty acid supplements for the primary prevention of cancer and cardiovascular disease", "type" : "article", "volume" : "33" }, "uris" : [ "http://www.mendeley.com/documents/?uuid=b72e3daa-5759-40a5-ba1c-0d732863dc77" ] } ], "mendeley" : { "formattedCitation" : "&lt;sup&gt;(104)&lt;/sup&gt;", "plainTextFormattedCitation" : "(104)", "previouslyFormattedCitation" : "&lt;sup&gt;(104)&lt;/sup&gt;" }, "properties" : { "noteIndex" : 0 }, "schema" : "https://github.com/citation-style-language/schema/raw/master/csl-citation.json" }</w:instrText>
      </w:r>
      <w:r>
        <w:fldChar w:fldCharType="separate"/>
      </w:r>
      <w:r w:rsidR="00C40694" w:rsidRPr="00C40694">
        <w:rPr>
          <w:noProof/>
          <w:vertAlign w:val="superscript"/>
        </w:rPr>
        <w:t>(104)</w:t>
      </w:r>
      <w:r>
        <w:fldChar w:fldCharType="end"/>
      </w:r>
      <w:r w:rsidR="00FB4514">
        <w:t>)</w:t>
      </w:r>
      <w:r w:rsidR="000457CD">
        <w:t xml:space="preserve">, only the consumption of oily fish and seafood is currently advocated.  </w:t>
      </w:r>
      <w:r w:rsidR="00F73689">
        <w:t>S</w:t>
      </w:r>
      <w:r w:rsidR="589C4AF9">
        <w:t>ince cod liver oil is a low dose source of EPA+DHA and a commonly consumed supplement in the EPIC-Norfolk</w:t>
      </w:r>
      <w:r>
        <w:t xml:space="preserve"> study</w:t>
      </w:r>
      <w:r w:rsidR="000571AA">
        <w:t xml:space="preserve"> (</w:t>
      </w:r>
      <w:r w:rsidR="00D34A30">
        <w:t>SUPP-Table 5</w:t>
      </w:r>
      <w:r w:rsidR="000571AA">
        <w:t>)</w:t>
      </w:r>
      <w:r w:rsidR="589C4AF9">
        <w:t xml:space="preserve">, it was possible to assess the role of this supplement in </w:t>
      </w:r>
      <w:r w:rsidR="589C4AF9" w:rsidRPr="589C4AF9">
        <w:rPr>
          <w:i/>
          <w:iCs/>
        </w:rPr>
        <w:t xml:space="preserve">primary </w:t>
      </w:r>
      <w:r w:rsidR="589C4AF9">
        <w:t>prevention of CHD mortality</w:t>
      </w:r>
      <w:r w:rsidR="000571AA">
        <w:t>.  A</w:t>
      </w:r>
      <w:r w:rsidR="589C4AF9">
        <w:t xml:space="preserve"> low dose of 250</w:t>
      </w:r>
      <w:r w:rsidR="00B1233A">
        <w:t> </w:t>
      </w:r>
      <w:r w:rsidR="589C4AF9">
        <w:t xml:space="preserve">mg/d of EPA/DHA is considered sufficient for prevention of arrhythmia </w:t>
      </w:r>
      <w:r w:rsidR="00F817D6">
        <w:fldChar w:fldCharType="begin" w:fldLock="1"/>
      </w:r>
      <w:r w:rsidR="009241D8">
        <w:instrText>ADDIN CSL_CITATION { "citationItems" : [ { "id" : "ITEM-1", "itemData" : { "ISSN" : "0098-7484", "PMID" : "17047219", "abstract" : "CONTEXT: Fish (finfish or shellfish) may have health benefits and also contain contaminants, resulting in confusion over the role of fish consumption in a healthy diet. EVIDENCE ACQUISITION: We searched MEDLINE, governmental reports, and meta-analyses, supplemented by hand reviews of references and direct investigator contacts, to identify reports published through April 2006 evaluating (1) intake of fish or fish oil and cardiovascular risk, (2) effects of methylmercury and fish oil on early neurodevelopment, (3) risks of methylmercury for cardiovascular and neurologic outcomes in adults, and (4) health risks of dioxins and polychlorinated biphenyls in fish. We concentrated on studies evaluating risk in humans, focusing on evidence, when available, from randomized trials and large prospective studies. When possible, meta-analyses were performed to characterize benefits and risks most precisely. EVIDENCE SYNTHESIS: Modest consumption of fish (eg, 1-2 servings/wk), especially species higher in the n-3 fatty acids eicosapentaenoic acid (EPA) and docosahexaenoic acid (DHA), reduces risk of coronary death by 36% (95% confidence interval, 20%-50%; P&lt;.001) and total mortality by 17% (95% confidence interval, 0%-32%; P = .046) and may favorably affect other clinical outcomes. Intake of 250 mg/d of EPA and DHA appears sufficient for primary prevention. DHA appears beneficial for, and low-level methylmercury may adversely affect, early neurodevelopment. Women of childbearing age and nursing mothers should consume 2 seafood servings/wk, limiting intake of selected species. Health effects of low-level methylmercury in adults are not clearly established; methylmercury may modestly decrease the cardiovascular benefits of fish intake. A variety of seafood should be consumed; individuals with very high consumption (&gt; or =5 servings/wk) should limit intake of species highest in mercury levels. Levels of dioxins and polychlorinated biphenyls in fish are low, and potential carcinogenic and other effects are outweighed by potential benefits of fish intake and should have little impact on choices or consumption of seafood (women of childbearing age should consult regional advisories for locally caught freshwater fish). CONCLUSIONS: For major health outcomes among adults, based on both the strength of the evidence and the potential magnitudes of effect, the benefits of fish intake exceed the potential risks. For women of childbearing age, benefits of modest fish intake, exce\u2026", "author" : [ { "dropping-particle" : "", "family" : "Mozaffarian", "given" : "Dariush", "non-dropping-particle" : "", "parse-names" : false, "suffix" : "" }, { "dropping-particle" : "", "family" : "Rimm", "given" : "Eric B", "non-dropping-particle" : "", "parse-names" : false, "suffix" : "" } ], "container-title" : "JAMA : the journal of the American Medical Association", "id" : "ITEM-1", "issue" : "15", "issued" : { "date-parts" : [ [ "2006" ] ] }, "page" : "1885-1899", "title" : "Fish intake, contaminants, and human health: evaluating the risks and the benefits.", "type" : "article-journal", "volume" : "296" }, "uris" : [ "http://www.mendeley.com/documents/?uuid=4f46b852-178c-4908-b685-6b284bea6b79" ] } ], "mendeley" : { "formattedCitation" : "&lt;sup&gt;(105)&lt;/sup&gt;", "plainTextFormattedCitation" : "(105)", "previouslyFormattedCitation" : "&lt;sup&gt;(105)&lt;/sup&gt;" }, "properties" : { "noteIndex" : 0 }, "schema" : "https://github.com/citation-style-language/schema/raw/master/csl-citation.json" }</w:instrText>
      </w:r>
      <w:r w:rsidR="00F817D6">
        <w:fldChar w:fldCharType="separate"/>
      </w:r>
      <w:r w:rsidR="00C40694" w:rsidRPr="00C40694">
        <w:rPr>
          <w:noProof/>
          <w:vertAlign w:val="superscript"/>
        </w:rPr>
        <w:t>(105)</w:t>
      </w:r>
      <w:r w:rsidR="00F817D6">
        <w:fldChar w:fldCharType="end"/>
      </w:r>
      <w:r w:rsidR="00460F25">
        <w:t>.  Due to s</w:t>
      </w:r>
      <w:r w:rsidR="000571AA">
        <w:t>upplement</w:t>
      </w:r>
      <w:r w:rsidR="00460F25">
        <w:t xml:space="preserve"> use, an additional 19-24% of the participants met this threshold</w:t>
      </w:r>
      <w:r w:rsidR="589C4AF9">
        <w:t>.  The confounding associated with SU+EPA/DHA</w:t>
      </w:r>
      <w:r w:rsidR="00F73689">
        <w:t xml:space="preserve"> and SU</w:t>
      </w:r>
      <w:r w:rsidR="00F73689">
        <w:noBreakHyphen/>
        <w:t>EPA/DHA</w:t>
      </w:r>
      <w:r w:rsidR="589C4AF9">
        <w:t xml:space="preserve"> as well as the changes over time in supplement use </w:t>
      </w:r>
      <w:proofErr w:type="gramStart"/>
      <w:r w:rsidR="589C4AF9">
        <w:t>were</w:t>
      </w:r>
      <w:proofErr w:type="gramEnd"/>
      <w:r w:rsidR="589C4AF9">
        <w:t xml:space="preserve"> modelled using time-varying covariates analysis.  It was observed that CHD mortality was </w:t>
      </w:r>
      <w:r w:rsidR="00C22E7A">
        <w:t>26%</w:t>
      </w:r>
      <w:r w:rsidR="589C4AF9">
        <w:t xml:space="preserve"> lower (95%CI: </w:t>
      </w:r>
      <w:r w:rsidR="00C22E7A">
        <w:t>16-34%</w:t>
      </w:r>
      <w:r w:rsidR="589C4AF9">
        <w:t xml:space="preserve">) among SU+EPA/DHA compared to NSU, but no significant association was observed when comparing SU-EPA/DHA vs. NSU </w:t>
      </w:r>
      <w:r w:rsidR="000D3FF8">
        <w:fldChar w:fldCharType="begin" w:fldLock="1"/>
      </w:r>
      <w:r w:rsidR="009241D8">
        <w:instrText>ADDIN CSL_CITATION { "citationItems" : [ { "id" : "ITEM-1", "itemData" : { "ISSN" : "2044-6055", "PMID" : "29030414", "abstract" : "Objectives Assess the association between marine omega-3 polyunsaturated fatty acid (n-3 PUFA) intake from supplements, mainly cod liver oil, and coronary heart disease (CHD) mortality. Design Prospective cohort study, with three exposure measurements over 22 years. Setting Norfolk-based European Prospective Investigation into Cancer (EPIC-Norfolk, UK). Participants 22 035 men and women from the general population, 39\u201379 years at recruitment. Exposure Supplement use was assessed in three questionnaires (1993\u20131998; 2002\u20132004; 2004\u20132011). Participants were grouped into non-supplement users (NSU), n-3 PUFA supplement users (SU+n3) and non\u2013n-3 PUFA supplement users (SU-n3). Cox regression adjusted for time-point specific variables: age, smoking, prevalent illnesses, body mass index, alcohol consumption, physical activity and season and baseline assessments of sex, social class, education and dietary intake (7-day diet diary). Primary and secondary outcome measures During a median of 19-year follow-up, 1562 CHD deaths were registered for 22 035 included participants. Results Baseline supplement use was not associated with CHD mortality, but baseline food and supplement intake of n-3 PUFA was inversely associated with CHD mortality after adjustment for fish consumption. Using time-varying covariate analysis, significant associations were observed for SU+n3 (HR: 0.74, 95% CI 0.66 to 0.84), but not for SU-n3 versus NSU. In further analyses, the association for SU+n3 persisted in those who did not take other supplements (HR: 0.83, 95% CI 0.71 to 0.97). Those who became SU+n3 over time or were consistent SU+n3 versus consistent NSU had a lower hazard of CHD mortality; no association with CHD was observed in those who stopped using n-3 PUFA-containing supplements. Conclusions Recent use of n-3 PUFA supplements was associated with a lower hazard of CHD mortality in this general population with low fish consumption. Residual confounding cannot be excluded, but the findings observed may be explained by postulated biological mechanisms and the results were specific to SU+n3.", "author" : [ { "dropping-particle" : "", "family" : "Lentjes", "given" : "Marleen A H", "non-dropping-particle" : "", "parse-names" : false, "suffix" : "" }, { "dropping-particle" : "", "family" : "Keogh", "given" : "Ruth H", "non-dropping-particle" : "", "parse-names" : false, "suffix" : "" }, { "dropping-particle" : "", "family" : "Welch", "given" : "Ailsa A", "non-dropping-particle" : "", "parse-names" : false, "suffix" : "" }, { "dropping-particle" : "", "family" : "Mulligan", "given" : "Angela A", "non-dropping-particle" : "", "parse-names" : false, "suffix" : "" }, { "dropping-particle" : "", "family" : "Luben", "given" : "Robert N", "non-dropping-particle" : "", "parse-names" : false, "suffix" : "" }, { "dropping-particle" : "", "family" : "Wareham", "given" : "Nicholas J", "non-dropping-particle" : "", "parse-names" : false, "suffix" : "" }, { "dropping-particle" : "", "family" : "Khaw", "given" : "Kay-Tee", "non-dropping-particle" : "", "parse-names" : false, "suffix" : "" } ], "container-title" : "BMJ Open", "id" : "ITEM-1", "issue" : "10", "issued" : { "date-parts" : [ [ "2017" ] ] }, "page" : "e017471", "title" : "Longitudinal associations between marine omega-3 supplement users and coronary heart disease in a UK population-based cohort", "type" : "article-journal", "volume" : "7" }, "uris" : [ "http://www.mendeley.com/documents/?uuid=a9f89b77-dc3b-4a19-8794-b7345f7d22c3" ] } ], "mendeley" : { "formattedCitation" : "&lt;sup&gt;(106)&lt;/sup&gt;", "plainTextFormattedCitation" : "(106)", "previouslyFormattedCitation" : "&lt;sup&gt;(106)&lt;/sup&gt;" }, "properties" : { "noteIndex" : 0 }, "schema" : "https://github.com/citation-style-language/schema/raw/master/csl-citation.json" }</w:instrText>
      </w:r>
      <w:r w:rsidR="000D3FF8">
        <w:fldChar w:fldCharType="separate"/>
      </w:r>
      <w:r w:rsidR="00C40694" w:rsidRPr="00C40694">
        <w:rPr>
          <w:noProof/>
          <w:vertAlign w:val="superscript"/>
        </w:rPr>
        <w:t>(106)</w:t>
      </w:r>
      <w:r w:rsidR="000D3FF8">
        <w:fldChar w:fldCharType="end"/>
      </w:r>
      <w:r w:rsidR="589C4AF9">
        <w:t>.</w:t>
      </w:r>
      <w:r>
        <w:t xml:space="preserve">  Due to the observational nature of the study, residual confounding</w:t>
      </w:r>
      <w:r w:rsidR="00E04768">
        <w:t xml:space="preserve"> and </w:t>
      </w:r>
      <w:proofErr w:type="spellStart"/>
      <w:r w:rsidR="00E04768">
        <w:t>collinearity</w:t>
      </w:r>
      <w:proofErr w:type="spellEnd"/>
      <w:r w:rsidR="00E04768">
        <w:t xml:space="preserve"> of nutrients </w:t>
      </w:r>
      <w:r>
        <w:t>could have occurred</w:t>
      </w:r>
      <w:r w:rsidR="00F73689">
        <w:t>.</w:t>
      </w:r>
    </w:p>
    <w:p w14:paraId="2C171B3A" w14:textId="77777777" w:rsidR="005C7F7E" w:rsidRPr="00F34A58" w:rsidRDefault="7AF5BD86" w:rsidP="005C7F7E">
      <w:pPr>
        <w:pStyle w:val="Heading2"/>
      </w:pPr>
      <w:r w:rsidRPr="00F34A58">
        <w:t>Conclusion – health</w:t>
      </w:r>
    </w:p>
    <w:p w14:paraId="3E26B1E1" w14:textId="3D41A7C7" w:rsidR="00BC6A05" w:rsidRPr="00447BF3" w:rsidRDefault="589C4AF9" w:rsidP="00447BF3">
      <w:r w:rsidRPr="00F34A58">
        <w:t xml:space="preserve">Whenever supplement use and health are being associated, the heterogeneity among </w:t>
      </w:r>
      <w:r w:rsidR="00FB4514">
        <w:t>SUs</w:t>
      </w:r>
      <w:r w:rsidRPr="00F34A58">
        <w:t xml:space="preserve"> cannot be ignored.  </w:t>
      </w:r>
      <w:r>
        <w:t xml:space="preserve">‘The typical supplement user’ does not exist.  The obvious distinction between </w:t>
      </w:r>
      <w:r w:rsidR="00DF60EB">
        <w:t>SU</w:t>
      </w:r>
      <w:r w:rsidR="001A27C5">
        <w:t>s</w:t>
      </w:r>
      <w:r>
        <w:t xml:space="preserve"> </w:t>
      </w:r>
      <w:r w:rsidR="001A27C5">
        <w:t>l</w:t>
      </w:r>
      <w:r>
        <w:t>i</w:t>
      </w:r>
      <w:r w:rsidR="001A27C5">
        <w:t>e</w:t>
      </w:r>
      <w:r>
        <w:t xml:space="preserve">s in the variety </w:t>
      </w:r>
      <w:r w:rsidR="001A27C5">
        <w:t>of</w:t>
      </w:r>
      <w:r>
        <w:t xml:space="preserve"> the supplement</w:t>
      </w:r>
      <w:r w:rsidR="005F2336">
        <w:t>s</w:t>
      </w:r>
      <w:r>
        <w:t xml:space="preserve"> consumed, but also in the many other disease risk factors which might confound or bias the supplement-health association</w:t>
      </w:r>
      <w:r w:rsidR="005F2336">
        <w:t xml:space="preserve"> in observational research</w:t>
      </w:r>
      <w:r>
        <w:t xml:space="preserve">.  </w:t>
      </w:r>
      <w:r w:rsidR="00DF332F">
        <w:t xml:space="preserve">Supplements may be considered ‘natural’; however, the concentrated form puts the user at risk of harm when overdosed.  </w:t>
      </w:r>
      <w:r w:rsidR="005F2336">
        <w:t xml:space="preserve">Meta-analyses of trials studying </w:t>
      </w:r>
      <w:r w:rsidR="00FB4514">
        <w:t>MVMM</w:t>
      </w:r>
      <w:r w:rsidR="005F2336">
        <w:t xml:space="preserve"> supplements thus far have indicated that if populations are optimally nourished, there is no role for supplement use - “Enough is enough” </w:t>
      </w:r>
      <w:r w:rsidR="005F2336">
        <w:fldChar w:fldCharType="begin" w:fldLock="1"/>
      </w:r>
      <w:r w:rsidR="009241D8">
        <w:instrText>ADDIN CSL_CITATION { "citationItems" : [ { "id" : "ITEM-1", "itemData" : { "abstract" : "Three articles in this issue address the role of vitamin and mineral supplements for preventing the occurrence or progression of chronic diseases. First, Fortmann and colleagues (1) systematically reviewed trial evidence to up- date the U.S. Preventive Services Task Force recommenda- tion on the efficacy of vitamin supplements for primary prevention in community-dwelling adults with no nutri- tional deficiencies. After reviewing 3 trials of multivitamin supplements and 24 trials of single or paired vitamins that randomly assigned more than 400 000 participants, the authors concluded that there was no clear evidence of a beneficial effect of supplements on all-cause mortality, car- diovascular disease, or cancer. Second, ...", "author" : [ { "dropping-particle" : "", "family" : "Guallar", "given" : "E", "non-dropping-particle" : "", "parse-names" : false, "suffix" : "" }, { "dropping-particle" : "", "family" : "Stranges", "given" : "S", "non-dropping-particle" : "", "parse-names" : false, "suffix" : "" }, { "dropping-particle" : "", "family" : "Mulrow", "given" : "Cynthia", "non-dropping-particle" : "", "parse-names" : false, "suffix" : "" }, { "dropping-particle" : "", "family" : "Appel", "given" : "Lawrence J", "non-dropping-particle" : "", "parse-names" : false, "suffix" : "" }, { "dropping-particle" : "", "family" : "Miller III", "given" : "Edgar R", "non-dropping-particle" : "", "parse-names" : false, "suffix" : "" } ], "container-title" : "Annals of Internal Medicine", "id" : "ITEM-1", "issued" : { "date-parts" : [ [ "2013" ] ] }, "page" : "850-851", "title" : "Enough is enough: Stop wasting money on vitamin and mineral supplements", "type" : "article-journal", "volume" : "159" }, "uris" : [ "http://www.mendeley.com/documents/?uuid=7c588ad4-3701-42bd-ae90-1a636b861b0b" ] } ], "mendeley" : { "formattedCitation" : "&lt;sup&gt;(107)&lt;/sup&gt;", "plainTextFormattedCitation" : "(107)", "previouslyFormattedCitation" : "&lt;sup&gt;(107)&lt;/sup&gt;" }, "properties" : { "noteIndex" : 0 }, "schema" : "https://github.com/citation-style-language/schema/raw/master/csl-citation.json" }</w:instrText>
      </w:r>
      <w:r w:rsidR="005F2336">
        <w:fldChar w:fldCharType="separate"/>
      </w:r>
      <w:r w:rsidR="00C40694" w:rsidRPr="00C40694">
        <w:rPr>
          <w:noProof/>
          <w:vertAlign w:val="superscript"/>
        </w:rPr>
        <w:t>(107)</w:t>
      </w:r>
      <w:r w:rsidR="005F2336">
        <w:fldChar w:fldCharType="end"/>
      </w:r>
      <w:r w:rsidR="005F2336" w:rsidRPr="589C4AF9">
        <w:t>.</w:t>
      </w:r>
    </w:p>
    <w:p w14:paraId="0572CAE8" w14:textId="77777777" w:rsidR="007D2DEC" w:rsidRDefault="7AF5BD86" w:rsidP="00380E10">
      <w:pPr>
        <w:pStyle w:val="Heading1"/>
      </w:pPr>
      <w:r>
        <w:t>Closing remarks</w:t>
      </w:r>
    </w:p>
    <w:p w14:paraId="672A6659" w14:textId="2E326D1F" w:rsidR="00570B79" w:rsidRDefault="589C4AF9" w:rsidP="00380E10">
      <w:r>
        <w:t xml:space="preserve">How does the balance tip between foods and supplements? </w:t>
      </w:r>
      <w:r w:rsidR="004A6F7C">
        <w:t xml:space="preserve"> Supplements continue to be used</w:t>
      </w:r>
      <w:r w:rsidR="005F2336">
        <w:t xml:space="preserve"> by an increasing proportion </w:t>
      </w:r>
      <w:r w:rsidR="008E6693">
        <w:t>of</w:t>
      </w:r>
      <w:r w:rsidR="005F2336">
        <w:t xml:space="preserve"> the population</w:t>
      </w:r>
      <w:r w:rsidR="004A6F7C">
        <w:t>, so their contribution to diet</w:t>
      </w:r>
      <w:r w:rsidR="00DF332F">
        <w:t>, health and disease</w:t>
      </w:r>
      <w:r w:rsidR="004A6F7C">
        <w:t xml:space="preserve"> needs to be monitored.</w:t>
      </w:r>
      <w:r w:rsidR="005F2336">
        <w:t xml:space="preserve">  Traditionally, essential nutrients have been studied in relation to health, and although micronutrient deficiencies are still prevalent in the</w:t>
      </w:r>
      <w:r w:rsidR="009F505D">
        <w:t xml:space="preserve"> UK</w:t>
      </w:r>
      <w:r w:rsidR="005F2336">
        <w:t xml:space="preserve"> population, the relatively high nutrient intake may not be a marker of healthy food choices, as reflected in the low fruit, vegetable and fish consumption</w:t>
      </w:r>
      <w:r w:rsidR="006112F3">
        <w:t xml:space="preserve"> </w:t>
      </w:r>
      <w:r w:rsidR="00E91156">
        <w:t>from national surveys</w:t>
      </w:r>
      <w:r w:rsidR="005F2336">
        <w:t>.</w:t>
      </w:r>
      <w:r w:rsidR="00DF332F">
        <w:t xml:space="preserve">  Resolving unhealthy dietary patterns with micronutrient supplements is a too narrow-minded solution.</w:t>
      </w:r>
      <w:r w:rsidR="005F2336">
        <w:t xml:space="preserve">  </w:t>
      </w:r>
      <w:r w:rsidR="00E57F94">
        <w:t xml:space="preserve">Nowadays, public health nutrition guidelines take the role of the nutrient, </w:t>
      </w:r>
      <w:r w:rsidR="00A523EE">
        <w:t>its</w:t>
      </w:r>
      <w:r w:rsidR="00E57F94">
        <w:t xml:space="preserve"> food source and </w:t>
      </w:r>
      <w:r w:rsidR="00A523EE">
        <w:t>its</w:t>
      </w:r>
      <w:r w:rsidR="00E57F94">
        <w:t xml:space="preserve"> place in the diet into account to optimise diet.</w:t>
      </w:r>
      <w:r w:rsidR="006112F3">
        <w:t xml:space="preserve">  The</w:t>
      </w:r>
      <w:r w:rsidR="00F81936">
        <w:t xml:space="preserve"> current</w:t>
      </w:r>
      <w:r w:rsidR="006112F3">
        <w:t xml:space="preserve"> role of supplements herein </w:t>
      </w:r>
      <w:r w:rsidR="00E91156">
        <w:t>seems</w:t>
      </w:r>
      <w:r w:rsidR="006112F3">
        <w:t xml:space="preserve"> restricted to certain age groups</w:t>
      </w:r>
      <w:r w:rsidR="00DF332F">
        <w:t>, life circumstances</w:t>
      </w:r>
      <w:r w:rsidR="006112F3">
        <w:t xml:space="preserve"> or diseases </w:t>
      </w:r>
      <w:r w:rsidR="00233485">
        <w:t>with impaired</w:t>
      </w:r>
      <w:r w:rsidR="006112F3">
        <w:t xml:space="preserve"> nutrient absorption </w:t>
      </w:r>
      <w:r w:rsidR="00BE72CD">
        <w:fldChar w:fldCharType="begin" w:fldLock="1"/>
      </w:r>
      <w:r w:rsidR="009241D8">
        <w:instrText>ADDIN CSL_CITATION { "citationItems" : [ { "id" : "ITEM-1", "itemData" : { "DOI" : "10.1001/jama.2017.21012", "ISBN" : "0095-4543", "ISSN" : "0098-7484", "PMID" : "18928827", "abstract" : "Some vitamin and mineral supplements have proved to be clinically useful in preventing various diseases and health problems. Many widely used supplements, however, have shown no benefit when carefully studied. There are also several disease states and medications that should prompt the physician to recommend certain preventive supplements. This article gives an evidence-based look at the latest information in this area. Primary care physicians should be familiar with the latest research so they can be proactive in advising patients about proper use of vitamins and minerals. \u00a9 2008 Elsevier Inc. All rights reserved.", "author" : [ { "dropping-particle" : "", "family" : "Manson", "given" : "JoAnn E.", "non-dropping-particle" : "", "parse-names" : false, "suffix" : "" }, { "dropping-particle" : "", "family" : "Bassuk", "given" : "Shari S.", "non-dropping-particle" : "", "parse-names" : false, "suffix" : "" } ], "container-title" : "JAMA", "id" : "ITEM-1", "issue" : "4", "issued" : { "date-parts" : [ [ "2018", "2", "5" ] ] }, "page" : "729-747", "title" : "Vitamin and Mineral Supplements", "type" : "article-journal", "volume" : "35" }, "uris" : [ "http://www.mendeley.com/documents/?uuid=1b5a99b6-ea4a-46cb-af55-fcd904ff8935" ] }, { "id" : "ITEM-2", "itemData" : { "URL" : "https://www.gov.uk/government/uploads/system/uploads/attachment_data/file/618167/government_dietary_recommendations.pdf", "abstract" : "Dietary recommendations incl fibre", "accessed" : { "date-parts" : [ [ "2018", "1", "14" ] ] }, "author" : [ { "dropping-particle" : "", "family" : "Public Health England Nutrition Science Team", "given" : "", "non-dropping-particle" : "", "parse-names" : false, "suffix" : "" } ], "id" : "ITEM-2", "issued" : { "date-parts" : [ [ "2016" ] ] }, "page" : "1-12", "title" : "Government Dietary Recommendations: Government recommendations for food energy and nutrients for males and females aged 1-18 years and 19+ years", "type" : "webpage" }, "uris" : [ "http://www.mendeley.com/documents/?uuid=787c9458-c9dd-4fc9-9548-e67fab66c9c0" ] } ], "mendeley" : { "formattedCitation" : "&lt;sup&gt;(7,108)&lt;/sup&gt;", "plainTextFormattedCitation" : "(7,108)", "previouslyFormattedCitation" : "&lt;sup&gt;(7,108)&lt;/sup&gt;" }, "properties" : { "noteIndex" : 0 }, "schema" : "https://github.com/citation-style-language/schema/raw/master/csl-citation.json" }</w:instrText>
      </w:r>
      <w:r w:rsidR="00BE72CD">
        <w:fldChar w:fldCharType="separate"/>
      </w:r>
      <w:r w:rsidR="00C40694" w:rsidRPr="00C40694">
        <w:rPr>
          <w:noProof/>
          <w:vertAlign w:val="superscript"/>
        </w:rPr>
        <w:t>(7,108)</w:t>
      </w:r>
      <w:r w:rsidR="00BE72CD">
        <w:fldChar w:fldCharType="end"/>
      </w:r>
      <w:r w:rsidR="006112F3">
        <w:t>.</w:t>
      </w:r>
      <w:r w:rsidR="00F81936">
        <w:t xml:space="preserve">  The challenge in observational research </w:t>
      </w:r>
      <w:r w:rsidR="00F81936">
        <w:lastRenderedPageBreak/>
        <w:t xml:space="preserve">methodology is to assess and describe </w:t>
      </w:r>
      <w:r w:rsidR="008E6693">
        <w:t>nutrient intake</w:t>
      </w:r>
      <w:r w:rsidR="00A523EE">
        <w:t>,</w:t>
      </w:r>
      <w:r w:rsidR="008E6693">
        <w:t xml:space="preserve"> as well as </w:t>
      </w:r>
      <w:r w:rsidR="00F81936">
        <w:t>diet</w:t>
      </w:r>
      <w:r w:rsidR="00233485">
        <w:t xml:space="preserve"> as a whole</w:t>
      </w:r>
      <w:r w:rsidR="00F81936">
        <w:t>,</w:t>
      </w:r>
      <w:r w:rsidR="009E277D">
        <w:t xml:space="preserve"> in the general population</w:t>
      </w:r>
      <w:r w:rsidR="00F81936">
        <w:t xml:space="preserve"> </w:t>
      </w:r>
      <w:r w:rsidR="00233485">
        <w:t xml:space="preserve">and to clarify </w:t>
      </w:r>
      <w:r w:rsidR="00D236A5">
        <w:t>the</w:t>
      </w:r>
      <w:r w:rsidR="00A523EE">
        <w:t xml:space="preserve"> role</w:t>
      </w:r>
      <w:r w:rsidR="00233485">
        <w:t xml:space="preserve"> -if any- of nutrient supplements </w:t>
      </w:r>
      <w:r w:rsidR="00D236A5">
        <w:t xml:space="preserve">in </w:t>
      </w:r>
      <w:r w:rsidR="009E277D">
        <w:t>primary disease prevention</w:t>
      </w:r>
      <w:r w:rsidR="00233485">
        <w:t>.</w:t>
      </w:r>
    </w:p>
    <w:p w14:paraId="79CCAD17" w14:textId="77777777" w:rsidR="00A111FE" w:rsidRDefault="7AF5BD86" w:rsidP="00A111FE">
      <w:pPr>
        <w:pStyle w:val="Heading1"/>
      </w:pPr>
      <w:r>
        <w:t>Acknowledgements</w:t>
      </w:r>
    </w:p>
    <w:p w14:paraId="64435EB3" w14:textId="64AF8F10" w:rsidR="00A111FE" w:rsidRDefault="002A19DB" w:rsidP="00A111FE">
      <w:r>
        <w:t xml:space="preserve">I would like to thank </w:t>
      </w:r>
      <w:r w:rsidR="589C4AF9">
        <w:t xml:space="preserve">Prof Kay-Tee </w:t>
      </w:r>
      <w:proofErr w:type="spellStart"/>
      <w:r w:rsidR="589C4AF9">
        <w:t>Khaw</w:t>
      </w:r>
      <w:proofErr w:type="spellEnd"/>
      <w:r>
        <w:t xml:space="preserve"> and Prof Ailsa Welch for their supervision during my PhD</w:t>
      </w:r>
      <w:r w:rsidR="00073857">
        <w:t xml:space="preserve"> studies</w:t>
      </w:r>
      <w:r w:rsidR="00822B87">
        <w:t>.  I thank</w:t>
      </w:r>
      <w:r w:rsidR="589C4AF9">
        <w:t xml:space="preserve"> staff</w:t>
      </w:r>
      <w:r>
        <w:t xml:space="preserve"> at the</w:t>
      </w:r>
      <w:r w:rsidR="589C4AF9">
        <w:t xml:space="preserve"> E</w:t>
      </w:r>
      <w:r>
        <w:t xml:space="preserve">lsie </w:t>
      </w:r>
      <w:proofErr w:type="spellStart"/>
      <w:r w:rsidR="589C4AF9">
        <w:t>W</w:t>
      </w:r>
      <w:r>
        <w:t>iddowson</w:t>
      </w:r>
      <w:proofErr w:type="spellEnd"/>
      <w:r>
        <w:t xml:space="preserve"> </w:t>
      </w:r>
      <w:r w:rsidR="589C4AF9">
        <w:t>L</w:t>
      </w:r>
      <w:r>
        <w:t>aboratories</w:t>
      </w:r>
      <w:r w:rsidR="589C4AF9">
        <w:t xml:space="preserve"> for answering questions on the use of </w:t>
      </w:r>
      <w:r>
        <w:t xml:space="preserve">the </w:t>
      </w:r>
      <w:r w:rsidR="589C4AF9">
        <w:t>NDNS data</w:t>
      </w:r>
      <w:r w:rsidR="00F81936">
        <w:t>sets</w:t>
      </w:r>
      <w:r w:rsidR="00235766">
        <w:t xml:space="preserve"> and Angela Mulligan for reading over the draft manuscript.</w:t>
      </w:r>
    </w:p>
    <w:p w14:paraId="566EA064" w14:textId="61F6BFE3" w:rsidR="0095392C" w:rsidRDefault="0095392C" w:rsidP="0095392C">
      <w:pPr>
        <w:pStyle w:val="Heading1"/>
      </w:pPr>
      <w:r>
        <w:t>Financial support</w:t>
      </w:r>
    </w:p>
    <w:p w14:paraId="264F7550" w14:textId="4D536184" w:rsidR="0095392C" w:rsidRDefault="0095392C" w:rsidP="00A111FE">
      <w:r>
        <w:t>The</w:t>
      </w:r>
      <w:r w:rsidRPr="0095392C">
        <w:t xml:space="preserve"> author report</w:t>
      </w:r>
      <w:r>
        <w:t>s</w:t>
      </w:r>
      <w:r w:rsidRPr="0095392C">
        <w:t xml:space="preserve"> programme grants from Cancer Research UK (G0401527, G1000143) and the Medical Research Council (MRC) (C864/A8257, C864/A14136)</w:t>
      </w:r>
      <w:r>
        <w:t>.</w:t>
      </w:r>
    </w:p>
    <w:p w14:paraId="12D0D607" w14:textId="48D8E476" w:rsidR="0095392C" w:rsidRDefault="0095392C" w:rsidP="0095392C">
      <w:pPr>
        <w:pStyle w:val="Heading1"/>
      </w:pPr>
      <w:r>
        <w:t>Conflicts of interest</w:t>
      </w:r>
    </w:p>
    <w:p w14:paraId="22579D43" w14:textId="7540644D" w:rsidR="0095392C" w:rsidRPr="00A111FE" w:rsidRDefault="0095392C" w:rsidP="00A111FE">
      <w:proofErr w:type="gramStart"/>
      <w:r>
        <w:t>None.</w:t>
      </w:r>
      <w:proofErr w:type="gramEnd"/>
    </w:p>
    <w:p w14:paraId="071E4E01" w14:textId="77777777" w:rsidR="00EF6AC0" w:rsidRDefault="0062658F" w:rsidP="009E1092">
      <w:pPr>
        <w:pStyle w:val="Heading1"/>
      </w:pPr>
      <w:r>
        <w:br w:type="page"/>
      </w:r>
      <w:r w:rsidR="7AF5BD86">
        <w:lastRenderedPageBreak/>
        <w:t>References</w:t>
      </w:r>
    </w:p>
    <w:p w14:paraId="26028C24" w14:textId="084AF205" w:rsidR="009241D8" w:rsidRPr="009241D8" w:rsidRDefault="00EF6AC0" w:rsidP="009241D8">
      <w:pPr>
        <w:widowControl w:val="0"/>
        <w:autoSpaceDE w:val="0"/>
        <w:autoSpaceDN w:val="0"/>
        <w:adjustRightInd w:val="0"/>
        <w:ind w:left="640" w:hanging="640"/>
        <w:rPr>
          <w:rFonts w:cs="Times New Roman"/>
          <w:noProof/>
          <w:szCs w:val="24"/>
        </w:rPr>
      </w:pPr>
      <w:r>
        <w:rPr>
          <w:rFonts w:asciiTheme="majorHAnsi" w:eastAsiaTheme="majorEastAsia" w:hAnsiTheme="majorHAnsi" w:cstheme="majorBidi"/>
          <w:color w:val="2F5496" w:themeColor="accent1" w:themeShade="BF"/>
          <w:szCs w:val="32"/>
        </w:rPr>
        <w:fldChar w:fldCharType="begin" w:fldLock="1"/>
      </w:r>
      <w:r>
        <w:rPr>
          <w:rFonts w:asciiTheme="majorHAnsi" w:eastAsiaTheme="majorEastAsia" w:hAnsiTheme="majorHAnsi" w:cstheme="majorBidi"/>
          <w:color w:val="2F5496" w:themeColor="accent1" w:themeShade="BF"/>
          <w:szCs w:val="32"/>
        </w:rPr>
        <w:instrText xml:space="preserve">ADDIN Mendeley Bibliography CSL_BIBLIOGRAPHY </w:instrText>
      </w:r>
      <w:r>
        <w:rPr>
          <w:rFonts w:asciiTheme="majorHAnsi" w:eastAsiaTheme="majorEastAsia" w:hAnsiTheme="majorHAnsi" w:cstheme="majorBidi"/>
          <w:color w:val="2F5496" w:themeColor="accent1" w:themeShade="BF"/>
          <w:szCs w:val="32"/>
        </w:rPr>
        <w:fldChar w:fldCharType="separate"/>
      </w:r>
      <w:r w:rsidR="009241D8" w:rsidRPr="009241D8">
        <w:rPr>
          <w:rFonts w:cs="Times New Roman"/>
          <w:noProof/>
          <w:szCs w:val="24"/>
        </w:rPr>
        <w:t xml:space="preserve">1. </w:t>
      </w:r>
      <w:r w:rsidR="009241D8" w:rsidRPr="009241D8">
        <w:rPr>
          <w:rFonts w:cs="Times New Roman"/>
          <w:noProof/>
          <w:szCs w:val="24"/>
        </w:rPr>
        <w:tab/>
        <w:t xml:space="preserve">Lim SS, Vos T, Flaxman AD, et al. (2012) A comparative risk assessment of burden of disease and injury attributable to 67 risk factors and risk factor clusters in 21 regions, 1990-2010: a systematic analysis for the Global Burden of Disease Study 2010. </w:t>
      </w:r>
      <w:r w:rsidR="009241D8" w:rsidRPr="009241D8">
        <w:rPr>
          <w:rFonts w:cs="Times New Roman"/>
          <w:i/>
          <w:iCs/>
          <w:noProof/>
          <w:szCs w:val="24"/>
        </w:rPr>
        <w:t>Lancet (London, England)</w:t>
      </w:r>
      <w:r w:rsidR="009241D8" w:rsidRPr="009241D8">
        <w:rPr>
          <w:rFonts w:cs="Times New Roman"/>
          <w:noProof/>
          <w:szCs w:val="24"/>
        </w:rPr>
        <w:t xml:space="preserve"> </w:t>
      </w:r>
      <w:r w:rsidR="009241D8" w:rsidRPr="009241D8">
        <w:rPr>
          <w:rFonts w:cs="Times New Roman"/>
          <w:b/>
          <w:bCs/>
          <w:noProof/>
          <w:szCs w:val="24"/>
        </w:rPr>
        <w:t>380</w:t>
      </w:r>
      <w:r w:rsidR="009241D8" w:rsidRPr="009241D8">
        <w:rPr>
          <w:rFonts w:cs="Times New Roman"/>
          <w:noProof/>
          <w:szCs w:val="24"/>
        </w:rPr>
        <w:t>, 2224–60.</w:t>
      </w:r>
    </w:p>
    <w:p w14:paraId="4AC71A51"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2. </w:t>
      </w:r>
      <w:r w:rsidRPr="009241D8">
        <w:rPr>
          <w:rFonts w:cs="Times New Roman"/>
          <w:noProof/>
          <w:szCs w:val="24"/>
        </w:rPr>
        <w:tab/>
        <w:t xml:space="preserve">Rajakumar K (2003) Vitamin D, cod-liver oil, sunlight, and rickets: a historical perspective. </w:t>
      </w:r>
      <w:r w:rsidRPr="009241D8">
        <w:rPr>
          <w:rFonts w:cs="Times New Roman"/>
          <w:i/>
          <w:iCs/>
          <w:noProof/>
          <w:szCs w:val="24"/>
        </w:rPr>
        <w:t>Pediatrics</w:t>
      </w:r>
      <w:r w:rsidRPr="009241D8">
        <w:rPr>
          <w:rFonts w:cs="Times New Roman"/>
          <w:noProof/>
          <w:szCs w:val="24"/>
        </w:rPr>
        <w:t xml:space="preserve"> </w:t>
      </w:r>
      <w:r w:rsidRPr="009241D8">
        <w:rPr>
          <w:rFonts w:cs="Times New Roman"/>
          <w:b/>
          <w:bCs/>
          <w:noProof/>
          <w:szCs w:val="24"/>
        </w:rPr>
        <w:t>112</w:t>
      </w:r>
      <w:r w:rsidRPr="009241D8">
        <w:rPr>
          <w:rFonts w:cs="Times New Roman"/>
          <w:noProof/>
          <w:szCs w:val="24"/>
        </w:rPr>
        <w:t>, e132-5.</w:t>
      </w:r>
    </w:p>
    <w:p w14:paraId="53497C14"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3. </w:t>
      </w:r>
      <w:r w:rsidRPr="009241D8">
        <w:rPr>
          <w:rFonts w:cs="Times New Roman"/>
          <w:noProof/>
          <w:szCs w:val="24"/>
        </w:rPr>
        <w:tab/>
        <w:t xml:space="preserve">Tapsell LC, Neale EP, Satija A, et al. (2016) Foods, Nutrients, and Dietary Patterns: Interconnections and Implications for Dietary Guidelines. </w:t>
      </w:r>
      <w:r w:rsidRPr="009241D8">
        <w:rPr>
          <w:rFonts w:cs="Times New Roman"/>
          <w:i/>
          <w:iCs/>
          <w:noProof/>
          <w:szCs w:val="24"/>
        </w:rPr>
        <w:t>Adv. Nutr. An Int. Rev. J.</w:t>
      </w:r>
      <w:r w:rsidRPr="009241D8">
        <w:rPr>
          <w:rFonts w:cs="Times New Roman"/>
          <w:noProof/>
          <w:szCs w:val="24"/>
        </w:rPr>
        <w:t xml:space="preserve"> </w:t>
      </w:r>
      <w:r w:rsidRPr="009241D8">
        <w:rPr>
          <w:rFonts w:cs="Times New Roman"/>
          <w:b/>
          <w:bCs/>
          <w:noProof/>
          <w:szCs w:val="24"/>
        </w:rPr>
        <w:t>7</w:t>
      </w:r>
      <w:r w:rsidRPr="009241D8">
        <w:rPr>
          <w:rFonts w:cs="Times New Roman"/>
          <w:noProof/>
          <w:szCs w:val="24"/>
        </w:rPr>
        <w:t>, 445–454.</w:t>
      </w:r>
    </w:p>
    <w:p w14:paraId="4529DF43" w14:textId="77777777" w:rsidR="009241D8" w:rsidRPr="00C24620" w:rsidRDefault="009241D8" w:rsidP="009241D8">
      <w:pPr>
        <w:widowControl w:val="0"/>
        <w:autoSpaceDE w:val="0"/>
        <w:autoSpaceDN w:val="0"/>
        <w:adjustRightInd w:val="0"/>
        <w:ind w:left="640" w:hanging="640"/>
        <w:rPr>
          <w:rFonts w:cs="Times New Roman"/>
          <w:noProof/>
          <w:szCs w:val="24"/>
          <w:lang w:val="nl-NL"/>
        </w:rPr>
      </w:pPr>
      <w:r w:rsidRPr="009241D8">
        <w:rPr>
          <w:rFonts w:cs="Times New Roman"/>
          <w:noProof/>
          <w:szCs w:val="24"/>
        </w:rPr>
        <w:t xml:space="preserve">4. </w:t>
      </w:r>
      <w:r w:rsidRPr="009241D8">
        <w:rPr>
          <w:rFonts w:cs="Times New Roman"/>
          <w:noProof/>
          <w:szCs w:val="24"/>
        </w:rPr>
        <w:tab/>
        <w:t xml:space="preserve">Conner M, Kirk SF, Cade JE, et al. (2001) Why do women use dietary supplements? The use of the theory of planned behaviour to explore beliefs about their use. </w:t>
      </w:r>
      <w:r w:rsidRPr="00C24620">
        <w:rPr>
          <w:rFonts w:cs="Times New Roman"/>
          <w:i/>
          <w:iCs/>
          <w:noProof/>
          <w:szCs w:val="24"/>
          <w:lang w:val="nl-NL"/>
        </w:rPr>
        <w:t>Soc. Sci. Med.</w:t>
      </w:r>
      <w:r w:rsidRPr="00C24620">
        <w:rPr>
          <w:rFonts w:cs="Times New Roman"/>
          <w:noProof/>
          <w:szCs w:val="24"/>
          <w:lang w:val="nl-NL"/>
        </w:rPr>
        <w:t>, 621–33.</w:t>
      </w:r>
    </w:p>
    <w:p w14:paraId="7266D891" w14:textId="77777777" w:rsidR="009241D8" w:rsidRPr="009241D8" w:rsidRDefault="009241D8" w:rsidP="009241D8">
      <w:pPr>
        <w:widowControl w:val="0"/>
        <w:autoSpaceDE w:val="0"/>
        <w:autoSpaceDN w:val="0"/>
        <w:adjustRightInd w:val="0"/>
        <w:ind w:left="640" w:hanging="640"/>
        <w:rPr>
          <w:rFonts w:cs="Times New Roman"/>
          <w:noProof/>
          <w:szCs w:val="24"/>
        </w:rPr>
      </w:pPr>
      <w:r w:rsidRPr="00C24620">
        <w:rPr>
          <w:rFonts w:cs="Times New Roman"/>
          <w:noProof/>
          <w:szCs w:val="24"/>
          <w:lang w:val="nl-NL"/>
        </w:rPr>
        <w:t xml:space="preserve">5. </w:t>
      </w:r>
      <w:r w:rsidRPr="00C24620">
        <w:rPr>
          <w:rFonts w:cs="Times New Roman"/>
          <w:noProof/>
          <w:szCs w:val="24"/>
          <w:lang w:val="nl-NL"/>
        </w:rPr>
        <w:tab/>
        <w:t xml:space="preserve">de Jong N, Ocké MC, Branderhorst HAC, et al. </w:t>
      </w:r>
      <w:r w:rsidRPr="009241D8">
        <w:rPr>
          <w:rFonts w:cs="Times New Roman"/>
          <w:noProof/>
          <w:szCs w:val="24"/>
        </w:rPr>
        <w:t xml:space="preserve">(2003) Demographic and lifestyle characteristics of functional food consumers and dietary supplement users. </w:t>
      </w:r>
      <w:r w:rsidRPr="009241D8">
        <w:rPr>
          <w:rFonts w:cs="Times New Roman"/>
          <w:i/>
          <w:iCs/>
          <w:noProof/>
          <w:szCs w:val="24"/>
        </w:rPr>
        <w:t>Br. J. Nutr.</w:t>
      </w:r>
      <w:r w:rsidRPr="009241D8">
        <w:rPr>
          <w:rFonts w:cs="Times New Roman"/>
          <w:noProof/>
          <w:szCs w:val="24"/>
        </w:rPr>
        <w:t xml:space="preserve"> </w:t>
      </w:r>
      <w:r w:rsidRPr="009241D8">
        <w:rPr>
          <w:rFonts w:cs="Times New Roman"/>
          <w:b/>
          <w:bCs/>
          <w:noProof/>
          <w:szCs w:val="24"/>
        </w:rPr>
        <w:t>89</w:t>
      </w:r>
      <w:r w:rsidRPr="009241D8">
        <w:rPr>
          <w:rFonts w:cs="Times New Roman"/>
          <w:noProof/>
          <w:szCs w:val="24"/>
        </w:rPr>
        <w:t>, 273–81.</w:t>
      </w:r>
    </w:p>
    <w:p w14:paraId="6E8F1A99"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6. </w:t>
      </w:r>
      <w:r w:rsidRPr="009241D8">
        <w:rPr>
          <w:rFonts w:cs="Times New Roman"/>
          <w:noProof/>
          <w:szCs w:val="24"/>
        </w:rPr>
        <w:tab/>
        <w:t xml:space="preserve">Bailey RL, Gahche JJ, Miller PE, et al. (2013) Why US adults use dietary supplements. </w:t>
      </w:r>
      <w:r w:rsidRPr="009241D8">
        <w:rPr>
          <w:rFonts w:cs="Times New Roman"/>
          <w:i/>
          <w:iCs/>
          <w:noProof/>
          <w:szCs w:val="24"/>
        </w:rPr>
        <w:t>JAMA Intern. Med.</w:t>
      </w:r>
      <w:r w:rsidRPr="009241D8">
        <w:rPr>
          <w:rFonts w:cs="Times New Roman"/>
          <w:noProof/>
          <w:szCs w:val="24"/>
        </w:rPr>
        <w:t xml:space="preserve"> </w:t>
      </w:r>
      <w:r w:rsidRPr="009241D8">
        <w:rPr>
          <w:rFonts w:cs="Times New Roman"/>
          <w:b/>
          <w:bCs/>
          <w:noProof/>
          <w:szCs w:val="24"/>
        </w:rPr>
        <w:t>173</w:t>
      </w:r>
      <w:r w:rsidRPr="009241D8">
        <w:rPr>
          <w:rFonts w:cs="Times New Roman"/>
          <w:noProof/>
          <w:szCs w:val="24"/>
        </w:rPr>
        <w:t>, 355–61.</w:t>
      </w:r>
    </w:p>
    <w:p w14:paraId="02FC5D64"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7. </w:t>
      </w:r>
      <w:r w:rsidRPr="009241D8">
        <w:rPr>
          <w:rFonts w:cs="Times New Roman"/>
          <w:noProof/>
          <w:szCs w:val="24"/>
        </w:rPr>
        <w:tab/>
        <w:t>Public Health England Nutrition Science Team (2016) Government Dietary Recommendations: Government recommendations for food energy and nutrients for males and females aged 1-18 years and 19+ years. 1–12. https://www.gov.uk/government/uploads/system/uploads/attachment_data/file/618167/government_dietary_recommendations.pdf (accessed January 2018).</w:t>
      </w:r>
    </w:p>
    <w:p w14:paraId="269777E8"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8. </w:t>
      </w:r>
      <w:r w:rsidRPr="009241D8">
        <w:rPr>
          <w:rFonts w:cs="Times New Roman"/>
          <w:noProof/>
          <w:szCs w:val="24"/>
        </w:rPr>
        <w:tab/>
        <w:t xml:space="preserve">SACN (2016) </w:t>
      </w:r>
      <w:r w:rsidRPr="009241D8">
        <w:rPr>
          <w:rFonts w:cs="Times New Roman"/>
          <w:i/>
          <w:iCs/>
          <w:noProof/>
          <w:szCs w:val="24"/>
        </w:rPr>
        <w:t>Vitamin D and Health</w:t>
      </w:r>
      <w:r w:rsidRPr="009241D8">
        <w:rPr>
          <w:rFonts w:cs="Times New Roman"/>
          <w:noProof/>
          <w:szCs w:val="24"/>
        </w:rPr>
        <w:t>. .</w:t>
      </w:r>
    </w:p>
    <w:p w14:paraId="1BDFCA11"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9. </w:t>
      </w:r>
      <w:r w:rsidRPr="009241D8">
        <w:rPr>
          <w:rFonts w:cs="Times New Roman"/>
          <w:noProof/>
          <w:szCs w:val="24"/>
        </w:rPr>
        <w:tab/>
        <w:t xml:space="preserve">Satia-Abouta J, Kristal AR, Patterson RE, et al. (2003) Dietary supplement use and medical conditions: the VITAL study. </w:t>
      </w:r>
      <w:r w:rsidRPr="009241D8">
        <w:rPr>
          <w:rFonts w:cs="Times New Roman"/>
          <w:i/>
          <w:iCs/>
          <w:noProof/>
          <w:szCs w:val="24"/>
        </w:rPr>
        <w:t>Am. J. Prev. Med.</w:t>
      </w:r>
      <w:r w:rsidRPr="009241D8">
        <w:rPr>
          <w:rFonts w:cs="Times New Roman"/>
          <w:noProof/>
          <w:szCs w:val="24"/>
        </w:rPr>
        <w:t xml:space="preserve"> </w:t>
      </w:r>
      <w:r w:rsidRPr="009241D8">
        <w:rPr>
          <w:rFonts w:cs="Times New Roman"/>
          <w:b/>
          <w:bCs/>
          <w:noProof/>
          <w:szCs w:val="24"/>
        </w:rPr>
        <w:t>24</w:t>
      </w:r>
      <w:r w:rsidRPr="009241D8">
        <w:rPr>
          <w:rFonts w:cs="Times New Roman"/>
          <w:noProof/>
          <w:szCs w:val="24"/>
        </w:rPr>
        <w:t>, 43–51.</w:t>
      </w:r>
    </w:p>
    <w:p w14:paraId="73579CEE" w14:textId="77777777" w:rsidR="009241D8" w:rsidRPr="00C24620" w:rsidRDefault="009241D8" w:rsidP="009241D8">
      <w:pPr>
        <w:widowControl w:val="0"/>
        <w:autoSpaceDE w:val="0"/>
        <w:autoSpaceDN w:val="0"/>
        <w:adjustRightInd w:val="0"/>
        <w:ind w:left="640" w:hanging="640"/>
        <w:rPr>
          <w:rFonts w:cs="Times New Roman"/>
          <w:noProof/>
          <w:szCs w:val="24"/>
          <w:lang w:val="nl-NL"/>
        </w:rPr>
      </w:pPr>
      <w:r w:rsidRPr="009241D8">
        <w:rPr>
          <w:rFonts w:cs="Times New Roman"/>
          <w:noProof/>
          <w:szCs w:val="24"/>
        </w:rPr>
        <w:t xml:space="preserve">10. </w:t>
      </w:r>
      <w:r w:rsidRPr="009241D8">
        <w:rPr>
          <w:rFonts w:cs="Times New Roman"/>
          <w:noProof/>
          <w:szCs w:val="24"/>
        </w:rPr>
        <w:tab/>
        <w:t xml:space="preserve">Denison HJ, Jameson KA, Syddall HE, et al. (2012) Patterns of dietary supplement use among older men and women in the UK: findings from the Hertfordshire Cohort Study. </w:t>
      </w:r>
      <w:r w:rsidRPr="00C24620">
        <w:rPr>
          <w:rFonts w:cs="Times New Roman"/>
          <w:i/>
          <w:iCs/>
          <w:noProof/>
          <w:szCs w:val="24"/>
          <w:lang w:val="nl-NL"/>
        </w:rPr>
        <w:t>J. Nutr. Health Aging</w:t>
      </w:r>
      <w:r w:rsidRPr="00C24620">
        <w:rPr>
          <w:rFonts w:cs="Times New Roman"/>
          <w:noProof/>
          <w:szCs w:val="24"/>
          <w:lang w:val="nl-NL"/>
        </w:rPr>
        <w:t xml:space="preserve"> </w:t>
      </w:r>
      <w:r w:rsidRPr="00C24620">
        <w:rPr>
          <w:rFonts w:cs="Times New Roman"/>
          <w:b/>
          <w:bCs/>
          <w:noProof/>
          <w:szCs w:val="24"/>
          <w:lang w:val="nl-NL"/>
        </w:rPr>
        <w:t>16</w:t>
      </w:r>
      <w:r w:rsidRPr="00C24620">
        <w:rPr>
          <w:rFonts w:cs="Times New Roman"/>
          <w:noProof/>
          <w:szCs w:val="24"/>
          <w:lang w:val="nl-NL"/>
        </w:rPr>
        <w:t>, 307–11.</w:t>
      </w:r>
    </w:p>
    <w:p w14:paraId="032C3D7E" w14:textId="77777777" w:rsidR="009241D8" w:rsidRPr="009241D8" w:rsidRDefault="009241D8" w:rsidP="009241D8">
      <w:pPr>
        <w:widowControl w:val="0"/>
        <w:autoSpaceDE w:val="0"/>
        <w:autoSpaceDN w:val="0"/>
        <w:adjustRightInd w:val="0"/>
        <w:ind w:left="640" w:hanging="640"/>
        <w:rPr>
          <w:rFonts w:cs="Times New Roman"/>
          <w:noProof/>
          <w:szCs w:val="24"/>
        </w:rPr>
      </w:pPr>
      <w:r w:rsidRPr="00C24620">
        <w:rPr>
          <w:rFonts w:cs="Times New Roman"/>
          <w:noProof/>
          <w:szCs w:val="24"/>
          <w:lang w:val="nl-NL"/>
        </w:rPr>
        <w:t xml:space="preserve">11. </w:t>
      </w:r>
      <w:r w:rsidRPr="00C24620">
        <w:rPr>
          <w:rFonts w:cs="Times New Roman"/>
          <w:noProof/>
          <w:szCs w:val="24"/>
          <w:lang w:val="nl-NL"/>
        </w:rPr>
        <w:tab/>
        <w:t xml:space="preserve">Lentjes MAH, Welch AA, Mulligan AA, et al. </w:t>
      </w:r>
      <w:r w:rsidRPr="009241D8">
        <w:rPr>
          <w:rFonts w:cs="Times New Roman"/>
          <w:noProof/>
          <w:szCs w:val="24"/>
        </w:rPr>
        <w:t xml:space="preserve">(2014) Cod liver oil supplement consumption and health: cross-sectional results from the EPIC-Norfolk cohort study. </w:t>
      </w:r>
      <w:r w:rsidRPr="009241D8">
        <w:rPr>
          <w:rFonts w:cs="Times New Roman"/>
          <w:i/>
          <w:iCs/>
          <w:noProof/>
          <w:szCs w:val="24"/>
        </w:rPr>
        <w:t>Nutrients</w:t>
      </w:r>
      <w:r w:rsidRPr="009241D8">
        <w:rPr>
          <w:rFonts w:cs="Times New Roman"/>
          <w:noProof/>
          <w:szCs w:val="24"/>
        </w:rPr>
        <w:t xml:space="preserve"> </w:t>
      </w:r>
      <w:r w:rsidRPr="009241D8">
        <w:rPr>
          <w:rFonts w:cs="Times New Roman"/>
          <w:b/>
          <w:bCs/>
          <w:noProof/>
          <w:szCs w:val="24"/>
        </w:rPr>
        <w:t>6</w:t>
      </w:r>
      <w:r w:rsidRPr="009241D8">
        <w:rPr>
          <w:rFonts w:cs="Times New Roman"/>
          <w:noProof/>
          <w:szCs w:val="24"/>
        </w:rPr>
        <w:t>, 4320–</w:t>
      </w:r>
      <w:r w:rsidRPr="009241D8">
        <w:rPr>
          <w:rFonts w:cs="Times New Roman"/>
          <w:noProof/>
          <w:szCs w:val="24"/>
        </w:rPr>
        <w:lastRenderedPageBreak/>
        <w:t>37.</w:t>
      </w:r>
    </w:p>
    <w:p w14:paraId="533FB4F5"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12. </w:t>
      </w:r>
      <w:r w:rsidRPr="009241D8">
        <w:rPr>
          <w:rFonts w:cs="Times New Roman"/>
          <w:noProof/>
          <w:szCs w:val="24"/>
        </w:rPr>
        <w:tab/>
        <w:t xml:space="preserve">Millen AE, Dodd KW &amp; Subar AF (2004) Use of vitamin, mineral, nonvitamin, and nonmineral supplements in the United States: The 1987, 1992, and 2000 National Health Interview Survey results. </w:t>
      </w:r>
      <w:r w:rsidRPr="009241D8">
        <w:rPr>
          <w:rFonts w:cs="Times New Roman"/>
          <w:i/>
          <w:iCs/>
          <w:noProof/>
          <w:szCs w:val="24"/>
        </w:rPr>
        <w:t>J. Am. Diet. Assoc.</w:t>
      </w:r>
      <w:r w:rsidRPr="009241D8">
        <w:rPr>
          <w:rFonts w:cs="Times New Roman"/>
          <w:noProof/>
          <w:szCs w:val="24"/>
        </w:rPr>
        <w:t xml:space="preserve"> </w:t>
      </w:r>
      <w:r w:rsidRPr="009241D8">
        <w:rPr>
          <w:rFonts w:cs="Times New Roman"/>
          <w:b/>
          <w:bCs/>
          <w:noProof/>
          <w:szCs w:val="24"/>
        </w:rPr>
        <w:t>104</w:t>
      </w:r>
      <w:r w:rsidRPr="009241D8">
        <w:rPr>
          <w:rFonts w:cs="Times New Roman"/>
          <w:noProof/>
          <w:szCs w:val="24"/>
        </w:rPr>
        <w:t>, 942–50.</w:t>
      </w:r>
    </w:p>
    <w:p w14:paraId="4E0DFEF6"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13. </w:t>
      </w:r>
      <w:r w:rsidRPr="009241D8">
        <w:rPr>
          <w:rFonts w:cs="Times New Roman"/>
          <w:noProof/>
          <w:szCs w:val="24"/>
        </w:rPr>
        <w:tab/>
        <w:t xml:space="preserve">Patterson RE, Neuhouser ML, White E, et al. (1998) Cancer-related behavior of vitamin supplement users. </w:t>
      </w:r>
      <w:r w:rsidRPr="009241D8">
        <w:rPr>
          <w:rFonts w:cs="Times New Roman"/>
          <w:i/>
          <w:iCs/>
          <w:noProof/>
          <w:szCs w:val="24"/>
        </w:rPr>
        <w:t>Cancer Epidemiol. Biomarkers Prev.</w:t>
      </w:r>
      <w:r w:rsidRPr="009241D8">
        <w:rPr>
          <w:rFonts w:cs="Times New Roman"/>
          <w:noProof/>
          <w:szCs w:val="24"/>
        </w:rPr>
        <w:t xml:space="preserve"> </w:t>
      </w:r>
      <w:r w:rsidRPr="009241D8">
        <w:rPr>
          <w:rFonts w:cs="Times New Roman"/>
          <w:b/>
          <w:bCs/>
          <w:noProof/>
          <w:szCs w:val="24"/>
        </w:rPr>
        <w:t>7</w:t>
      </w:r>
      <w:r w:rsidRPr="009241D8">
        <w:rPr>
          <w:rFonts w:cs="Times New Roman"/>
          <w:noProof/>
          <w:szCs w:val="24"/>
        </w:rPr>
        <w:t>, 79–81.</w:t>
      </w:r>
    </w:p>
    <w:p w14:paraId="09FAF9B0"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14. </w:t>
      </w:r>
      <w:r w:rsidRPr="009241D8">
        <w:rPr>
          <w:rFonts w:cs="Times New Roman"/>
          <w:noProof/>
          <w:szCs w:val="24"/>
        </w:rPr>
        <w:tab/>
        <w:t xml:space="preserve">European Commission (2002) Directive 2002/46/EC of the European Parliament and of the Council of 10 June 2002 on the approximation of the laws of the Member States relating to food supplements. </w:t>
      </w:r>
      <w:r w:rsidRPr="009241D8">
        <w:rPr>
          <w:rFonts w:cs="Times New Roman"/>
          <w:i/>
          <w:iCs/>
          <w:noProof/>
          <w:szCs w:val="24"/>
        </w:rPr>
        <w:t>Off. J. Eur. Communities</w:t>
      </w:r>
      <w:r w:rsidRPr="009241D8">
        <w:rPr>
          <w:rFonts w:cs="Times New Roman"/>
          <w:noProof/>
          <w:szCs w:val="24"/>
        </w:rPr>
        <w:t xml:space="preserve"> </w:t>
      </w:r>
      <w:r w:rsidRPr="009241D8">
        <w:rPr>
          <w:rFonts w:cs="Times New Roman"/>
          <w:b/>
          <w:bCs/>
          <w:noProof/>
          <w:szCs w:val="24"/>
        </w:rPr>
        <w:t>L183/51</w:t>
      </w:r>
      <w:r w:rsidRPr="009241D8">
        <w:rPr>
          <w:rFonts w:cs="Times New Roman"/>
          <w:noProof/>
          <w:szCs w:val="24"/>
        </w:rPr>
        <w:t>.</w:t>
      </w:r>
    </w:p>
    <w:p w14:paraId="7C499200"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15. </w:t>
      </w:r>
      <w:r w:rsidRPr="009241D8">
        <w:rPr>
          <w:rFonts w:cs="Times New Roman"/>
          <w:noProof/>
          <w:szCs w:val="24"/>
        </w:rPr>
        <w:tab/>
        <w:t xml:space="preserve">Yetley EA (2007) Multivitamin and multimineral dietary supplements: Definitions, characterization, bioavailability, and drug interactions. </w:t>
      </w:r>
      <w:r w:rsidRPr="009241D8">
        <w:rPr>
          <w:rFonts w:cs="Times New Roman"/>
          <w:i/>
          <w:iCs/>
          <w:noProof/>
          <w:szCs w:val="24"/>
        </w:rPr>
        <w:t>Am. J. Clin. Nutr.</w:t>
      </w:r>
      <w:r w:rsidRPr="009241D8">
        <w:rPr>
          <w:rFonts w:cs="Times New Roman"/>
          <w:noProof/>
          <w:szCs w:val="24"/>
        </w:rPr>
        <w:t xml:space="preserve"> </w:t>
      </w:r>
      <w:r w:rsidRPr="009241D8">
        <w:rPr>
          <w:rFonts w:cs="Times New Roman"/>
          <w:b/>
          <w:bCs/>
          <w:noProof/>
          <w:szCs w:val="24"/>
        </w:rPr>
        <w:t>85</w:t>
      </w:r>
      <w:r w:rsidRPr="009241D8">
        <w:rPr>
          <w:rFonts w:cs="Times New Roman"/>
          <w:noProof/>
          <w:szCs w:val="24"/>
        </w:rPr>
        <w:t>, 269S–276S.</w:t>
      </w:r>
    </w:p>
    <w:p w14:paraId="2D730BA1"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16. </w:t>
      </w:r>
      <w:r w:rsidRPr="009241D8">
        <w:rPr>
          <w:rFonts w:cs="Times New Roman"/>
          <w:noProof/>
          <w:szCs w:val="24"/>
        </w:rPr>
        <w:tab/>
        <w:t xml:space="preserve">Kirk SF, Cade JE, Barrett JH, et al. (1999) Diet and lifestyle characteristics associated with dietary supplement use in women. </w:t>
      </w:r>
      <w:r w:rsidRPr="009241D8">
        <w:rPr>
          <w:rFonts w:cs="Times New Roman"/>
          <w:i/>
          <w:iCs/>
          <w:noProof/>
          <w:szCs w:val="24"/>
        </w:rPr>
        <w:t>Public Health Nutr.</w:t>
      </w:r>
      <w:r w:rsidRPr="009241D8">
        <w:rPr>
          <w:rFonts w:cs="Times New Roman"/>
          <w:noProof/>
          <w:szCs w:val="24"/>
        </w:rPr>
        <w:t xml:space="preserve"> </w:t>
      </w:r>
      <w:r w:rsidRPr="009241D8">
        <w:rPr>
          <w:rFonts w:cs="Times New Roman"/>
          <w:b/>
          <w:bCs/>
          <w:noProof/>
          <w:szCs w:val="24"/>
        </w:rPr>
        <w:t>2</w:t>
      </w:r>
      <w:r w:rsidRPr="009241D8">
        <w:rPr>
          <w:rFonts w:cs="Times New Roman"/>
          <w:noProof/>
          <w:szCs w:val="24"/>
        </w:rPr>
        <w:t>, 69–73.</w:t>
      </w:r>
    </w:p>
    <w:p w14:paraId="3191DC42"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17. </w:t>
      </w:r>
      <w:r w:rsidRPr="009241D8">
        <w:rPr>
          <w:rFonts w:cs="Times New Roman"/>
          <w:noProof/>
          <w:szCs w:val="24"/>
        </w:rPr>
        <w:tab/>
        <w:t xml:space="preserve">Harrison RA, Holt D, Pattison DJ, et al. (2004) Are those in need taking dietary supplements? A survey of 21 923 adults. </w:t>
      </w:r>
      <w:r w:rsidRPr="009241D8">
        <w:rPr>
          <w:rFonts w:cs="Times New Roman"/>
          <w:i/>
          <w:iCs/>
          <w:noProof/>
          <w:szCs w:val="24"/>
        </w:rPr>
        <w:t>Br. J. Nutr.</w:t>
      </w:r>
      <w:r w:rsidRPr="009241D8">
        <w:rPr>
          <w:rFonts w:cs="Times New Roman"/>
          <w:noProof/>
          <w:szCs w:val="24"/>
        </w:rPr>
        <w:t xml:space="preserve"> </w:t>
      </w:r>
      <w:r w:rsidRPr="009241D8">
        <w:rPr>
          <w:rFonts w:cs="Times New Roman"/>
          <w:b/>
          <w:bCs/>
          <w:noProof/>
          <w:szCs w:val="24"/>
        </w:rPr>
        <w:t>91</w:t>
      </w:r>
      <w:r w:rsidRPr="009241D8">
        <w:rPr>
          <w:rFonts w:cs="Times New Roman"/>
          <w:noProof/>
          <w:szCs w:val="24"/>
        </w:rPr>
        <w:t>, 617–23.</w:t>
      </w:r>
    </w:p>
    <w:p w14:paraId="43BB8F5E"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18. </w:t>
      </w:r>
      <w:r w:rsidRPr="009241D8">
        <w:rPr>
          <w:rFonts w:cs="Times New Roman"/>
          <w:noProof/>
          <w:szCs w:val="24"/>
        </w:rPr>
        <w:tab/>
        <w:t xml:space="preserve">Bates CJ, Prentice A, van der Pols JC, et al. (1998) Estimation of the use of dietary supplements in the National Diet and Nutrition Survey: people aged 65 years and Over. An observed paradox and a recommendation. </w:t>
      </w:r>
      <w:r w:rsidRPr="009241D8">
        <w:rPr>
          <w:rFonts w:cs="Times New Roman"/>
          <w:i/>
          <w:iCs/>
          <w:noProof/>
          <w:szCs w:val="24"/>
        </w:rPr>
        <w:t>Eur J Clin Nutr</w:t>
      </w:r>
      <w:r w:rsidRPr="009241D8">
        <w:rPr>
          <w:rFonts w:cs="Times New Roman"/>
          <w:noProof/>
          <w:szCs w:val="24"/>
        </w:rPr>
        <w:t xml:space="preserve"> </w:t>
      </w:r>
      <w:r w:rsidRPr="009241D8">
        <w:rPr>
          <w:rFonts w:cs="Times New Roman"/>
          <w:b/>
          <w:bCs/>
          <w:noProof/>
          <w:szCs w:val="24"/>
        </w:rPr>
        <w:t>52</w:t>
      </w:r>
      <w:r w:rsidRPr="009241D8">
        <w:rPr>
          <w:rFonts w:cs="Times New Roman"/>
          <w:noProof/>
          <w:szCs w:val="24"/>
        </w:rPr>
        <w:t>, 917–23.</w:t>
      </w:r>
    </w:p>
    <w:p w14:paraId="0D77D641" w14:textId="77777777" w:rsidR="009241D8" w:rsidRPr="00C24620" w:rsidRDefault="009241D8" w:rsidP="009241D8">
      <w:pPr>
        <w:widowControl w:val="0"/>
        <w:autoSpaceDE w:val="0"/>
        <w:autoSpaceDN w:val="0"/>
        <w:adjustRightInd w:val="0"/>
        <w:ind w:left="640" w:hanging="640"/>
        <w:rPr>
          <w:rFonts w:cs="Times New Roman"/>
          <w:noProof/>
          <w:szCs w:val="24"/>
          <w:lang w:val="nl-NL"/>
        </w:rPr>
      </w:pPr>
      <w:r w:rsidRPr="00C24620">
        <w:rPr>
          <w:rFonts w:cs="Times New Roman"/>
          <w:noProof/>
          <w:szCs w:val="24"/>
          <w:lang w:val="nl-NL"/>
        </w:rPr>
        <w:t xml:space="preserve">19. </w:t>
      </w:r>
      <w:r w:rsidRPr="00C24620">
        <w:rPr>
          <w:rFonts w:cs="Times New Roman"/>
          <w:noProof/>
          <w:szCs w:val="24"/>
          <w:lang w:val="nl-NL"/>
        </w:rPr>
        <w:tab/>
        <w:t xml:space="preserve">Patterson RE, Kristal AR, Levy L, et al. </w:t>
      </w:r>
      <w:r w:rsidRPr="009241D8">
        <w:rPr>
          <w:rFonts w:cs="Times New Roman"/>
          <w:noProof/>
          <w:szCs w:val="24"/>
        </w:rPr>
        <w:t xml:space="preserve">(1998) Validity of methods used to assess vitamin and mineral supplement use. </w:t>
      </w:r>
      <w:r w:rsidRPr="00C24620">
        <w:rPr>
          <w:rFonts w:cs="Times New Roman"/>
          <w:i/>
          <w:iCs/>
          <w:noProof/>
          <w:szCs w:val="24"/>
          <w:lang w:val="nl-NL"/>
        </w:rPr>
        <w:t>Am. J. Epidemiol.</w:t>
      </w:r>
      <w:r w:rsidRPr="00C24620">
        <w:rPr>
          <w:rFonts w:cs="Times New Roman"/>
          <w:noProof/>
          <w:szCs w:val="24"/>
          <w:lang w:val="nl-NL"/>
        </w:rPr>
        <w:t xml:space="preserve"> </w:t>
      </w:r>
      <w:r w:rsidRPr="00C24620">
        <w:rPr>
          <w:rFonts w:cs="Times New Roman"/>
          <w:b/>
          <w:bCs/>
          <w:noProof/>
          <w:szCs w:val="24"/>
          <w:lang w:val="nl-NL"/>
        </w:rPr>
        <w:t>148</w:t>
      </w:r>
      <w:r w:rsidRPr="00C24620">
        <w:rPr>
          <w:rFonts w:cs="Times New Roman"/>
          <w:noProof/>
          <w:szCs w:val="24"/>
          <w:lang w:val="nl-NL"/>
        </w:rPr>
        <w:t>, 643–9.</w:t>
      </w:r>
    </w:p>
    <w:p w14:paraId="49632B91" w14:textId="77777777" w:rsidR="009241D8" w:rsidRPr="009241D8" w:rsidRDefault="009241D8" w:rsidP="009241D8">
      <w:pPr>
        <w:widowControl w:val="0"/>
        <w:autoSpaceDE w:val="0"/>
        <w:autoSpaceDN w:val="0"/>
        <w:adjustRightInd w:val="0"/>
        <w:ind w:left="640" w:hanging="640"/>
        <w:rPr>
          <w:rFonts w:cs="Times New Roman"/>
          <w:noProof/>
          <w:szCs w:val="24"/>
        </w:rPr>
      </w:pPr>
      <w:r w:rsidRPr="00C24620">
        <w:rPr>
          <w:rFonts w:cs="Times New Roman"/>
          <w:noProof/>
          <w:szCs w:val="24"/>
          <w:lang w:val="nl-NL"/>
        </w:rPr>
        <w:t xml:space="preserve">20. </w:t>
      </w:r>
      <w:r w:rsidRPr="00C24620">
        <w:rPr>
          <w:rFonts w:cs="Times New Roman"/>
          <w:noProof/>
          <w:szCs w:val="24"/>
          <w:lang w:val="nl-NL"/>
        </w:rPr>
        <w:tab/>
        <w:t xml:space="preserve">Murphy SP, Wilkens LR, Monroe KR, et al. </w:t>
      </w:r>
      <w:r w:rsidRPr="009241D8">
        <w:rPr>
          <w:rFonts w:cs="Times New Roman"/>
          <w:noProof/>
          <w:szCs w:val="24"/>
        </w:rPr>
        <w:t xml:space="preserve">(2011) Dietary supplement use within a multiethnic population as measured by a unique inventory method. </w:t>
      </w:r>
      <w:r w:rsidRPr="009241D8">
        <w:rPr>
          <w:rFonts w:cs="Times New Roman"/>
          <w:i/>
          <w:iCs/>
          <w:noProof/>
          <w:szCs w:val="24"/>
        </w:rPr>
        <w:t>J. Am. Diet. Assoc.</w:t>
      </w:r>
      <w:r w:rsidRPr="009241D8">
        <w:rPr>
          <w:rFonts w:cs="Times New Roman"/>
          <w:noProof/>
          <w:szCs w:val="24"/>
        </w:rPr>
        <w:t xml:space="preserve"> </w:t>
      </w:r>
      <w:r w:rsidRPr="009241D8">
        <w:rPr>
          <w:rFonts w:cs="Times New Roman"/>
          <w:b/>
          <w:bCs/>
          <w:noProof/>
          <w:szCs w:val="24"/>
        </w:rPr>
        <w:t>111</w:t>
      </w:r>
      <w:r w:rsidRPr="009241D8">
        <w:rPr>
          <w:rFonts w:cs="Times New Roman"/>
          <w:noProof/>
          <w:szCs w:val="24"/>
        </w:rPr>
        <w:t>, 1065–72.</w:t>
      </w:r>
    </w:p>
    <w:p w14:paraId="7C8B3D1A" w14:textId="77777777" w:rsidR="009241D8" w:rsidRPr="00C24620" w:rsidRDefault="009241D8" w:rsidP="009241D8">
      <w:pPr>
        <w:widowControl w:val="0"/>
        <w:autoSpaceDE w:val="0"/>
        <w:autoSpaceDN w:val="0"/>
        <w:adjustRightInd w:val="0"/>
        <w:ind w:left="640" w:hanging="640"/>
        <w:rPr>
          <w:rFonts w:cs="Times New Roman"/>
          <w:noProof/>
          <w:szCs w:val="24"/>
          <w:lang w:val="nl-NL"/>
        </w:rPr>
      </w:pPr>
      <w:r w:rsidRPr="009241D8">
        <w:rPr>
          <w:rFonts w:cs="Times New Roman"/>
          <w:noProof/>
          <w:szCs w:val="24"/>
        </w:rPr>
        <w:t xml:space="preserve">21. </w:t>
      </w:r>
      <w:r w:rsidRPr="009241D8">
        <w:rPr>
          <w:rFonts w:cs="Times New Roman"/>
          <w:noProof/>
          <w:szCs w:val="24"/>
        </w:rPr>
        <w:tab/>
        <w:t xml:space="preserve">Dickinson A, Blatman J, El-Dash N, et al. (2014) Consumer Usage and Reasons for Using Dietary Supplements: Report of a Series of Surveys. </w:t>
      </w:r>
      <w:r w:rsidRPr="00C24620">
        <w:rPr>
          <w:rFonts w:cs="Times New Roman"/>
          <w:i/>
          <w:iCs/>
          <w:noProof/>
          <w:szCs w:val="24"/>
          <w:lang w:val="nl-NL"/>
        </w:rPr>
        <w:t>J. Am. Coll. Nutr.</w:t>
      </w:r>
      <w:r w:rsidRPr="00C24620">
        <w:rPr>
          <w:rFonts w:cs="Times New Roman"/>
          <w:noProof/>
          <w:szCs w:val="24"/>
          <w:lang w:val="nl-NL"/>
        </w:rPr>
        <w:t xml:space="preserve"> </w:t>
      </w:r>
      <w:r w:rsidRPr="00C24620">
        <w:rPr>
          <w:rFonts w:cs="Times New Roman"/>
          <w:b/>
          <w:bCs/>
          <w:noProof/>
          <w:szCs w:val="24"/>
          <w:lang w:val="nl-NL"/>
        </w:rPr>
        <w:t>33</w:t>
      </w:r>
      <w:r w:rsidRPr="00C24620">
        <w:rPr>
          <w:rFonts w:cs="Times New Roman"/>
          <w:noProof/>
          <w:szCs w:val="24"/>
          <w:lang w:val="nl-NL"/>
        </w:rPr>
        <w:t>, 176–182.</w:t>
      </w:r>
    </w:p>
    <w:p w14:paraId="04B41013" w14:textId="77777777" w:rsidR="009241D8" w:rsidRPr="009241D8" w:rsidRDefault="009241D8" w:rsidP="009241D8">
      <w:pPr>
        <w:widowControl w:val="0"/>
        <w:autoSpaceDE w:val="0"/>
        <w:autoSpaceDN w:val="0"/>
        <w:adjustRightInd w:val="0"/>
        <w:ind w:left="640" w:hanging="640"/>
        <w:rPr>
          <w:rFonts w:cs="Times New Roman"/>
          <w:noProof/>
          <w:szCs w:val="24"/>
        </w:rPr>
      </w:pPr>
      <w:r w:rsidRPr="00C24620">
        <w:rPr>
          <w:rFonts w:cs="Times New Roman"/>
          <w:noProof/>
          <w:szCs w:val="24"/>
          <w:lang w:val="nl-NL"/>
        </w:rPr>
        <w:t xml:space="preserve">22. </w:t>
      </w:r>
      <w:r w:rsidRPr="00C24620">
        <w:rPr>
          <w:rFonts w:cs="Times New Roman"/>
          <w:noProof/>
          <w:szCs w:val="24"/>
          <w:lang w:val="nl-NL"/>
        </w:rPr>
        <w:tab/>
        <w:t xml:space="preserve">Lentjes MAH, Welch AA, Luben RN, et al. </w:t>
      </w:r>
      <w:r w:rsidRPr="009241D8">
        <w:rPr>
          <w:rFonts w:cs="Times New Roman"/>
          <w:noProof/>
          <w:szCs w:val="24"/>
        </w:rPr>
        <w:t xml:space="preserve">(2013) Differences in dietary supplement use and secular and seasonal trends assessed using three different instruments in the EPIC-Norfolk population study. </w:t>
      </w:r>
      <w:r w:rsidRPr="009241D8">
        <w:rPr>
          <w:rFonts w:cs="Times New Roman"/>
          <w:i/>
          <w:iCs/>
          <w:noProof/>
          <w:szCs w:val="24"/>
        </w:rPr>
        <w:t>J. Diet. Suppl.</w:t>
      </w:r>
      <w:r w:rsidRPr="009241D8">
        <w:rPr>
          <w:rFonts w:cs="Times New Roman"/>
          <w:noProof/>
          <w:szCs w:val="24"/>
        </w:rPr>
        <w:t xml:space="preserve"> </w:t>
      </w:r>
      <w:r w:rsidRPr="009241D8">
        <w:rPr>
          <w:rFonts w:cs="Times New Roman"/>
          <w:b/>
          <w:bCs/>
          <w:noProof/>
          <w:szCs w:val="24"/>
        </w:rPr>
        <w:t>10</w:t>
      </w:r>
      <w:r w:rsidRPr="009241D8">
        <w:rPr>
          <w:rFonts w:cs="Times New Roman"/>
          <w:noProof/>
          <w:szCs w:val="24"/>
        </w:rPr>
        <w:t>, 142–51.</w:t>
      </w:r>
    </w:p>
    <w:p w14:paraId="0AD965AC"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23. </w:t>
      </w:r>
      <w:r w:rsidRPr="009241D8">
        <w:rPr>
          <w:rFonts w:cs="Times New Roman"/>
          <w:noProof/>
          <w:szCs w:val="24"/>
        </w:rPr>
        <w:tab/>
        <w:t xml:space="preserve">White E, Patterson RE, Kristal AR, et al. (2004) VITamins And Lifestyle cohort study: Study design and characteristics of supplement users. </w:t>
      </w:r>
      <w:r w:rsidRPr="009241D8">
        <w:rPr>
          <w:rFonts w:cs="Times New Roman"/>
          <w:i/>
          <w:iCs/>
          <w:noProof/>
          <w:szCs w:val="24"/>
        </w:rPr>
        <w:t>Am J Epidemiol</w:t>
      </w:r>
      <w:r w:rsidRPr="009241D8">
        <w:rPr>
          <w:rFonts w:cs="Times New Roman"/>
          <w:noProof/>
          <w:szCs w:val="24"/>
        </w:rPr>
        <w:t xml:space="preserve"> </w:t>
      </w:r>
      <w:r w:rsidRPr="009241D8">
        <w:rPr>
          <w:rFonts w:cs="Times New Roman"/>
          <w:b/>
          <w:bCs/>
          <w:noProof/>
          <w:szCs w:val="24"/>
        </w:rPr>
        <w:t>159</w:t>
      </w:r>
      <w:r w:rsidRPr="009241D8">
        <w:rPr>
          <w:rFonts w:cs="Times New Roman"/>
          <w:noProof/>
          <w:szCs w:val="24"/>
        </w:rPr>
        <w:t>, 83–93.</w:t>
      </w:r>
    </w:p>
    <w:p w14:paraId="511E36DF"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lastRenderedPageBreak/>
        <w:t xml:space="preserve">24. </w:t>
      </w:r>
      <w:r w:rsidRPr="009241D8">
        <w:rPr>
          <w:rFonts w:cs="Times New Roman"/>
          <w:noProof/>
          <w:szCs w:val="24"/>
        </w:rPr>
        <w:tab/>
        <w:t xml:space="preserve">Murphy SP, Wilkens LR, Hankin JH, et al. (2002) Comparison of two instruments for quantifying intake of vitamin and mineral supplements: a brief questionnaire versus three 24-hour recalls. </w:t>
      </w:r>
      <w:r w:rsidRPr="009241D8">
        <w:rPr>
          <w:rFonts w:cs="Times New Roman"/>
          <w:i/>
          <w:iCs/>
          <w:noProof/>
          <w:szCs w:val="24"/>
        </w:rPr>
        <w:t>Am. J. Epidemiol.</w:t>
      </w:r>
      <w:r w:rsidRPr="009241D8">
        <w:rPr>
          <w:rFonts w:cs="Times New Roman"/>
          <w:noProof/>
          <w:szCs w:val="24"/>
        </w:rPr>
        <w:t xml:space="preserve"> </w:t>
      </w:r>
      <w:r w:rsidRPr="009241D8">
        <w:rPr>
          <w:rFonts w:cs="Times New Roman"/>
          <w:b/>
          <w:bCs/>
          <w:noProof/>
          <w:szCs w:val="24"/>
        </w:rPr>
        <w:t>156</w:t>
      </w:r>
      <w:r w:rsidRPr="009241D8">
        <w:rPr>
          <w:rFonts w:cs="Times New Roman"/>
          <w:noProof/>
          <w:szCs w:val="24"/>
        </w:rPr>
        <w:t>, 669–75.</w:t>
      </w:r>
    </w:p>
    <w:p w14:paraId="0F2BFC7B"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25. </w:t>
      </w:r>
      <w:r w:rsidRPr="009241D8">
        <w:rPr>
          <w:rFonts w:cs="Times New Roman"/>
          <w:noProof/>
          <w:szCs w:val="24"/>
        </w:rPr>
        <w:tab/>
        <w:t xml:space="preserve">Nicastro HL, Bailey RL &amp; Dodd KW (2015) Using 2 Assessment Methods May Better Describe Dietary Supplement Intakes in the United States. </w:t>
      </w:r>
      <w:r w:rsidRPr="009241D8">
        <w:rPr>
          <w:rFonts w:cs="Times New Roman"/>
          <w:i/>
          <w:iCs/>
          <w:noProof/>
          <w:szCs w:val="24"/>
        </w:rPr>
        <w:t>J. Nutr.</w:t>
      </w:r>
      <w:r w:rsidRPr="009241D8">
        <w:rPr>
          <w:rFonts w:cs="Times New Roman"/>
          <w:noProof/>
          <w:szCs w:val="24"/>
        </w:rPr>
        <w:t xml:space="preserve"> </w:t>
      </w:r>
      <w:r w:rsidRPr="009241D8">
        <w:rPr>
          <w:rFonts w:cs="Times New Roman"/>
          <w:b/>
          <w:bCs/>
          <w:noProof/>
          <w:szCs w:val="24"/>
        </w:rPr>
        <w:t>145</w:t>
      </w:r>
      <w:r w:rsidRPr="009241D8">
        <w:rPr>
          <w:rFonts w:cs="Times New Roman"/>
          <w:noProof/>
          <w:szCs w:val="24"/>
        </w:rPr>
        <w:t>, 1630–1634.</w:t>
      </w:r>
    </w:p>
    <w:p w14:paraId="2581AAA4"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26. </w:t>
      </w:r>
      <w:r w:rsidRPr="009241D8">
        <w:rPr>
          <w:rFonts w:cs="Times New Roman"/>
          <w:noProof/>
          <w:szCs w:val="24"/>
        </w:rPr>
        <w:tab/>
        <w:t xml:space="preserve">NatCen SR, MRC EWL &amp; University College London MS (2017) </w:t>
      </w:r>
      <w:r w:rsidRPr="009241D8">
        <w:rPr>
          <w:rFonts w:cs="Times New Roman"/>
          <w:i/>
          <w:iCs/>
          <w:noProof/>
          <w:szCs w:val="24"/>
        </w:rPr>
        <w:t>National Diet and Nutrition Survey Years 1-6, 2008/09-2013/14 [computer file]</w:t>
      </w:r>
      <w:r w:rsidRPr="009241D8">
        <w:rPr>
          <w:rFonts w:cs="Times New Roman"/>
          <w:noProof/>
          <w:szCs w:val="24"/>
        </w:rPr>
        <w:t>. 8th ed. Colchester, Essex: UK Data Archive.</w:t>
      </w:r>
    </w:p>
    <w:p w14:paraId="7A7C12A4"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27. </w:t>
      </w:r>
      <w:r w:rsidRPr="009241D8">
        <w:rPr>
          <w:rFonts w:cs="Times New Roman"/>
          <w:noProof/>
          <w:szCs w:val="24"/>
        </w:rPr>
        <w:tab/>
        <w:t xml:space="preserve">Henderson L, Irving K, Gregory J, et al. (2003) </w:t>
      </w:r>
      <w:r w:rsidRPr="009241D8">
        <w:rPr>
          <w:rFonts w:cs="Times New Roman"/>
          <w:i/>
          <w:iCs/>
          <w:noProof/>
          <w:szCs w:val="24"/>
        </w:rPr>
        <w:t>The National Diet &amp; Nutrition Survey : adults aged 19 to 64 years. Vitamin and mineral intake and urinary analytes</w:t>
      </w:r>
      <w:r w:rsidRPr="009241D8">
        <w:rPr>
          <w:rFonts w:cs="Times New Roman"/>
          <w:noProof/>
          <w:szCs w:val="24"/>
        </w:rPr>
        <w:t>. vol. 3. London: The Stationery Office (TSO).</w:t>
      </w:r>
    </w:p>
    <w:p w14:paraId="04E41F35" w14:textId="77777777" w:rsidR="009241D8" w:rsidRPr="009241D8" w:rsidRDefault="009241D8" w:rsidP="009241D8">
      <w:pPr>
        <w:widowControl w:val="0"/>
        <w:autoSpaceDE w:val="0"/>
        <w:autoSpaceDN w:val="0"/>
        <w:adjustRightInd w:val="0"/>
        <w:ind w:left="640" w:hanging="640"/>
        <w:rPr>
          <w:rFonts w:cs="Times New Roman"/>
          <w:noProof/>
          <w:szCs w:val="24"/>
        </w:rPr>
      </w:pPr>
      <w:r w:rsidRPr="00C24620">
        <w:rPr>
          <w:rFonts w:cs="Times New Roman"/>
          <w:noProof/>
          <w:szCs w:val="24"/>
          <w:lang w:val="nl-NL"/>
        </w:rPr>
        <w:t xml:space="preserve">28. </w:t>
      </w:r>
      <w:r w:rsidRPr="00C24620">
        <w:rPr>
          <w:rFonts w:cs="Times New Roman"/>
          <w:noProof/>
          <w:szCs w:val="24"/>
          <w:lang w:val="nl-NL"/>
        </w:rPr>
        <w:tab/>
        <w:t xml:space="preserve">Kantor ED, Rehm CD, Du M, et al. </w:t>
      </w:r>
      <w:r w:rsidRPr="009241D8">
        <w:rPr>
          <w:rFonts w:cs="Times New Roman"/>
          <w:noProof/>
          <w:szCs w:val="24"/>
        </w:rPr>
        <w:t xml:space="preserve">(2016) Trends in Dietary Supplement Use Among US Adults From 1999-2012. </w:t>
      </w:r>
      <w:r w:rsidRPr="009241D8">
        <w:rPr>
          <w:rFonts w:cs="Times New Roman"/>
          <w:i/>
          <w:iCs/>
          <w:noProof/>
          <w:szCs w:val="24"/>
        </w:rPr>
        <w:t>Jama</w:t>
      </w:r>
      <w:r w:rsidRPr="009241D8">
        <w:rPr>
          <w:rFonts w:cs="Times New Roman"/>
          <w:noProof/>
          <w:szCs w:val="24"/>
        </w:rPr>
        <w:t xml:space="preserve"> </w:t>
      </w:r>
      <w:r w:rsidRPr="009241D8">
        <w:rPr>
          <w:rFonts w:cs="Times New Roman"/>
          <w:b/>
          <w:bCs/>
          <w:noProof/>
          <w:szCs w:val="24"/>
        </w:rPr>
        <w:t>316</w:t>
      </w:r>
      <w:r w:rsidRPr="009241D8">
        <w:rPr>
          <w:rFonts w:cs="Times New Roman"/>
          <w:noProof/>
          <w:szCs w:val="24"/>
        </w:rPr>
        <w:t>, 1464.</w:t>
      </w:r>
    </w:p>
    <w:p w14:paraId="3E8DF105" w14:textId="77777777" w:rsidR="009241D8" w:rsidRPr="00C24620" w:rsidRDefault="009241D8" w:rsidP="009241D8">
      <w:pPr>
        <w:widowControl w:val="0"/>
        <w:autoSpaceDE w:val="0"/>
        <w:autoSpaceDN w:val="0"/>
        <w:adjustRightInd w:val="0"/>
        <w:ind w:left="640" w:hanging="640"/>
        <w:rPr>
          <w:rFonts w:cs="Times New Roman"/>
          <w:noProof/>
          <w:szCs w:val="24"/>
          <w:lang w:val="nl-NL"/>
        </w:rPr>
      </w:pPr>
      <w:r w:rsidRPr="009241D8">
        <w:rPr>
          <w:rFonts w:cs="Times New Roman"/>
          <w:noProof/>
          <w:szCs w:val="24"/>
        </w:rPr>
        <w:t xml:space="preserve">29. </w:t>
      </w:r>
      <w:r w:rsidRPr="009241D8">
        <w:rPr>
          <w:rFonts w:cs="Times New Roman"/>
          <w:noProof/>
          <w:szCs w:val="24"/>
        </w:rPr>
        <w:tab/>
        <w:t xml:space="preserve">Kim HJ, Giovannucci E, Rosner B, et al. (2014) Longitudinal and secular trends in dietary supplement use: Nurses’ Health Study and Health Professionals Follow-Up Study, 1986-2006. </w:t>
      </w:r>
      <w:r w:rsidRPr="00C24620">
        <w:rPr>
          <w:rFonts w:cs="Times New Roman"/>
          <w:i/>
          <w:iCs/>
          <w:noProof/>
          <w:szCs w:val="24"/>
          <w:lang w:val="nl-NL"/>
        </w:rPr>
        <w:t>J. Acad. Nutr. Diet.</w:t>
      </w:r>
      <w:r w:rsidRPr="00C24620">
        <w:rPr>
          <w:rFonts w:cs="Times New Roman"/>
          <w:noProof/>
          <w:szCs w:val="24"/>
          <w:lang w:val="nl-NL"/>
        </w:rPr>
        <w:t xml:space="preserve"> </w:t>
      </w:r>
      <w:r w:rsidRPr="00C24620">
        <w:rPr>
          <w:rFonts w:cs="Times New Roman"/>
          <w:b/>
          <w:bCs/>
          <w:noProof/>
          <w:szCs w:val="24"/>
          <w:lang w:val="nl-NL"/>
        </w:rPr>
        <w:t>114</w:t>
      </w:r>
      <w:r w:rsidRPr="00C24620">
        <w:rPr>
          <w:rFonts w:cs="Times New Roman"/>
          <w:noProof/>
          <w:szCs w:val="24"/>
          <w:lang w:val="nl-NL"/>
        </w:rPr>
        <w:t>, 436–43.</w:t>
      </w:r>
    </w:p>
    <w:p w14:paraId="66643291" w14:textId="77777777" w:rsidR="009241D8" w:rsidRPr="00C24620" w:rsidRDefault="009241D8" w:rsidP="009241D8">
      <w:pPr>
        <w:widowControl w:val="0"/>
        <w:autoSpaceDE w:val="0"/>
        <w:autoSpaceDN w:val="0"/>
        <w:adjustRightInd w:val="0"/>
        <w:ind w:left="640" w:hanging="640"/>
        <w:rPr>
          <w:rFonts w:cs="Times New Roman"/>
          <w:noProof/>
          <w:szCs w:val="24"/>
          <w:lang w:val="nl-NL"/>
        </w:rPr>
      </w:pPr>
      <w:r w:rsidRPr="00C24620">
        <w:rPr>
          <w:rFonts w:cs="Times New Roman"/>
          <w:noProof/>
          <w:szCs w:val="24"/>
          <w:lang w:val="nl-NL"/>
        </w:rPr>
        <w:t xml:space="preserve">30. </w:t>
      </w:r>
      <w:r w:rsidRPr="00C24620">
        <w:rPr>
          <w:rFonts w:cs="Times New Roman"/>
          <w:noProof/>
          <w:szCs w:val="24"/>
          <w:lang w:val="nl-NL"/>
        </w:rPr>
        <w:tab/>
        <w:t xml:space="preserve">Flynn A, Hirvonen T, Mensink GBM, et al. </w:t>
      </w:r>
      <w:r w:rsidRPr="009241D8">
        <w:rPr>
          <w:rFonts w:cs="Times New Roman"/>
          <w:noProof/>
          <w:szCs w:val="24"/>
        </w:rPr>
        <w:t xml:space="preserve">(2009) Intake of selected nutrients from foods, from fortification and from supplements in various European countries. </w:t>
      </w:r>
      <w:r w:rsidRPr="00C24620">
        <w:rPr>
          <w:rFonts w:cs="Times New Roman"/>
          <w:i/>
          <w:iCs/>
          <w:noProof/>
          <w:szCs w:val="24"/>
          <w:lang w:val="nl-NL"/>
        </w:rPr>
        <w:t>Food Nutr. Res.</w:t>
      </w:r>
      <w:r w:rsidRPr="00C24620">
        <w:rPr>
          <w:rFonts w:cs="Times New Roman"/>
          <w:noProof/>
          <w:szCs w:val="24"/>
          <w:lang w:val="nl-NL"/>
        </w:rPr>
        <w:t xml:space="preserve"> </w:t>
      </w:r>
      <w:r w:rsidRPr="00C24620">
        <w:rPr>
          <w:rFonts w:cs="Times New Roman"/>
          <w:b/>
          <w:bCs/>
          <w:noProof/>
          <w:szCs w:val="24"/>
          <w:lang w:val="nl-NL"/>
        </w:rPr>
        <w:t>53</w:t>
      </w:r>
      <w:r w:rsidRPr="00C24620">
        <w:rPr>
          <w:rFonts w:cs="Times New Roman"/>
          <w:noProof/>
          <w:szCs w:val="24"/>
          <w:lang w:val="nl-NL"/>
        </w:rPr>
        <w:t>.</w:t>
      </w:r>
    </w:p>
    <w:p w14:paraId="2CF4D824" w14:textId="77777777" w:rsidR="009241D8" w:rsidRPr="009241D8" w:rsidRDefault="009241D8" w:rsidP="009241D8">
      <w:pPr>
        <w:widowControl w:val="0"/>
        <w:autoSpaceDE w:val="0"/>
        <w:autoSpaceDN w:val="0"/>
        <w:adjustRightInd w:val="0"/>
        <w:ind w:left="640" w:hanging="640"/>
        <w:rPr>
          <w:rFonts w:cs="Times New Roman"/>
          <w:noProof/>
          <w:szCs w:val="24"/>
        </w:rPr>
      </w:pPr>
      <w:r w:rsidRPr="00C24620">
        <w:rPr>
          <w:rFonts w:cs="Times New Roman"/>
          <w:noProof/>
          <w:szCs w:val="24"/>
          <w:lang w:val="nl-NL"/>
        </w:rPr>
        <w:t xml:space="preserve">31. </w:t>
      </w:r>
      <w:r w:rsidRPr="00C24620">
        <w:rPr>
          <w:rFonts w:cs="Times New Roman"/>
          <w:noProof/>
          <w:szCs w:val="24"/>
          <w:lang w:val="nl-NL"/>
        </w:rPr>
        <w:tab/>
        <w:t xml:space="preserve">Skeie G, Braaten T, Hjartåker A, et al. </w:t>
      </w:r>
      <w:r w:rsidRPr="009241D8">
        <w:rPr>
          <w:rFonts w:cs="Times New Roman"/>
          <w:noProof/>
          <w:szCs w:val="24"/>
        </w:rPr>
        <w:t xml:space="preserve">(2009) Use of dietary supplements in the European Prospective Investigation into Cancer and Nutrition calibration study. </w:t>
      </w:r>
      <w:r w:rsidRPr="009241D8">
        <w:rPr>
          <w:rFonts w:cs="Times New Roman"/>
          <w:i/>
          <w:iCs/>
          <w:noProof/>
          <w:szCs w:val="24"/>
        </w:rPr>
        <w:t>Eur. J. Clin. Nutr.</w:t>
      </w:r>
      <w:r w:rsidRPr="009241D8">
        <w:rPr>
          <w:rFonts w:cs="Times New Roman"/>
          <w:noProof/>
          <w:szCs w:val="24"/>
        </w:rPr>
        <w:t xml:space="preserve"> </w:t>
      </w:r>
      <w:r w:rsidRPr="009241D8">
        <w:rPr>
          <w:rFonts w:cs="Times New Roman"/>
          <w:b/>
          <w:bCs/>
          <w:noProof/>
          <w:szCs w:val="24"/>
        </w:rPr>
        <w:t>63</w:t>
      </w:r>
      <w:r w:rsidRPr="009241D8">
        <w:rPr>
          <w:rFonts w:cs="Times New Roman"/>
          <w:noProof/>
          <w:szCs w:val="24"/>
        </w:rPr>
        <w:t>, S226–S238.</w:t>
      </w:r>
    </w:p>
    <w:p w14:paraId="4814B365"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32. </w:t>
      </w:r>
      <w:r w:rsidRPr="009241D8">
        <w:rPr>
          <w:rFonts w:cs="Times New Roman"/>
          <w:noProof/>
          <w:szCs w:val="24"/>
        </w:rPr>
        <w:tab/>
        <w:t xml:space="preserve">Bates B, Lennox A, Prentice A, et al. (2014) National Diet and Nutrition Survey: Results from Years 1, 2, 3 and 4 (combined) of the Rolling Programme. </w:t>
      </w:r>
      <w:r w:rsidRPr="009241D8">
        <w:rPr>
          <w:rFonts w:cs="Times New Roman"/>
          <w:b/>
          <w:bCs/>
          <w:noProof/>
          <w:szCs w:val="24"/>
        </w:rPr>
        <w:t>4</w:t>
      </w:r>
      <w:r w:rsidRPr="009241D8">
        <w:rPr>
          <w:rFonts w:cs="Times New Roman"/>
          <w:noProof/>
          <w:szCs w:val="24"/>
        </w:rPr>
        <w:t>, 1–27.</w:t>
      </w:r>
    </w:p>
    <w:p w14:paraId="5D330D1F"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33. </w:t>
      </w:r>
      <w:r w:rsidRPr="009241D8">
        <w:rPr>
          <w:rFonts w:cs="Times New Roman"/>
          <w:noProof/>
          <w:szCs w:val="24"/>
        </w:rPr>
        <w:tab/>
        <w:t xml:space="preserve">Bates B, Cox L, Nicholson S, et al. (editors) (2016) </w:t>
      </w:r>
      <w:r w:rsidRPr="009241D8">
        <w:rPr>
          <w:rFonts w:cs="Times New Roman"/>
          <w:i/>
          <w:iCs/>
          <w:noProof/>
          <w:szCs w:val="24"/>
        </w:rPr>
        <w:t>National Diet and Nutrition Survey Results from Years 5 and 6 (combined) of the Rolling Programme (2012/2013 – 2013/2014)</w:t>
      </w:r>
      <w:r w:rsidRPr="009241D8">
        <w:rPr>
          <w:rFonts w:cs="Times New Roman"/>
          <w:noProof/>
          <w:szCs w:val="24"/>
        </w:rPr>
        <w:t>. London: Public Health England.</w:t>
      </w:r>
    </w:p>
    <w:p w14:paraId="0A8B3987"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34. </w:t>
      </w:r>
      <w:r w:rsidRPr="009241D8">
        <w:rPr>
          <w:rFonts w:cs="Times New Roman"/>
          <w:noProof/>
          <w:szCs w:val="24"/>
        </w:rPr>
        <w:tab/>
        <w:t xml:space="preserve">Lentjes MAH, Bhaniani A, Mulligan AA, et al. (2011) Developing a database of vitamin and mineral supplements (ViMiS) for the Norfolk arm of the European Prospective Investigation into Cancer (EPIC-Norfolk). </w:t>
      </w:r>
      <w:r w:rsidRPr="009241D8">
        <w:rPr>
          <w:rFonts w:cs="Times New Roman"/>
          <w:i/>
          <w:iCs/>
          <w:noProof/>
          <w:szCs w:val="24"/>
        </w:rPr>
        <w:t>Public Health Nutr.</w:t>
      </w:r>
      <w:r w:rsidRPr="009241D8">
        <w:rPr>
          <w:rFonts w:cs="Times New Roman"/>
          <w:noProof/>
          <w:szCs w:val="24"/>
        </w:rPr>
        <w:t xml:space="preserve"> </w:t>
      </w:r>
      <w:r w:rsidRPr="009241D8">
        <w:rPr>
          <w:rFonts w:cs="Times New Roman"/>
          <w:b/>
          <w:bCs/>
          <w:noProof/>
          <w:szCs w:val="24"/>
        </w:rPr>
        <w:t>14</w:t>
      </w:r>
      <w:r w:rsidRPr="009241D8">
        <w:rPr>
          <w:rFonts w:cs="Times New Roman"/>
          <w:noProof/>
          <w:szCs w:val="24"/>
        </w:rPr>
        <w:t>, 459–71.</w:t>
      </w:r>
    </w:p>
    <w:p w14:paraId="1A2AACAA"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35. </w:t>
      </w:r>
      <w:r w:rsidRPr="009241D8">
        <w:rPr>
          <w:rFonts w:cs="Times New Roman"/>
          <w:noProof/>
          <w:szCs w:val="24"/>
        </w:rPr>
        <w:tab/>
        <w:t xml:space="preserve">Dwyer JT, Saldanha LG, Bailen R a., et al. (2014) A Free New Dietary Supplement Label </w:t>
      </w:r>
      <w:r w:rsidRPr="009241D8">
        <w:rPr>
          <w:rFonts w:cs="Times New Roman"/>
          <w:noProof/>
          <w:szCs w:val="24"/>
        </w:rPr>
        <w:lastRenderedPageBreak/>
        <w:t xml:space="preserve">Database for Registered Dietitian Nutritionists. </w:t>
      </w:r>
      <w:r w:rsidRPr="009241D8">
        <w:rPr>
          <w:rFonts w:cs="Times New Roman"/>
          <w:i/>
          <w:iCs/>
          <w:noProof/>
          <w:szCs w:val="24"/>
        </w:rPr>
        <w:t>J. Acad. Nutr. Diet.</w:t>
      </w:r>
      <w:r w:rsidRPr="009241D8">
        <w:rPr>
          <w:rFonts w:cs="Times New Roman"/>
          <w:noProof/>
          <w:szCs w:val="24"/>
        </w:rPr>
        <w:t xml:space="preserve"> </w:t>
      </w:r>
      <w:r w:rsidRPr="009241D8">
        <w:rPr>
          <w:rFonts w:cs="Times New Roman"/>
          <w:b/>
          <w:bCs/>
          <w:noProof/>
          <w:szCs w:val="24"/>
        </w:rPr>
        <w:t>114</w:t>
      </w:r>
      <w:r w:rsidRPr="009241D8">
        <w:rPr>
          <w:rFonts w:cs="Times New Roman"/>
          <w:noProof/>
          <w:szCs w:val="24"/>
        </w:rPr>
        <w:t>, 1512–1517.</w:t>
      </w:r>
    </w:p>
    <w:p w14:paraId="722EA735"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36. </w:t>
      </w:r>
      <w:r w:rsidRPr="009241D8">
        <w:rPr>
          <w:rFonts w:cs="Times New Roman"/>
          <w:noProof/>
          <w:szCs w:val="24"/>
        </w:rPr>
        <w:tab/>
        <w:t xml:space="preserve">Expert group on vitamins and minerals (2003) </w:t>
      </w:r>
      <w:r w:rsidRPr="009241D8">
        <w:rPr>
          <w:rFonts w:cs="Times New Roman"/>
          <w:i/>
          <w:iCs/>
          <w:noProof/>
          <w:szCs w:val="24"/>
        </w:rPr>
        <w:t>Safe Upper Levels for Vitamins and Minerals</w:t>
      </w:r>
      <w:r w:rsidRPr="009241D8">
        <w:rPr>
          <w:rFonts w:cs="Times New Roman"/>
          <w:noProof/>
          <w:szCs w:val="24"/>
        </w:rPr>
        <w:t>. London: Food Standards Agency.</w:t>
      </w:r>
    </w:p>
    <w:p w14:paraId="02D197F7"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37. </w:t>
      </w:r>
      <w:r w:rsidRPr="009241D8">
        <w:rPr>
          <w:rFonts w:cs="Times New Roman"/>
          <w:noProof/>
          <w:szCs w:val="24"/>
        </w:rPr>
        <w:tab/>
        <w:t>Food Supplements Europe (2014) Guide to Good Manufacturing Practice for Manufacturers of Food Supplements. 108. www.foodsupplementseurope.org (accessed August 2018).</w:t>
      </w:r>
    </w:p>
    <w:p w14:paraId="3DBF8E03"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38. </w:t>
      </w:r>
      <w:r w:rsidRPr="009241D8">
        <w:rPr>
          <w:rFonts w:cs="Times New Roman"/>
          <w:noProof/>
          <w:szCs w:val="24"/>
        </w:rPr>
        <w:tab/>
        <w:t xml:space="preserve">Dwyer JT, Picciano MF, Betz JM, et al. (2008) Progress in developing analytical and label-based dietary supplement databases at the NIH Office of Dietary Supplements. </w:t>
      </w:r>
      <w:r w:rsidRPr="009241D8">
        <w:rPr>
          <w:rFonts w:cs="Times New Roman"/>
          <w:i/>
          <w:iCs/>
          <w:noProof/>
          <w:szCs w:val="24"/>
        </w:rPr>
        <w:t>J. Food Compos. Anal.</w:t>
      </w:r>
      <w:r w:rsidRPr="009241D8">
        <w:rPr>
          <w:rFonts w:cs="Times New Roman"/>
          <w:noProof/>
          <w:szCs w:val="24"/>
        </w:rPr>
        <w:t xml:space="preserve"> </w:t>
      </w:r>
      <w:r w:rsidRPr="009241D8">
        <w:rPr>
          <w:rFonts w:cs="Times New Roman"/>
          <w:b/>
          <w:bCs/>
          <w:noProof/>
          <w:szCs w:val="24"/>
        </w:rPr>
        <w:t>21</w:t>
      </w:r>
      <w:r w:rsidRPr="009241D8">
        <w:rPr>
          <w:rFonts w:cs="Times New Roman"/>
          <w:noProof/>
          <w:szCs w:val="24"/>
        </w:rPr>
        <w:t>, S83–S93.</w:t>
      </w:r>
    </w:p>
    <w:p w14:paraId="78B7D42B"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39. </w:t>
      </w:r>
      <w:r w:rsidRPr="009241D8">
        <w:rPr>
          <w:rFonts w:cs="Times New Roman"/>
          <w:noProof/>
          <w:szCs w:val="24"/>
        </w:rPr>
        <w:tab/>
        <w:t xml:space="preserve">Dwyer J, Picciano MF &amp; Raiten DJ (2003) Collection of food and dietary supplement intake data: What We Eat in America-NHANES. </w:t>
      </w:r>
      <w:r w:rsidRPr="009241D8">
        <w:rPr>
          <w:rFonts w:cs="Times New Roman"/>
          <w:i/>
          <w:iCs/>
          <w:noProof/>
          <w:szCs w:val="24"/>
        </w:rPr>
        <w:t>J. Nutr.</w:t>
      </w:r>
      <w:r w:rsidRPr="009241D8">
        <w:rPr>
          <w:rFonts w:cs="Times New Roman"/>
          <w:noProof/>
          <w:szCs w:val="24"/>
        </w:rPr>
        <w:t xml:space="preserve"> </w:t>
      </w:r>
      <w:r w:rsidRPr="009241D8">
        <w:rPr>
          <w:rFonts w:cs="Times New Roman"/>
          <w:b/>
          <w:bCs/>
          <w:noProof/>
          <w:szCs w:val="24"/>
        </w:rPr>
        <w:t>133</w:t>
      </w:r>
      <w:r w:rsidRPr="009241D8">
        <w:rPr>
          <w:rFonts w:cs="Times New Roman"/>
          <w:noProof/>
          <w:szCs w:val="24"/>
        </w:rPr>
        <w:t>, 590S–600S.</w:t>
      </w:r>
    </w:p>
    <w:p w14:paraId="3F53669D"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40. </w:t>
      </w:r>
      <w:r w:rsidRPr="009241D8">
        <w:rPr>
          <w:rFonts w:cs="Times New Roman"/>
          <w:noProof/>
          <w:szCs w:val="24"/>
        </w:rPr>
        <w:tab/>
        <w:t xml:space="preserve">COMA (1991) </w:t>
      </w:r>
      <w:r w:rsidRPr="009241D8">
        <w:rPr>
          <w:rFonts w:cs="Times New Roman"/>
          <w:i/>
          <w:iCs/>
          <w:noProof/>
          <w:szCs w:val="24"/>
        </w:rPr>
        <w:t>Dietary Reference Values for food energy and nutrients for the United Kingdom. Report of the Panel on Dietary Reference Values, Committee on Medical Aspects of Food Policy</w:t>
      </w:r>
      <w:r w:rsidRPr="009241D8">
        <w:rPr>
          <w:rFonts w:cs="Times New Roman"/>
          <w:noProof/>
          <w:szCs w:val="24"/>
        </w:rPr>
        <w:t>. vol. 41. HMSO.</w:t>
      </w:r>
    </w:p>
    <w:p w14:paraId="7D946B93"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41. </w:t>
      </w:r>
      <w:r w:rsidRPr="009241D8">
        <w:rPr>
          <w:rFonts w:cs="Times New Roman"/>
          <w:noProof/>
          <w:szCs w:val="24"/>
        </w:rPr>
        <w:tab/>
        <w:t xml:space="preserve">(2017) Dietary Reference Values for nutrients Summary report. </w:t>
      </w:r>
      <w:r w:rsidRPr="009241D8">
        <w:rPr>
          <w:rFonts w:cs="Times New Roman"/>
          <w:i/>
          <w:iCs/>
          <w:noProof/>
          <w:szCs w:val="24"/>
        </w:rPr>
        <w:t>EFSA Support. Publ.</w:t>
      </w:r>
      <w:r w:rsidRPr="009241D8">
        <w:rPr>
          <w:rFonts w:cs="Times New Roman"/>
          <w:noProof/>
          <w:szCs w:val="24"/>
        </w:rPr>
        <w:t xml:space="preserve"> </w:t>
      </w:r>
      <w:r w:rsidRPr="009241D8">
        <w:rPr>
          <w:rFonts w:cs="Times New Roman"/>
          <w:b/>
          <w:bCs/>
          <w:noProof/>
          <w:szCs w:val="24"/>
        </w:rPr>
        <w:t>14</w:t>
      </w:r>
      <w:r w:rsidRPr="009241D8">
        <w:rPr>
          <w:rFonts w:cs="Times New Roman"/>
          <w:noProof/>
          <w:szCs w:val="24"/>
        </w:rPr>
        <w:t>.</w:t>
      </w:r>
    </w:p>
    <w:p w14:paraId="41EFDEBD"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42. </w:t>
      </w:r>
      <w:r w:rsidRPr="009241D8">
        <w:rPr>
          <w:rFonts w:cs="Times New Roman"/>
          <w:noProof/>
          <w:szCs w:val="24"/>
        </w:rPr>
        <w:tab/>
        <w:t>National Cancer Institute (2011) Measurement error webinar series. http://riskfactor.cancer.gov/measurementerror/.</w:t>
      </w:r>
    </w:p>
    <w:p w14:paraId="2A40C7B6"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43. </w:t>
      </w:r>
      <w:r w:rsidRPr="009241D8">
        <w:rPr>
          <w:rFonts w:cs="Times New Roman"/>
          <w:noProof/>
          <w:szCs w:val="24"/>
        </w:rPr>
        <w:tab/>
        <w:t xml:space="preserve">Carriquiry AL (1999) Assessing the prevalence of nutrient inadequacy. </w:t>
      </w:r>
      <w:r w:rsidRPr="009241D8">
        <w:rPr>
          <w:rFonts w:cs="Times New Roman"/>
          <w:i/>
          <w:iCs/>
          <w:noProof/>
          <w:szCs w:val="24"/>
        </w:rPr>
        <w:t>Public Health Nutr.</w:t>
      </w:r>
      <w:r w:rsidRPr="009241D8">
        <w:rPr>
          <w:rFonts w:cs="Times New Roman"/>
          <w:noProof/>
          <w:szCs w:val="24"/>
        </w:rPr>
        <w:t xml:space="preserve"> </w:t>
      </w:r>
      <w:r w:rsidRPr="009241D8">
        <w:rPr>
          <w:rFonts w:cs="Times New Roman"/>
          <w:b/>
          <w:bCs/>
          <w:noProof/>
          <w:szCs w:val="24"/>
        </w:rPr>
        <w:t>2</w:t>
      </w:r>
      <w:r w:rsidRPr="009241D8">
        <w:rPr>
          <w:rFonts w:cs="Times New Roman"/>
          <w:noProof/>
          <w:szCs w:val="24"/>
        </w:rPr>
        <w:t>, 23–33.</w:t>
      </w:r>
    </w:p>
    <w:p w14:paraId="123A5CCC"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44. </w:t>
      </w:r>
      <w:r w:rsidRPr="009241D8">
        <w:rPr>
          <w:rFonts w:cs="Times New Roman"/>
          <w:noProof/>
          <w:szCs w:val="24"/>
        </w:rPr>
        <w:tab/>
        <w:t xml:space="preserve">Doets EL, de Wit LS, Dhonukshe-Rutten R a M, et al. (2008) Current micronutrient recommendations in Europe: towards understanding their differences and similarities. </w:t>
      </w:r>
      <w:r w:rsidRPr="009241D8">
        <w:rPr>
          <w:rFonts w:cs="Times New Roman"/>
          <w:i/>
          <w:iCs/>
          <w:noProof/>
          <w:szCs w:val="24"/>
        </w:rPr>
        <w:t>Eur. J. Nutr.</w:t>
      </w:r>
      <w:r w:rsidRPr="009241D8">
        <w:rPr>
          <w:rFonts w:cs="Times New Roman"/>
          <w:noProof/>
          <w:szCs w:val="24"/>
        </w:rPr>
        <w:t xml:space="preserve"> </w:t>
      </w:r>
      <w:r w:rsidRPr="009241D8">
        <w:rPr>
          <w:rFonts w:cs="Times New Roman"/>
          <w:b/>
          <w:bCs/>
          <w:noProof/>
          <w:szCs w:val="24"/>
        </w:rPr>
        <w:t>47 Suppl 1</w:t>
      </w:r>
      <w:r w:rsidRPr="009241D8">
        <w:rPr>
          <w:rFonts w:cs="Times New Roman"/>
          <w:noProof/>
          <w:szCs w:val="24"/>
        </w:rPr>
        <w:t>, 17–40.</w:t>
      </w:r>
    </w:p>
    <w:p w14:paraId="6406C31E" w14:textId="77777777" w:rsidR="009241D8" w:rsidRPr="00C24620" w:rsidRDefault="009241D8" w:rsidP="009241D8">
      <w:pPr>
        <w:widowControl w:val="0"/>
        <w:autoSpaceDE w:val="0"/>
        <w:autoSpaceDN w:val="0"/>
        <w:adjustRightInd w:val="0"/>
        <w:ind w:left="640" w:hanging="640"/>
        <w:rPr>
          <w:rFonts w:cs="Times New Roman"/>
          <w:noProof/>
          <w:szCs w:val="24"/>
          <w:lang w:val="nl-NL"/>
        </w:rPr>
      </w:pPr>
      <w:r w:rsidRPr="009241D8">
        <w:rPr>
          <w:rFonts w:cs="Times New Roman"/>
          <w:noProof/>
          <w:szCs w:val="24"/>
        </w:rPr>
        <w:t xml:space="preserve">45. </w:t>
      </w:r>
      <w:r w:rsidRPr="009241D8">
        <w:rPr>
          <w:rFonts w:cs="Times New Roman"/>
          <w:noProof/>
          <w:szCs w:val="24"/>
        </w:rPr>
        <w:tab/>
        <w:t xml:space="preserve">Roman Viñas B, Ribas Barba L, Ngo J, et al. (2011) Projected prevalence of inadequate nutrient intakes in Europe. </w:t>
      </w:r>
      <w:r w:rsidRPr="00C24620">
        <w:rPr>
          <w:rFonts w:cs="Times New Roman"/>
          <w:i/>
          <w:iCs/>
          <w:noProof/>
          <w:szCs w:val="24"/>
          <w:lang w:val="nl-NL"/>
        </w:rPr>
        <w:t>Ann. Nutr. Metab.</w:t>
      </w:r>
      <w:r w:rsidRPr="00C24620">
        <w:rPr>
          <w:rFonts w:cs="Times New Roman"/>
          <w:noProof/>
          <w:szCs w:val="24"/>
          <w:lang w:val="nl-NL"/>
        </w:rPr>
        <w:t xml:space="preserve"> </w:t>
      </w:r>
      <w:r w:rsidRPr="00C24620">
        <w:rPr>
          <w:rFonts w:cs="Times New Roman"/>
          <w:b/>
          <w:bCs/>
          <w:noProof/>
          <w:szCs w:val="24"/>
          <w:lang w:val="nl-NL"/>
        </w:rPr>
        <w:t>59</w:t>
      </w:r>
      <w:r w:rsidRPr="00C24620">
        <w:rPr>
          <w:rFonts w:cs="Times New Roman"/>
          <w:noProof/>
          <w:szCs w:val="24"/>
          <w:lang w:val="nl-NL"/>
        </w:rPr>
        <w:t>, 84–95.</w:t>
      </w:r>
    </w:p>
    <w:p w14:paraId="72783AE6" w14:textId="77777777" w:rsidR="009241D8" w:rsidRPr="009241D8" w:rsidRDefault="009241D8" w:rsidP="009241D8">
      <w:pPr>
        <w:widowControl w:val="0"/>
        <w:autoSpaceDE w:val="0"/>
        <w:autoSpaceDN w:val="0"/>
        <w:adjustRightInd w:val="0"/>
        <w:ind w:left="640" w:hanging="640"/>
        <w:rPr>
          <w:rFonts w:cs="Times New Roman"/>
          <w:noProof/>
          <w:szCs w:val="24"/>
        </w:rPr>
      </w:pPr>
      <w:r w:rsidRPr="00C24620">
        <w:rPr>
          <w:rFonts w:cs="Times New Roman"/>
          <w:noProof/>
          <w:szCs w:val="24"/>
          <w:lang w:val="nl-NL"/>
        </w:rPr>
        <w:t xml:space="preserve">46. </w:t>
      </w:r>
      <w:r w:rsidRPr="00C24620">
        <w:rPr>
          <w:rFonts w:cs="Times New Roman"/>
          <w:noProof/>
          <w:szCs w:val="24"/>
          <w:lang w:val="nl-NL"/>
        </w:rPr>
        <w:tab/>
        <w:t xml:space="preserve">Mensink GBM, Fletcher R, Gurinovic M, et al. </w:t>
      </w:r>
      <w:r w:rsidRPr="009241D8">
        <w:rPr>
          <w:rFonts w:cs="Times New Roman"/>
          <w:noProof/>
          <w:szCs w:val="24"/>
        </w:rPr>
        <w:t xml:space="preserve">(2013) Mapping low intake of micronutrients across Europe. </w:t>
      </w:r>
      <w:r w:rsidRPr="009241D8">
        <w:rPr>
          <w:rFonts w:cs="Times New Roman"/>
          <w:i/>
          <w:iCs/>
          <w:noProof/>
          <w:szCs w:val="24"/>
        </w:rPr>
        <w:t>Br. J. Nutr.</w:t>
      </w:r>
      <w:r w:rsidRPr="009241D8">
        <w:rPr>
          <w:rFonts w:cs="Times New Roman"/>
          <w:noProof/>
          <w:szCs w:val="24"/>
        </w:rPr>
        <w:t xml:space="preserve"> </w:t>
      </w:r>
      <w:r w:rsidRPr="009241D8">
        <w:rPr>
          <w:rFonts w:cs="Times New Roman"/>
          <w:b/>
          <w:bCs/>
          <w:noProof/>
          <w:szCs w:val="24"/>
        </w:rPr>
        <w:t>110</w:t>
      </w:r>
      <w:r w:rsidRPr="009241D8">
        <w:rPr>
          <w:rFonts w:cs="Times New Roman"/>
          <w:noProof/>
          <w:szCs w:val="24"/>
        </w:rPr>
        <w:t>, 755–73.</w:t>
      </w:r>
    </w:p>
    <w:p w14:paraId="09788411" w14:textId="77777777" w:rsidR="009241D8" w:rsidRPr="00C24620" w:rsidRDefault="009241D8" w:rsidP="009241D8">
      <w:pPr>
        <w:widowControl w:val="0"/>
        <w:autoSpaceDE w:val="0"/>
        <w:autoSpaceDN w:val="0"/>
        <w:adjustRightInd w:val="0"/>
        <w:ind w:left="640" w:hanging="640"/>
        <w:rPr>
          <w:rFonts w:cs="Times New Roman"/>
          <w:noProof/>
          <w:szCs w:val="24"/>
          <w:lang w:val="nl-NL"/>
        </w:rPr>
      </w:pPr>
      <w:r w:rsidRPr="009241D8">
        <w:rPr>
          <w:rFonts w:cs="Times New Roman"/>
          <w:noProof/>
          <w:szCs w:val="24"/>
        </w:rPr>
        <w:t xml:space="preserve">47. </w:t>
      </w:r>
      <w:r w:rsidRPr="009241D8">
        <w:rPr>
          <w:rFonts w:cs="Times New Roman"/>
          <w:noProof/>
          <w:szCs w:val="24"/>
        </w:rPr>
        <w:tab/>
        <w:t xml:space="preserve">Bailey RL, Fulgoni VL, Keast DR, et al. (2012) Examination of vitamin intakes among US adults by dietary supplement use. </w:t>
      </w:r>
      <w:r w:rsidRPr="00C24620">
        <w:rPr>
          <w:rFonts w:cs="Times New Roman"/>
          <w:i/>
          <w:iCs/>
          <w:noProof/>
          <w:szCs w:val="24"/>
          <w:lang w:val="nl-NL"/>
        </w:rPr>
        <w:t>J Acad Nutr Diet</w:t>
      </w:r>
      <w:r w:rsidRPr="00C24620">
        <w:rPr>
          <w:rFonts w:cs="Times New Roman"/>
          <w:noProof/>
          <w:szCs w:val="24"/>
          <w:lang w:val="nl-NL"/>
        </w:rPr>
        <w:t xml:space="preserve"> </w:t>
      </w:r>
      <w:r w:rsidRPr="00C24620">
        <w:rPr>
          <w:rFonts w:cs="Times New Roman"/>
          <w:b/>
          <w:bCs/>
          <w:noProof/>
          <w:szCs w:val="24"/>
          <w:lang w:val="nl-NL"/>
        </w:rPr>
        <w:t>112</w:t>
      </w:r>
      <w:r w:rsidRPr="00C24620">
        <w:rPr>
          <w:rFonts w:cs="Times New Roman"/>
          <w:noProof/>
          <w:szCs w:val="24"/>
          <w:lang w:val="nl-NL"/>
        </w:rPr>
        <w:t>, 657–663.e4.</w:t>
      </w:r>
    </w:p>
    <w:p w14:paraId="6F6F330D" w14:textId="77777777" w:rsidR="009241D8" w:rsidRPr="009241D8" w:rsidRDefault="009241D8" w:rsidP="009241D8">
      <w:pPr>
        <w:widowControl w:val="0"/>
        <w:autoSpaceDE w:val="0"/>
        <w:autoSpaceDN w:val="0"/>
        <w:adjustRightInd w:val="0"/>
        <w:ind w:left="640" w:hanging="640"/>
        <w:rPr>
          <w:rFonts w:cs="Times New Roman"/>
          <w:noProof/>
          <w:szCs w:val="24"/>
        </w:rPr>
      </w:pPr>
      <w:r w:rsidRPr="00C24620">
        <w:rPr>
          <w:rFonts w:cs="Times New Roman"/>
          <w:noProof/>
          <w:szCs w:val="24"/>
          <w:lang w:val="nl-NL"/>
        </w:rPr>
        <w:t xml:space="preserve">48. </w:t>
      </w:r>
      <w:r w:rsidRPr="00C24620">
        <w:rPr>
          <w:rFonts w:cs="Times New Roman"/>
          <w:noProof/>
          <w:szCs w:val="24"/>
          <w:lang w:val="nl-NL"/>
        </w:rPr>
        <w:tab/>
        <w:t xml:space="preserve">Fulgoni VL, Keast DR, Bailey RL, et al. </w:t>
      </w:r>
      <w:r w:rsidRPr="009241D8">
        <w:rPr>
          <w:rFonts w:cs="Times New Roman"/>
          <w:noProof/>
          <w:szCs w:val="24"/>
        </w:rPr>
        <w:t xml:space="preserve">(2011) Foods, fortificants, and supplements: Where do Americans get their nutrients? </w:t>
      </w:r>
      <w:r w:rsidRPr="009241D8">
        <w:rPr>
          <w:rFonts w:cs="Times New Roman"/>
          <w:i/>
          <w:iCs/>
          <w:noProof/>
          <w:szCs w:val="24"/>
        </w:rPr>
        <w:t>J. Nutr.</w:t>
      </w:r>
      <w:r w:rsidRPr="009241D8">
        <w:rPr>
          <w:rFonts w:cs="Times New Roman"/>
          <w:noProof/>
          <w:szCs w:val="24"/>
        </w:rPr>
        <w:t xml:space="preserve"> </w:t>
      </w:r>
      <w:r w:rsidRPr="009241D8">
        <w:rPr>
          <w:rFonts w:cs="Times New Roman"/>
          <w:b/>
          <w:bCs/>
          <w:noProof/>
          <w:szCs w:val="24"/>
        </w:rPr>
        <w:t>141</w:t>
      </w:r>
      <w:r w:rsidRPr="009241D8">
        <w:rPr>
          <w:rFonts w:cs="Times New Roman"/>
          <w:noProof/>
          <w:szCs w:val="24"/>
        </w:rPr>
        <w:t>, 1847–54.</w:t>
      </w:r>
    </w:p>
    <w:p w14:paraId="18066061"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lastRenderedPageBreak/>
        <w:t xml:space="preserve">49. </w:t>
      </w:r>
      <w:r w:rsidRPr="009241D8">
        <w:rPr>
          <w:rFonts w:cs="Times New Roman"/>
          <w:noProof/>
          <w:szCs w:val="24"/>
        </w:rPr>
        <w:tab/>
        <w:t xml:space="preserve">Bailey RL, Fulgoni VL, Keast DR, et al. (2011) Dietary supplement use is associated with higher intakes of minerals from food sources. </w:t>
      </w:r>
      <w:r w:rsidRPr="009241D8">
        <w:rPr>
          <w:rFonts w:cs="Times New Roman"/>
          <w:i/>
          <w:iCs/>
          <w:noProof/>
          <w:szCs w:val="24"/>
        </w:rPr>
        <w:t>Am. J. Clin. Nutr.</w:t>
      </w:r>
      <w:r w:rsidRPr="009241D8">
        <w:rPr>
          <w:rFonts w:cs="Times New Roman"/>
          <w:noProof/>
          <w:szCs w:val="24"/>
        </w:rPr>
        <w:t xml:space="preserve"> </w:t>
      </w:r>
      <w:r w:rsidRPr="009241D8">
        <w:rPr>
          <w:rFonts w:cs="Times New Roman"/>
          <w:b/>
          <w:bCs/>
          <w:noProof/>
          <w:szCs w:val="24"/>
        </w:rPr>
        <w:t>94</w:t>
      </w:r>
      <w:r w:rsidRPr="009241D8">
        <w:rPr>
          <w:rFonts w:cs="Times New Roman"/>
          <w:noProof/>
          <w:szCs w:val="24"/>
        </w:rPr>
        <w:t>, 1376–81.</w:t>
      </w:r>
    </w:p>
    <w:p w14:paraId="47AC1705"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50. </w:t>
      </w:r>
      <w:r w:rsidRPr="009241D8">
        <w:rPr>
          <w:rFonts w:cs="Times New Roman"/>
          <w:noProof/>
          <w:szCs w:val="24"/>
        </w:rPr>
        <w:tab/>
        <w:t xml:space="preserve">Jenab M, Slimani N, Bictash M, et al. (2009) Biomarkers in nutritional epidemiology: Applications, needs and new horizons. </w:t>
      </w:r>
      <w:r w:rsidRPr="009241D8">
        <w:rPr>
          <w:rFonts w:cs="Times New Roman"/>
          <w:i/>
          <w:iCs/>
          <w:noProof/>
          <w:szCs w:val="24"/>
        </w:rPr>
        <w:t>Hum. Genet.</w:t>
      </w:r>
      <w:r w:rsidRPr="009241D8">
        <w:rPr>
          <w:rFonts w:cs="Times New Roman"/>
          <w:noProof/>
          <w:szCs w:val="24"/>
        </w:rPr>
        <w:t>, 507–525.</w:t>
      </w:r>
    </w:p>
    <w:p w14:paraId="2FFBF3FB"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51. </w:t>
      </w:r>
      <w:r w:rsidRPr="009241D8">
        <w:rPr>
          <w:rFonts w:cs="Times New Roman"/>
          <w:noProof/>
          <w:szCs w:val="24"/>
        </w:rPr>
        <w:tab/>
        <w:t xml:space="preserve">Giovannucci E (2013) Nutrient biomarkers are not always simple markers of nutrient intake. </w:t>
      </w:r>
      <w:r w:rsidRPr="009241D8">
        <w:rPr>
          <w:rFonts w:cs="Times New Roman"/>
          <w:i/>
          <w:iCs/>
          <w:noProof/>
          <w:szCs w:val="24"/>
        </w:rPr>
        <w:t>Am. J. Clin. Nutr.</w:t>
      </w:r>
      <w:r w:rsidRPr="009241D8">
        <w:rPr>
          <w:rFonts w:cs="Times New Roman"/>
          <w:noProof/>
          <w:szCs w:val="24"/>
        </w:rPr>
        <w:t xml:space="preserve"> </w:t>
      </w:r>
      <w:r w:rsidRPr="009241D8">
        <w:rPr>
          <w:rFonts w:cs="Times New Roman"/>
          <w:b/>
          <w:bCs/>
          <w:noProof/>
          <w:szCs w:val="24"/>
        </w:rPr>
        <w:t>97</w:t>
      </w:r>
      <w:r w:rsidRPr="009241D8">
        <w:rPr>
          <w:rFonts w:cs="Times New Roman"/>
          <w:noProof/>
          <w:szCs w:val="24"/>
        </w:rPr>
        <w:t>, 657–9.</w:t>
      </w:r>
    </w:p>
    <w:p w14:paraId="6FCBC3DD"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52. </w:t>
      </w:r>
      <w:r w:rsidRPr="009241D8">
        <w:rPr>
          <w:rFonts w:cs="Times New Roman"/>
          <w:noProof/>
          <w:szCs w:val="24"/>
        </w:rPr>
        <w:tab/>
        <w:t xml:space="preserve">Satia-Abouta J, Patterson RE, King IB, et al. (2003) Reliability and validity of self-report of vitamin and mineral supplement use in the vitamins and lifestyle study. </w:t>
      </w:r>
      <w:r w:rsidRPr="009241D8">
        <w:rPr>
          <w:rFonts w:cs="Times New Roman"/>
          <w:i/>
          <w:iCs/>
          <w:noProof/>
          <w:szCs w:val="24"/>
        </w:rPr>
        <w:t>Am. J. Epidemiol.</w:t>
      </w:r>
      <w:r w:rsidRPr="009241D8">
        <w:rPr>
          <w:rFonts w:cs="Times New Roman"/>
          <w:noProof/>
          <w:szCs w:val="24"/>
        </w:rPr>
        <w:t xml:space="preserve"> </w:t>
      </w:r>
      <w:r w:rsidRPr="009241D8">
        <w:rPr>
          <w:rFonts w:cs="Times New Roman"/>
          <w:b/>
          <w:bCs/>
          <w:noProof/>
          <w:szCs w:val="24"/>
        </w:rPr>
        <w:t>157</w:t>
      </w:r>
      <w:r w:rsidRPr="009241D8">
        <w:rPr>
          <w:rFonts w:cs="Times New Roman"/>
          <w:noProof/>
          <w:szCs w:val="24"/>
        </w:rPr>
        <w:t>, 944–54.</w:t>
      </w:r>
    </w:p>
    <w:p w14:paraId="7725F3C3"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53. </w:t>
      </w:r>
      <w:r w:rsidRPr="009241D8">
        <w:rPr>
          <w:rFonts w:cs="Times New Roman"/>
          <w:noProof/>
          <w:szCs w:val="24"/>
        </w:rPr>
        <w:tab/>
        <w:t xml:space="preserve">White E, Kristal AR, Shikany JM, et al. (2001) Correlates of serum alpha- and gamma-tocopherol in the Women’s Health Initiative. </w:t>
      </w:r>
      <w:r w:rsidRPr="009241D8">
        <w:rPr>
          <w:rFonts w:cs="Times New Roman"/>
          <w:i/>
          <w:iCs/>
          <w:noProof/>
          <w:szCs w:val="24"/>
        </w:rPr>
        <w:t>Ann. Epidemiol.</w:t>
      </w:r>
      <w:r w:rsidRPr="009241D8">
        <w:rPr>
          <w:rFonts w:cs="Times New Roman"/>
          <w:noProof/>
          <w:szCs w:val="24"/>
        </w:rPr>
        <w:t xml:space="preserve"> </w:t>
      </w:r>
      <w:r w:rsidRPr="009241D8">
        <w:rPr>
          <w:rFonts w:cs="Times New Roman"/>
          <w:b/>
          <w:bCs/>
          <w:noProof/>
          <w:szCs w:val="24"/>
        </w:rPr>
        <w:t>11</w:t>
      </w:r>
      <w:r w:rsidRPr="009241D8">
        <w:rPr>
          <w:rFonts w:cs="Times New Roman"/>
          <w:noProof/>
          <w:szCs w:val="24"/>
        </w:rPr>
        <w:t>, 136–44.</w:t>
      </w:r>
    </w:p>
    <w:p w14:paraId="0605710F"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54. </w:t>
      </w:r>
      <w:r w:rsidRPr="009241D8">
        <w:rPr>
          <w:rFonts w:cs="Times New Roman"/>
          <w:noProof/>
          <w:szCs w:val="24"/>
        </w:rPr>
        <w:tab/>
        <w:t xml:space="preserve">Lebold KM, Ang A, Traber MG, et al. (2012) Urinary α-carboxyethyl hydroxychroman can be used as a predictor of α-tocopherol adequacy, as demonstrated in the Energetics Study. </w:t>
      </w:r>
      <w:r w:rsidRPr="009241D8">
        <w:rPr>
          <w:rFonts w:cs="Times New Roman"/>
          <w:i/>
          <w:iCs/>
          <w:noProof/>
          <w:szCs w:val="24"/>
        </w:rPr>
        <w:t>Am. J. Clin. Nutr.</w:t>
      </w:r>
      <w:r w:rsidRPr="009241D8">
        <w:rPr>
          <w:rFonts w:cs="Times New Roman"/>
          <w:noProof/>
          <w:szCs w:val="24"/>
        </w:rPr>
        <w:t xml:space="preserve"> </w:t>
      </w:r>
      <w:r w:rsidRPr="009241D8">
        <w:rPr>
          <w:rFonts w:cs="Times New Roman"/>
          <w:b/>
          <w:bCs/>
          <w:noProof/>
          <w:szCs w:val="24"/>
        </w:rPr>
        <w:t>96</w:t>
      </w:r>
      <w:r w:rsidRPr="009241D8">
        <w:rPr>
          <w:rFonts w:cs="Times New Roman"/>
          <w:noProof/>
          <w:szCs w:val="24"/>
        </w:rPr>
        <w:t>, 801–9.</w:t>
      </w:r>
    </w:p>
    <w:p w14:paraId="19CF119C"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55. </w:t>
      </w:r>
      <w:r w:rsidRPr="009241D8">
        <w:rPr>
          <w:rFonts w:cs="Times New Roman"/>
          <w:noProof/>
          <w:szCs w:val="24"/>
        </w:rPr>
        <w:tab/>
        <w:t xml:space="preserve">Bodner CH, Soutar A, New SA, et al. (1998) Validation of a food frequency questionnaire for use in a Scottish population: correlation of antioxidant vitamin intakes with biochemical measures. </w:t>
      </w:r>
      <w:r w:rsidRPr="009241D8">
        <w:rPr>
          <w:rFonts w:cs="Times New Roman"/>
          <w:i/>
          <w:iCs/>
          <w:noProof/>
          <w:szCs w:val="24"/>
        </w:rPr>
        <w:t>J. Hum. Nutr. Diet.</w:t>
      </w:r>
      <w:r w:rsidRPr="009241D8">
        <w:rPr>
          <w:rFonts w:cs="Times New Roman"/>
          <w:noProof/>
          <w:szCs w:val="24"/>
        </w:rPr>
        <w:t xml:space="preserve"> </w:t>
      </w:r>
      <w:r w:rsidRPr="009241D8">
        <w:rPr>
          <w:rFonts w:cs="Times New Roman"/>
          <w:b/>
          <w:bCs/>
          <w:noProof/>
          <w:szCs w:val="24"/>
        </w:rPr>
        <w:t>11</w:t>
      </w:r>
      <w:r w:rsidRPr="009241D8">
        <w:rPr>
          <w:rFonts w:cs="Times New Roman"/>
          <w:noProof/>
          <w:szCs w:val="24"/>
        </w:rPr>
        <w:t>, 373–380.</w:t>
      </w:r>
    </w:p>
    <w:p w14:paraId="37E35A40"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56. </w:t>
      </w:r>
      <w:r w:rsidRPr="009241D8">
        <w:rPr>
          <w:rFonts w:cs="Times New Roman"/>
          <w:noProof/>
          <w:szCs w:val="24"/>
        </w:rPr>
        <w:tab/>
        <w:t xml:space="preserve">Zhao Y, Monahan FJ, McNulty B a, et al. (2014) Effect of vitamin E intake from food and supplement sources on plasma α- and γ-tocopherol concentrations in a healthy Irish adult population. </w:t>
      </w:r>
      <w:r w:rsidRPr="009241D8">
        <w:rPr>
          <w:rFonts w:cs="Times New Roman"/>
          <w:i/>
          <w:iCs/>
          <w:noProof/>
          <w:szCs w:val="24"/>
        </w:rPr>
        <w:t>Br. J. Nutr.</w:t>
      </w:r>
      <w:r w:rsidRPr="009241D8">
        <w:rPr>
          <w:rFonts w:cs="Times New Roman"/>
          <w:noProof/>
          <w:szCs w:val="24"/>
        </w:rPr>
        <w:t xml:space="preserve"> </w:t>
      </w:r>
      <w:r w:rsidRPr="009241D8">
        <w:rPr>
          <w:rFonts w:cs="Times New Roman"/>
          <w:b/>
          <w:bCs/>
          <w:noProof/>
          <w:szCs w:val="24"/>
        </w:rPr>
        <w:t>112</w:t>
      </w:r>
      <w:r w:rsidRPr="009241D8">
        <w:rPr>
          <w:rFonts w:cs="Times New Roman"/>
          <w:noProof/>
          <w:szCs w:val="24"/>
        </w:rPr>
        <w:t>, 1575–1585.</w:t>
      </w:r>
    </w:p>
    <w:p w14:paraId="280A1527"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57. </w:t>
      </w:r>
      <w:r w:rsidRPr="009241D8">
        <w:rPr>
          <w:rFonts w:cs="Times New Roman"/>
          <w:noProof/>
          <w:szCs w:val="24"/>
        </w:rPr>
        <w:tab/>
        <w:t xml:space="preserve">Zhao Y, Monahan FJ, McNulty BA, et al. (2015) α-Tocopherol Stereoisomers in Human Plasma Are Affected by the Level and Form of the Vitamin E Supplement Used. </w:t>
      </w:r>
      <w:r w:rsidRPr="009241D8">
        <w:rPr>
          <w:rFonts w:cs="Times New Roman"/>
          <w:i/>
          <w:iCs/>
          <w:noProof/>
          <w:szCs w:val="24"/>
        </w:rPr>
        <w:t>J. Nutr.</w:t>
      </w:r>
      <w:r w:rsidRPr="009241D8">
        <w:rPr>
          <w:rFonts w:cs="Times New Roman"/>
          <w:noProof/>
          <w:szCs w:val="24"/>
        </w:rPr>
        <w:t xml:space="preserve"> </w:t>
      </w:r>
      <w:r w:rsidRPr="009241D8">
        <w:rPr>
          <w:rFonts w:cs="Times New Roman"/>
          <w:b/>
          <w:bCs/>
          <w:noProof/>
          <w:szCs w:val="24"/>
        </w:rPr>
        <w:t>145</w:t>
      </w:r>
      <w:r w:rsidRPr="009241D8">
        <w:rPr>
          <w:rFonts w:cs="Times New Roman"/>
          <w:noProof/>
          <w:szCs w:val="24"/>
        </w:rPr>
        <w:t>, 2347–54.</w:t>
      </w:r>
    </w:p>
    <w:p w14:paraId="25DA5315" w14:textId="77777777" w:rsidR="009241D8" w:rsidRPr="00C24620" w:rsidRDefault="009241D8" w:rsidP="009241D8">
      <w:pPr>
        <w:widowControl w:val="0"/>
        <w:autoSpaceDE w:val="0"/>
        <w:autoSpaceDN w:val="0"/>
        <w:adjustRightInd w:val="0"/>
        <w:ind w:left="640" w:hanging="640"/>
        <w:rPr>
          <w:rFonts w:cs="Times New Roman"/>
          <w:noProof/>
          <w:szCs w:val="24"/>
          <w:lang w:val="nl-NL"/>
        </w:rPr>
      </w:pPr>
      <w:r w:rsidRPr="009241D8">
        <w:rPr>
          <w:rFonts w:cs="Times New Roman"/>
          <w:noProof/>
          <w:szCs w:val="24"/>
        </w:rPr>
        <w:t xml:space="preserve">58. </w:t>
      </w:r>
      <w:r w:rsidRPr="009241D8">
        <w:rPr>
          <w:rFonts w:cs="Times New Roman"/>
          <w:noProof/>
          <w:szCs w:val="24"/>
        </w:rPr>
        <w:tab/>
        <w:t xml:space="preserve">Block G, Sinha R &amp; Gridley G (1994) Collection of dietary-supplement data and implications for analysis. </w:t>
      </w:r>
      <w:r w:rsidRPr="00C24620">
        <w:rPr>
          <w:rFonts w:cs="Times New Roman"/>
          <w:i/>
          <w:iCs/>
          <w:noProof/>
          <w:szCs w:val="24"/>
          <w:lang w:val="nl-NL"/>
        </w:rPr>
        <w:t>Am. J. Clin. Nutr.</w:t>
      </w:r>
      <w:r w:rsidRPr="00C24620">
        <w:rPr>
          <w:rFonts w:cs="Times New Roman"/>
          <w:noProof/>
          <w:szCs w:val="24"/>
          <w:lang w:val="nl-NL"/>
        </w:rPr>
        <w:t xml:space="preserve"> </w:t>
      </w:r>
      <w:r w:rsidRPr="00C24620">
        <w:rPr>
          <w:rFonts w:cs="Times New Roman"/>
          <w:b/>
          <w:bCs/>
          <w:noProof/>
          <w:szCs w:val="24"/>
          <w:lang w:val="nl-NL"/>
        </w:rPr>
        <w:t>59</w:t>
      </w:r>
      <w:r w:rsidRPr="00C24620">
        <w:rPr>
          <w:rFonts w:cs="Times New Roman"/>
          <w:noProof/>
          <w:szCs w:val="24"/>
          <w:lang w:val="nl-NL"/>
        </w:rPr>
        <w:t>, 232S–239S.</w:t>
      </w:r>
    </w:p>
    <w:p w14:paraId="43B22545" w14:textId="77777777" w:rsidR="009241D8" w:rsidRPr="009241D8" w:rsidRDefault="009241D8" w:rsidP="009241D8">
      <w:pPr>
        <w:widowControl w:val="0"/>
        <w:autoSpaceDE w:val="0"/>
        <w:autoSpaceDN w:val="0"/>
        <w:adjustRightInd w:val="0"/>
        <w:ind w:left="640" w:hanging="640"/>
        <w:rPr>
          <w:rFonts w:cs="Times New Roman"/>
          <w:noProof/>
          <w:szCs w:val="24"/>
        </w:rPr>
      </w:pPr>
      <w:r w:rsidRPr="00C24620">
        <w:rPr>
          <w:rFonts w:cs="Times New Roman"/>
          <w:noProof/>
          <w:szCs w:val="24"/>
          <w:lang w:val="nl-NL"/>
        </w:rPr>
        <w:t xml:space="preserve">59. </w:t>
      </w:r>
      <w:r w:rsidRPr="00C24620">
        <w:rPr>
          <w:rFonts w:cs="Times New Roman"/>
          <w:noProof/>
          <w:szCs w:val="24"/>
          <w:lang w:val="nl-NL"/>
        </w:rPr>
        <w:tab/>
        <w:t xml:space="preserve">Lentjes MAH, Mulligan AA, Welch AA, et al. </w:t>
      </w:r>
      <w:r w:rsidRPr="009241D8">
        <w:rPr>
          <w:rFonts w:cs="Times New Roman"/>
          <w:noProof/>
          <w:szCs w:val="24"/>
        </w:rPr>
        <w:t xml:space="preserve">(2015) Contribution of cod liver oil-related nutrients (vitamins A, D, E and eicosapentaenoic acid and docosahexaenoic acid) to daily nutrient intake and their associations with plasma concentrations in the EPIC-Norfolk cohort. </w:t>
      </w:r>
      <w:r w:rsidRPr="009241D8">
        <w:rPr>
          <w:rFonts w:cs="Times New Roman"/>
          <w:i/>
          <w:iCs/>
          <w:noProof/>
          <w:szCs w:val="24"/>
        </w:rPr>
        <w:t>J. Hum. Nutr. Diet.</w:t>
      </w:r>
      <w:r w:rsidRPr="009241D8">
        <w:rPr>
          <w:rFonts w:cs="Times New Roman"/>
          <w:noProof/>
          <w:szCs w:val="24"/>
        </w:rPr>
        <w:t xml:space="preserve"> </w:t>
      </w:r>
      <w:r w:rsidRPr="009241D8">
        <w:rPr>
          <w:rFonts w:cs="Times New Roman"/>
          <w:b/>
          <w:bCs/>
          <w:noProof/>
          <w:szCs w:val="24"/>
        </w:rPr>
        <w:t>28</w:t>
      </w:r>
      <w:r w:rsidRPr="009241D8">
        <w:rPr>
          <w:rFonts w:cs="Times New Roman"/>
          <w:noProof/>
          <w:szCs w:val="24"/>
        </w:rPr>
        <w:t>, 568–82.</w:t>
      </w:r>
    </w:p>
    <w:p w14:paraId="244C9D56"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60. </w:t>
      </w:r>
      <w:r w:rsidRPr="009241D8">
        <w:rPr>
          <w:rFonts w:cs="Times New Roman"/>
          <w:noProof/>
          <w:szCs w:val="24"/>
        </w:rPr>
        <w:tab/>
        <w:t xml:space="preserve">Institute of Medicine (IoM) (2000) Dietary Reference Intakes for Vitamin C, Vitamin E, </w:t>
      </w:r>
      <w:r w:rsidRPr="009241D8">
        <w:rPr>
          <w:rFonts w:cs="Times New Roman"/>
          <w:noProof/>
          <w:szCs w:val="24"/>
        </w:rPr>
        <w:lastRenderedPageBreak/>
        <w:t>Selenium and carotenoids. Washington DC: The National Academy Press (NAP).</w:t>
      </w:r>
    </w:p>
    <w:p w14:paraId="2A3CBAD8"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61. </w:t>
      </w:r>
      <w:r w:rsidRPr="009241D8">
        <w:rPr>
          <w:rFonts w:cs="Times New Roman"/>
          <w:noProof/>
          <w:szCs w:val="24"/>
        </w:rPr>
        <w:tab/>
        <w:t xml:space="preserve">Penniston KL &amp; Tanumihardjo SA (2006) The acute and chronic toxic effects of vitamin A. </w:t>
      </w:r>
      <w:r w:rsidRPr="009241D8">
        <w:rPr>
          <w:rFonts w:cs="Times New Roman"/>
          <w:i/>
          <w:iCs/>
          <w:noProof/>
          <w:szCs w:val="24"/>
        </w:rPr>
        <w:t>Am. J. Clin. Nutr.</w:t>
      </w:r>
      <w:r w:rsidRPr="009241D8">
        <w:rPr>
          <w:rFonts w:cs="Times New Roman"/>
          <w:noProof/>
          <w:szCs w:val="24"/>
        </w:rPr>
        <w:t xml:space="preserve"> </w:t>
      </w:r>
      <w:r w:rsidRPr="009241D8">
        <w:rPr>
          <w:rFonts w:cs="Times New Roman"/>
          <w:b/>
          <w:bCs/>
          <w:noProof/>
          <w:szCs w:val="24"/>
        </w:rPr>
        <w:t>83</w:t>
      </w:r>
      <w:r w:rsidRPr="009241D8">
        <w:rPr>
          <w:rFonts w:cs="Times New Roman"/>
          <w:noProof/>
          <w:szCs w:val="24"/>
        </w:rPr>
        <w:t>, 191–201.</w:t>
      </w:r>
    </w:p>
    <w:p w14:paraId="76D8B8B2"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62. </w:t>
      </w:r>
      <w:r w:rsidRPr="009241D8">
        <w:rPr>
          <w:rFonts w:cs="Times New Roman"/>
          <w:noProof/>
          <w:szCs w:val="24"/>
        </w:rPr>
        <w:tab/>
        <w:t xml:space="preserve">Scientific Advisory Committee Nutrition (SACN) &amp; Committee on Toxicity (2004) </w:t>
      </w:r>
      <w:r w:rsidRPr="009241D8">
        <w:rPr>
          <w:rFonts w:cs="Times New Roman"/>
          <w:i/>
          <w:iCs/>
          <w:noProof/>
          <w:szCs w:val="24"/>
        </w:rPr>
        <w:t>Advice on fish consumption: benefits &amp; risks</w:t>
      </w:r>
      <w:r w:rsidRPr="009241D8">
        <w:rPr>
          <w:rFonts w:cs="Times New Roman"/>
          <w:noProof/>
          <w:szCs w:val="24"/>
        </w:rPr>
        <w:t>. London: The Stationery Office (TSO).</w:t>
      </w:r>
    </w:p>
    <w:p w14:paraId="733288C3" w14:textId="77777777" w:rsidR="009241D8" w:rsidRPr="00C24620" w:rsidRDefault="009241D8" w:rsidP="009241D8">
      <w:pPr>
        <w:widowControl w:val="0"/>
        <w:autoSpaceDE w:val="0"/>
        <w:autoSpaceDN w:val="0"/>
        <w:adjustRightInd w:val="0"/>
        <w:ind w:left="640" w:hanging="640"/>
        <w:rPr>
          <w:rFonts w:cs="Times New Roman"/>
          <w:noProof/>
          <w:szCs w:val="24"/>
          <w:lang w:val="nl-NL"/>
        </w:rPr>
      </w:pPr>
      <w:r w:rsidRPr="009241D8">
        <w:rPr>
          <w:rFonts w:cs="Times New Roman"/>
          <w:noProof/>
          <w:szCs w:val="24"/>
        </w:rPr>
        <w:t xml:space="preserve">63. </w:t>
      </w:r>
      <w:r w:rsidRPr="009241D8">
        <w:rPr>
          <w:rFonts w:cs="Times New Roman"/>
          <w:noProof/>
          <w:szCs w:val="24"/>
        </w:rPr>
        <w:tab/>
        <w:t xml:space="preserve">Arterburn LM, Hall EB &amp; Oken H (2006) Distribution, interconversion, and dose response of n-3 fatty acids in humans. </w:t>
      </w:r>
      <w:r w:rsidRPr="00C24620">
        <w:rPr>
          <w:rFonts w:cs="Times New Roman"/>
          <w:i/>
          <w:iCs/>
          <w:noProof/>
          <w:szCs w:val="24"/>
          <w:lang w:val="nl-NL"/>
        </w:rPr>
        <w:t>Am. J. Clin. Nutr.</w:t>
      </w:r>
      <w:r w:rsidRPr="00C24620">
        <w:rPr>
          <w:rFonts w:cs="Times New Roman"/>
          <w:noProof/>
          <w:szCs w:val="24"/>
          <w:lang w:val="nl-NL"/>
        </w:rPr>
        <w:t xml:space="preserve"> </w:t>
      </w:r>
      <w:r w:rsidRPr="00C24620">
        <w:rPr>
          <w:rFonts w:cs="Times New Roman"/>
          <w:b/>
          <w:bCs/>
          <w:noProof/>
          <w:szCs w:val="24"/>
          <w:lang w:val="nl-NL"/>
        </w:rPr>
        <w:t>83</w:t>
      </w:r>
      <w:r w:rsidRPr="00C24620">
        <w:rPr>
          <w:rFonts w:cs="Times New Roman"/>
          <w:noProof/>
          <w:szCs w:val="24"/>
          <w:lang w:val="nl-NL"/>
        </w:rPr>
        <w:t>, 1467S–1476S.</w:t>
      </w:r>
    </w:p>
    <w:p w14:paraId="74B583AB" w14:textId="77777777" w:rsidR="009241D8" w:rsidRPr="009241D8" w:rsidRDefault="009241D8" w:rsidP="009241D8">
      <w:pPr>
        <w:widowControl w:val="0"/>
        <w:autoSpaceDE w:val="0"/>
        <w:autoSpaceDN w:val="0"/>
        <w:adjustRightInd w:val="0"/>
        <w:ind w:left="640" w:hanging="640"/>
        <w:rPr>
          <w:rFonts w:cs="Times New Roman"/>
          <w:noProof/>
          <w:szCs w:val="24"/>
        </w:rPr>
      </w:pPr>
      <w:r w:rsidRPr="00C24620">
        <w:rPr>
          <w:rFonts w:cs="Times New Roman"/>
          <w:noProof/>
          <w:szCs w:val="24"/>
          <w:lang w:val="nl-NL"/>
        </w:rPr>
        <w:t xml:space="preserve">64. </w:t>
      </w:r>
      <w:r w:rsidRPr="00C24620">
        <w:rPr>
          <w:rFonts w:cs="Times New Roman"/>
          <w:noProof/>
          <w:szCs w:val="24"/>
          <w:lang w:val="nl-NL"/>
        </w:rPr>
        <w:tab/>
        <w:t xml:space="preserve">Blonk MC, Bilo HJ, Nauta JJ, et al. </w:t>
      </w:r>
      <w:r w:rsidRPr="009241D8">
        <w:rPr>
          <w:rFonts w:cs="Times New Roman"/>
          <w:noProof/>
          <w:szCs w:val="24"/>
        </w:rPr>
        <w:t xml:space="preserve">(1990) Dose-response effects of fish-oil supplementation in healthy volunteers. </w:t>
      </w:r>
      <w:r w:rsidRPr="009241D8">
        <w:rPr>
          <w:rFonts w:cs="Times New Roman"/>
          <w:i/>
          <w:iCs/>
          <w:noProof/>
          <w:szCs w:val="24"/>
        </w:rPr>
        <w:t>Am. J. Clin. Nutr.</w:t>
      </w:r>
      <w:r w:rsidRPr="009241D8">
        <w:rPr>
          <w:rFonts w:cs="Times New Roman"/>
          <w:noProof/>
          <w:szCs w:val="24"/>
        </w:rPr>
        <w:t xml:space="preserve"> </w:t>
      </w:r>
      <w:r w:rsidRPr="009241D8">
        <w:rPr>
          <w:rFonts w:cs="Times New Roman"/>
          <w:b/>
          <w:bCs/>
          <w:noProof/>
          <w:szCs w:val="24"/>
        </w:rPr>
        <w:t>52</w:t>
      </w:r>
      <w:r w:rsidRPr="009241D8">
        <w:rPr>
          <w:rFonts w:cs="Times New Roman"/>
          <w:noProof/>
          <w:szCs w:val="24"/>
        </w:rPr>
        <w:t>, 120–7.</w:t>
      </w:r>
    </w:p>
    <w:p w14:paraId="72892770"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65. </w:t>
      </w:r>
      <w:r w:rsidRPr="009241D8">
        <w:rPr>
          <w:rFonts w:cs="Times New Roman"/>
          <w:noProof/>
          <w:szCs w:val="24"/>
        </w:rPr>
        <w:tab/>
        <w:t xml:space="preserve">Browning LM, Walker CG, Mander AP, et al. (2012) Incorporation of eicosapentaenoic and docosahexaenoic acids into lipid pools when given as supplements providing doses equivalent to typical intakes of oily fish. </w:t>
      </w:r>
      <w:r w:rsidRPr="009241D8">
        <w:rPr>
          <w:rFonts w:cs="Times New Roman"/>
          <w:i/>
          <w:iCs/>
          <w:noProof/>
          <w:szCs w:val="24"/>
        </w:rPr>
        <w:t>Am. J. Clin. Nutr.</w:t>
      </w:r>
      <w:r w:rsidRPr="009241D8">
        <w:rPr>
          <w:rFonts w:cs="Times New Roman"/>
          <w:noProof/>
          <w:szCs w:val="24"/>
        </w:rPr>
        <w:t xml:space="preserve"> </w:t>
      </w:r>
      <w:r w:rsidRPr="009241D8">
        <w:rPr>
          <w:rFonts w:cs="Times New Roman"/>
          <w:b/>
          <w:bCs/>
          <w:noProof/>
          <w:szCs w:val="24"/>
        </w:rPr>
        <w:t>96</w:t>
      </w:r>
      <w:r w:rsidRPr="009241D8">
        <w:rPr>
          <w:rFonts w:cs="Times New Roman"/>
          <w:noProof/>
          <w:szCs w:val="24"/>
        </w:rPr>
        <w:t>, 748–758.</w:t>
      </w:r>
    </w:p>
    <w:p w14:paraId="12BAD852"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66. </w:t>
      </w:r>
      <w:r w:rsidRPr="009241D8">
        <w:rPr>
          <w:rFonts w:cs="Times New Roman"/>
          <w:noProof/>
          <w:szCs w:val="24"/>
        </w:rPr>
        <w:tab/>
        <w:t xml:space="preserve">Mozaffarian D, Lemaitre RN, King IB, et al. (2013) Plasma phospholipid long-chain ω-3 fatty acids and total and cause-specific mortality in older adults: a cohort study. </w:t>
      </w:r>
      <w:r w:rsidRPr="009241D8">
        <w:rPr>
          <w:rFonts w:cs="Times New Roman"/>
          <w:i/>
          <w:iCs/>
          <w:noProof/>
          <w:szCs w:val="24"/>
        </w:rPr>
        <w:t>Ann. Intern. Med.</w:t>
      </w:r>
      <w:r w:rsidRPr="009241D8">
        <w:rPr>
          <w:rFonts w:cs="Times New Roman"/>
          <w:noProof/>
          <w:szCs w:val="24"/>
        </w:rPr>
        <w:t xml:space="preserve"> </w:t>
      </w:r>
      <w:r w:rsidRPr="009241D8">
        <w:rPr>
          <w:rFonts w:cs="Times New Roman"/>
          <w:b/>
          <w:bCs/>
          <w:noProof/>
          <w:szCs w:val="24"/>
        </w:rPr>
        <w:t>158</w:t>
      </w:r>
      <w:r w:rsidRPr="009241D8">
        <w:rPr>
          <w:rFonts w:cs="Times New Roman"/>
          <w:noProof/>
          <w:szCs w:val="24"/>
        </w:rPr>
        <w:t>, 515–25.</w:t>
      </w:r>
    </w:p>
    <w:p w14:paraId="2509732B"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67. </w:t>
      </w:r>
      <w:r w:rsidRPr="009241D8">
        <w:rPr>
          <w:rFonts w:cs="Times New Roman"/>
          <w:noProof/>
          <w:szCs w:val="24"/>
        </w:rPr>
        <w:tab/>
        <w:t xml:space="preserve">Mozaffarian D, Bryson CL, Lemaitre RN, et al. (2005) Fish intake and risk of incident heart failure. </w:t>
      </w:r>
      <w:r w:rsidRPr="009241D8">
        <w:rPr>
          <w:rFonts w:cs="Times New Roman"/>
          <w:i/>
          <w:iCs/>
          <w:noProof/>
          <w:szCs w:val="24"/>
        </w:rPr>
        <w:t>J. Am. Coll. Cardiol.</w:t>
      </w:r>
      <w:r w:rsidRPr="009241D8">
        <w:rPr>
          <w:rFonts w:cs="Times New Roman"/>
          <w:noProof/>
          <w:szCs w:val="24"/>
        </w:rPr>
        <w:t xml:space="preserve"> </w:t>
      </w:r>
      <w:r w:rsidRPr="009241D8">
        <w:rPr>
          <w:rFonts w:cs="Times New Roman"/>
          <w:b/>
          <w:bCs/>
          <w:noProof/>
          <w:szCs w:val="24"/>
        </w:rPr>
        <w:t>45</w:t>
      </w:r>
      <w:r w:rsidRPr="009241D8">
        <w:rPr>
          <w:rFonts w:cs="Times New Roman"/>
          <w:noProof/>
          <w:szCs w:val="24"/>
        </w:rPr>
        <w:t>, 2015–21.</w:t>
      </w:r>
    </w:p>
    <w:p w14:paraId="769406FE"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68. </w:t>
      </w:r>
      <w:r w:rsidRPr="009241D8">
        <w:rPr>
          <w:rFonts w:cs="Times New Roman"/>
          <w:noProof/>
          <w:szCs w:val="24"/>
        </w:rPr>
        <w:tab/>
        <w:t xml:space="preserve">Schuchardt JP &amp; Hahn A (2013) Bioavailability of long-chain omega-3 fatty acids. </w:t>
      </w:r>
      <w:r w:rsidRPr="009241D8">
        <w:rPr>
          <w:rFonts w:cs="Times New Roman"/>
          <w:i/>
          <w:iCs/>
          <w:noProof/>
          <w:szCs w:val="24"/>
        </w:rPr>
        <w:t>Prostaglandins Leukot. Essent. Fat. Acids</w:t>
      </w:r>
      <w:r w:rsidRPr="009241D8">
        <w:rPr>
          <w:rFonts w:cs="Times New Roman"/>
          <w:noProof/>
          <w:szCs w:val="24"/>
        </w:rPr>
        <w:t xml:space="preserve"> </w:t>
      </w:r>
      <w:r w:rsidRPr="009241D8">
        <w:rPr>
          <w:rFonts w:cs="Times New Roman"/>
          <w:b/>
          <w:bCs/>
          <w:noProof/>
          <w:szCs w:val="24"/>
        </w:rPr>
        <w:t>89</w:t>
      </w:r>
      <w:r w:rsidRPr="009241D8">
        <w:rPr>
          <w:rFonts w:cs="Times New Roman"/>
          <w:noProof/>
          <w:szCs w:val="24"/>
        </w:rPr>
        <w:t>, 1–8. Elsevier.</w:t>
      </w:r>
    </w:p>
    <w:p w14:paraId="27DD3E54"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69. </w:t>
      </w:r>
      <w:r w:rsidRPr="009241D8">
        <w:rPr>
          <w:rFonts w:cs="Times New Roman"/>
          <w:noProof/>
          <w:szCs w:val="24"/>
        </w:rPr>
        <w:tab/>
        <w:t xml:space="preserve">Ghasemifard S, Turchini GM &amp; Sinclair AJ (2014) Omega-3 long chain fatty acid ‘bioavailability’: A review of evidence and methodological considerations. </w:t>
      </w:r>
      <w:r w:rsidRPr="009241D8">
        <w:rPr>
          <w:rFonts w:cs="Times New Roman"/>
          <w:i/>
          <w:iCs/>
          <w:noProof/>
          <w:szCs w:val="24"/>
        </w:rPr>
        <w:t>Prog. Lipid Res.</w:t>
      </w:r>
      <w:r w:rsidRPr="009241D8">
        <w:rPr>
          <w:rFonts w:cs="Times New Roman"/>
          <w:noProof/>
          <w:szCs w:val="24"/>
        </w:rPr>
        <w:t xml:space="preserve"> </w:t>
      </w:r>
      <w:r w:rsidRPr="009241D8">
        <w:rPr>
          <w:rFonts w:cs="Times New Roman"/>
          <w:b/>
          <w:bCs/>
          <w:noProof/>
          <w:szCs w:val="24"/>
        </w:rPr>
        <w:t>56</w:t>
      </w:r>
      <w:r w:rsidRPr="009241D8">
        <w:rPr>
          <w:rFonts w:cs="Times New Roman"/>
          <w:noProof/>
          <w:szCs w:val="24"/>
        </w:rPr>
        <w:t>, 92–108. Elsevier Ltd.</w:t>
      </w:r>
    </w:p>
    <w:p w14:paraId="6DACE053"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70. </w:t>
      </w:r>
      <w:r w:rsidRPr="009241D8">
        <w:rPr>
          <w:rFonts w:cs="Times New Roman"/>
          <w:noProof/>
          <w:szCs w:val="24"/>
        </w:rPr>
        <w:tab/>
        <w:t xml:space="preserve">Browning LM, Walker CG, Mander AP, et al. (2014) Compared with daily, weekly n-3 PUFA intake affects the incorporation of eicosapentaenoic acid and docosahexaenoic acid into platelets and mononuclear cells in humans. </w:t>
      </w:r>
      <w:r w:rsidRPr="009241D8">
        <w:rPr>
          <w:rFonts w:cs="Times New Roman"/>
          <w:i/>
          <w:iCs/>
          <w:noProof/>
          <w:szCs w:val="24"/>
        </w:rPr>
        <w:t>J. Nutr.</w:t>
      </w:r>
      <w:r w:rsidRPr="009241D8">
        <w:rPr>
          <w:rFonts w:cs="Times New Roman"/>
          <w:noProof/>
          <w:szCs w:val="24"/>
        </w:rPr>
        <w:t xml:space="preserve"> </w:t>
      </w:r>
      <w:r w:rsidRPr="009241D8">
        <w:rPr>
          <w:rFonts w:cs="Times New Roman"/>
          <w:b/>
          <w:bCs/>
          <w:noProof/>
          <w:szCs w:val="24"/>
        </w:rPr>
        <w:t>144</w:t>
      </w:r>
      <w:r w:rsidRPr="009241D8">
        <w:rPr>
          <w:rFonts w:cs="Times New Roman"/>
          <w:noProof/>
          <w:szCs w:val="24"/>
        </w:rPr>
        <w:t>, 667–72.</w:t>
      </w:r>
    </w:p>
    <w:p w14:paraId="1C26B8C1"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71. </w:t>
      </w:r>
      <w:r w:rsidRPr="009241D8">
        <w:rPr>
          <w:rFonts w:cs="Times New Roman"/>
          <w:noProof/>
          <w:szCs w:val="24"/>
        </w:rPr>
        <w:tab/>
        <w:t xml:space="preserve">Midttun Ø, Theofylaktopoulou D, McCann A, et al. (2017) Circulating concentrations of biomarkers and metabolites related to vitamin status, one-carbon and the kynurenine pathways in US, Nordic, Asian, and Australian populations. </w:t>
      </w:r>
      <w:r w:rsidRPr="009241D8">
        <w:rPr>
          <w:rFonts w:cs="Times New Roman"/>
          <w:i/>
          <w:iCs/>
          <w:noProof/>
          <w:szCs w:val="24"/>
        </w:rPr>
        <w:t>Am. J. Clin. Nutr.</w:t>
      </w:r>
      <w:r w:rsidRPr="009241D8">
        <w:rPr>
          <w:rFonts w:cs="Times New Roman"/>
          <w:noProof/>
          <w:szCs w:val="24"/>
        </w:rPr>
        <w:t>, ajcn151241.</w:t>
      </w:r>
    </w:p>
    <w:p w14:paraId="148A8D79"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72. </w:t>
      </w:r>
      <w:r w:rsidRPr="009241D8">
        <w:rPr>
          <w:rFonts w:cs="Times New Roman"/>
          <w:noProof/>
          <w:szCs w:val="24"/>
        </w:rPr>
        <w:tab/>
        <w:t xml:space="preserve">Hyppönen E &amp; Power C (2007) Hypovitaminosis D in British adults at age 45 y: nationwide cohort study of dietary and lifestyle predictors. </w:t>
      </w:r>
      <w:r w:rsidRPr="009241D8">
        <w:rPr>
          <w:rFonts w:cs="Times New Roman"/>
          <w:i/>
          <w:iCs/>
          <w:noProof/>
          <w:szCs w:val="24"/>
        </w:rPr>
        <w:t>Am. J. Clin. Nutr.</w:t>
      </w:r>
      <w:r w:rsidRPr="009241D8">
        <w:rPr>
          <w:rFonts w:cs="Times New Roman"/>
          <w:noProof/>
          <w:szCs w:val="24"/>
        </w:rPr>
        <w:t xml:space="preserve"> </w:t>
      </w:r>
      <w:r w:rsidRPr="009241D8">
        <w:rPr>
          <w:rFonts w:cs="Times New Roman"/>
          <w:b/>
          <w:bCs/>
          <w:noProof/>
          <w:szCs w:val="24"/>
        </w:rPr>
        <w:t>85</w:t>
      </w:r>
      <w:r w:rsidRPr="009241D8">
        <w:rPr>
          <w:rFonts w:cs="Times New Roman"/>
          <w:noProof/>
          <w:szCs w:val="24"/>
        </w:rPr>
        <w:t>, 860–8.</w:t>
      </w:r>
    </w:p>
    <w:p w14:paraId="226207C4"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lastRenderedPageBreak/>
        <w:t xml:space="preserve">73. </w:t>
      </w:r>
      <w:r w:rsidRPr="009241D8">
        <w:rPr>
          <w:rFonts w:cs="Times New Roman"/>
          <w:noProof/>
          <w:szCs w:val="24"/>
        </w:rPr>
        <w:tab/>
        <w:t xml:space="preserve">Patterson RE, White E, Kristal AR, et al. (1997) Vitamin supplements and cancer risk: the epidemiologic evidence. </w:t>
      </w:r>
      <w:r w:rsidRPr="009241D8">
        <w:rPr>
          <w:rFonts w:cs="Times New Roman"/>
          <w:i/>
          <w:iCs/>
          <w:noProof/>
          <w:szCs w:val="24"/>
        </w:rPr>
        <w:t>Cancer Causes Control</w:t>
      </w:r>
      <w:r w:rsidRPr="009241D8">
        <w:rPr>
          <w:rFonts w:cs="Times New Roman"/>
          <w:noProof/>
          <w:szCs w:val="24"/>
        </w:rPr>
        <w:t xml:space="preserve"> </w:t>
      </w:r>
      <w:r w:rsidRPr="009241D8">
        <w:rPr>
          <w:rFonts w:cs="Times New Roman"/>
          <w:b/>
          <w:bCs/>
          <w:noProof/>
          <w:szCs w:val="24"/>
        </w:rPr>
        <w:t>8</w:t>
      </w:r>
      <w:r w:rsidRPr="009241D8">
        <w:rPr>
          <w:rFonts w:cs="Times New Roman"/>
          <w:noProof/>
          <w:szCs w:val="24"/>
        </w:rPr>
        <w:t>, 786–802.</w:t>
      </w:r>
    </w:p>
    <w:p w14:paraId="25D0B582"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74. </w:t>
      </w:r>
      <w:r w:rsidRPr="009241D8">
        <w:rPr>
          <w:rFonts w:cs="Times New Roman"/>
          <w:noProof/>
          <w:szCs w:val="24"/>
        </w:rPr>
        <w:tab/>
        <w:t xml:space="preserve">Byers TE (2000) Nutrition and cancer: ten lessons from the 20th century. </w:t>
      </w:r>
      <w:r w:rsidRPr="009241D8">
        <w:rPr>
          <w:rFonts w:cs="Times New Roman"/>
          <w:i/>
          <w:iCs/>
          <w:noProof/>
          <w:szCs w:val="24"/>
        </w:rPr>
        <w:t>Nutrition</w:t>
      </w:r>
      <w:r w:rsidRPr="009241D8">
        <w:rPr>
          <w:rFonts w:cs="Times New Roman"/>
          <w:noProof/>
          <w:szCs w:val="24"/>
        </w:rPr>
        <w:t xml:space="preserve"> </w:t>
      </w:r>
      <w:r w:rsidRPr="009241D8">
        <w:rPr>
          <w:rFonts w:cs="Times New Roman"/>
          <w:b/>
          <w:bCs/>
          <w:noProof/>
          <w:szCs w:val="24"/>
        </w:rPr>
        <w:t>16</w:t>
      </w:r>
      <w:r w:rsidRPr="009241D8">
        <w:rPr>
          <w:rFonts w:cs="Times New Roman"/>
          <w:noProof/>
          <w:szCs w:val="24"/>
        </w:rPr>
        <w:t>, 561–3.</w:t>
      </w:r>
    </w:p>
    <w:p w14:paraId="52D004C2"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75. </w:t>
      </w:r>
      <w:r w:rsidRPr="009241D8">
        <w:rPr>
          <w:rFonts w:cs="Times New Roman"/>
          <w:noProof/>
          <w:szCs w:val="24"/>
        </w:rPr>
        <w:tab/>
        <w:t xml:space="preserve">Huang H, Caballero B, Chang S, et al. (2006) The efficacy and safety of multivitamin and mineral supplement use to prevent cancer and chronic disease in adults: a systematic review for a National Institutes of Health state-of-the-science conference. </w:t>
      </w:r>
      <w:r w:rsidRPr="009241D8">
        <w:rPr>
          <w:rFonts w:cs="Times New Roman"/>
          <w:i/>
          <w:iCs/>
          <w:noProof/>
          <w:szCs w:val="24"/>
        </w:rPr>
        <w:t>Ann. Intern. Med.</w:t>
      </w:r>
      <w:r w:rsidRPr="009241D8">
        <w:rPr>
          <w:rFonts w:cs="Times New Roman"/>
          <w:noProof/>
          <w:szCs w:val="24"/>
        </w:rPr>
        <w:t xml:space="preserve"> </w:t>
      </w:r>
      <w:r w:rsidRPr="009241D8">
        <w:rPr>
          <w:rFonts w:cs="Times New Roman"/>
          <w:b/>
          <w:bCs/>
          <w:noProof/>
          <w:szCs w:val="24"/>
        </w:rPr>
        <w:t>145</w:t>
      </w:r>
      <w:r w:rsidRPr="009241D8">
        <w:rPr>
          <w:rFonts w:cs="Times New Roman"/>
          <w:noProof/>
          <w:szCs w:val="24"/>
        </w:rPr>
        <w:t>, 372–85.</w:t>
      </w:r>
    </w:p>
    <w:p w14:paraId="115359BA"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76. </w:t>
      </w:r>
      <w:r w:rsidRPr="009241D8">
        <w:rPr>
          <w:rFonts w:cs="Times New Roman"/>
          <w:noProof/>
          <w:szCs w:val="24"/>
        </w:rPr>
        <w:tab/>
        <w:t xml:space="preserve">Marik PE &amp; Flemmer M (2012) Do Dietary Supplements Have Beneficial Health Effects in Industrialized Nations? What Is the Evidence? Response to Letter From Mister and Hathcock. </w:t>
      </w:r>
      <w:r w:rsidRPr="009241D8">
        <w:rPr>
          <w:rFonts w:cs="Times New Roman"/>
          <w:i/>
          <w:iCs/>
          <w:noProof/>
          <w:szCs w:val="24"/>
        </w:rPr>
        <w:t>J. Parenter. Enter. Nutr.</w:t>
      </w:r>
      <w:r w:rsidRPr="009241D8">
        <w:rPr>
          <w:rFonts w:cs="Times New Roman"/>
          <w:noProof/>
          <w:szCs w:val="24"/>
        </w:rPr>
        <w:t xml:space="preserve"> </w:t>
      </w:r>
      <w:r w:rsidRPr="009241D8">
        <w:rPr>
          <w:rFonts w:cs="Times New Roman"/>
          <w:b/>
          <w:bCs/>
          <w:noProof/>
          <w:szCs w:val="24"/>
        </w:rPr>
        <w:t>36</w:t>
      </w:r>
      <w:r w:rsidRPr="009241D8">
        <w:rPr>
          <w:rFonts w:cs="Times New Roman"/>
          <w:noProof/>
          <w:szCs w:val="24"/>
        </w:rPr>
        <w:t>, 266–266.</w:t>
      </w:r>
    </w:p>
    <w:p w14:paraId="45A5E07A"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77. </w:t>
      </w:r>
      <w:r w:rsidRPr="009241D8">
        <w:rPr>
          <w:rFonts w:cs="Times New Roman"/>
          <w:noProof/>
          <w:szCs w:val="24"/>
        </w:rPr>
        <w:tab/>
        <w:t xml:space="preserve">Taylor PR &amp; Greenwald P (2005) Nutritional interventions in cancer prevention. </w:t>
      </w:r>
      <w:r w:rsidRPr="009241D8">
        <w:rPr>
          <w:rFonts w:cs="Times New Roman"/>
          <w:i/>
          <w:iCs/>
          <w:noProof/>
          <w:szCs w:val="24"/>
        </w:rPr>
        <w:t>J. Clin. Oncol.</w:t>
      </w:r>
      <w:r w:rsidRPr="009241D8">
        <w:rPr>
          <w:rFonts w:cs="Times New Roman"/>
          <w:noProof/>
          <w:szCs w:val="24"/>
        </w:rPr>
        <w:t xml:space="preserve"> </w:t>
      </w:r>
      <w:r w:rsidRPr="009241D8">
        <w:rPr>
          <w:rFonts w:cs="Times New Roman"/>
          <w:b/>
          <w:bCs/>
          <w:noProof/>
          <w:szCs w:val="24"/>
        </w:rPr>
        <w:t>23</w:t>
      </w:r>
      <w:r w:rsidRPr="009241D8">
        <w:rPr>
          <w:rFonts w:cs="Times New Roman"/>
          <w:noProof/>
          <w:szCs w:val="24"/>
        </w:rPr>
        <w:t>, 333–45.</w:t>
      </w:r>
    </w:p>
    <w:p w14:paraId="07A19319"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78. </w:t>
      </w:r>
      <w:r w:rsidRPr="009241D8">
        <w:rPr>
          <w:rFonts w:cs="Times New Roman"/>
          <w:noProof/>
          <w:szCs w:val="24"/>
        </w:rPr>
        <w:tab/>
        <w:t xml:space="preserve">Greenwald P, Anderson D, Nelson SA, et al. (2007) Clinical trials of vitamin and mineral supplements for cancer prevention. </w:t>
      </w:r>
      <w:r w:rsidRPr="009241D8">
        <w:rPr>
          <w:rFonts w:cs="Times New Roman"/>
          <w:i/>
          <w:iCs/>
          <w:noProof/>
          <w:szCs w:val="24"/>
        </w:rPr>
        <w:t>Am. J. Clin. Nutr.</w:t>
      </w:r>
      <w:r w:rsidRPr="009241D8">
        <w:rPr>
          <w:rFonts w:cs="Times New Roman"/>
          <w:noProof/>
          <w:szCs w:val="24"/>
        </w:rPr>
        <w:t xml:space="preserve"> </w:t>
      </w:r>
      <w:r w:rsidRPr="009241D8">
        <w:rPr>
          <w:rFonts w:cs="Times New Roman"/>
          <w:b/>
          <w:bCs/>
          <w:noProof/>
          <w:szCs w:val="24"/>
        </w:rPr>
        <w:t>85</w:t>
      </w:r>
      <w:r w:rsidRPr="009241D8">
        <w:rPr>
          <w:rFonts w:cs="Times New Roman"/>
          <w:noProof/>
          <w:szCs w:val="24"/>
        </w:rPr>
        <w:t>, 314S–317S.</w:t>
      </w:r>
    </w:p>
    <w:p w14:paraId="5C94D356"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79. </w:t>
      </w:r>
      <w:r w:rsidRPr="009241D8">
        <w:rPr>
          <w:rFonts w:cs="Times New Roman"/>
          <w:noProof/>
          <w:szCs w:val="24"/>
        </w:rPr>
        <w:tab/>
        <w:t xml:space="preserve">Patterson RE, Neuhouser ML, White E, et al. (1998) Measurement error from assessing use of vitamin supplements at one point in time. </w:t>
      </w:r>
      <w:r w:rsidRPr="009241D8">
        <w:rPr>
          <w:rFonts w:cs="Times New Roman"/>
          <w:i/>
          <w:iCs/>
          <w:noProof/>
          <w:szCs w:val="24"/>
        </w:rPr>
        <w:t>Epidemiology</w:t>
      </w:r>
      <w:r w:rsidRPr="009241D8">
        <w:rPr>
          <w:rFonts w:cs="Times New Roman"/>
          <w:noProof/>
          <w:szCs w:val="24"/>
        </w:rPr>
        <w:t xml:space="preserve"> </w:t>
      </w:r>
      <w:r w:rsidRPr="009241D8">
        <w:rPr>
          <w:rFonts w:cs="Times New Roman"/>
          <w:b/>
          <w:bCs/>
          <w:noProof/>
          <w:szCs w:val="24"/>
        </w:rPr>
        <w:t>9</w:t>
      </w:r>
      <w:r w:rsidRPr="009241D8">
        <w:rPr>
          <w:rFonts w:cs="Times New Roman"/>
          <w:noProof/>
          <w:szCs w:val="24"/>
        </w:rPr>
        <w:t>, 567–9.</w:t>
      </w:r>
    </w:p>
    <w:p w14:paraId="547C7F5B" w14:textId="77777777" w:rsidR="009241D8" w:rsidRPr="00C24620" w:rsidRDefault="009241D8" w:rsidP="009241D8">
      <w:pPr>
        <w:widowControl w:val="0"/>
        <w:autoSpaceDE w:val="0"/>
        <w:autoSpaceDN w:val="0"/>
        <w:adjustRightInd w:val="0"/>
        <w:ind w:left="640" w:hanging="640"/>
        <w:rPr>
          <w:rFonts w:cs="Times New Roman"/>
          <w:noProof/>
          <w:szCs w:val="24"/>
          <w:lang w:val="nl-NL"/>
        </w:rPr>
      </w:pPr>
      <w:r w:rsidRPr="009241D8">
        <w:rPr>
          <w:rFonts w:cs="Times New Roman"/>
          <w:noProof/>
          <w:szCs w:val="24"/>
        </w:rPr>
        <w:t xml:space="preserve">80. </w:t>
      </w:r>
      <w:r w:rsidRPr="009241D8">
        <w:rPr>
          <w:rFonts w:cs="Times New Roman"/>
          <w:noProof/>
          <w:szCs w:val="24"/>
        </w:rPr>
        <w:tab/>
        <w:t xml:space="preserve">Bailey RL, Fakhouri TH, Park Y, et al. (2015) Multivitamin-Mineral Use Is Associated with Reduced Risk of Cardiovascular Disease Mortality among Women in the United States. </w:t>
      </w:r>
      <w:r w:rsidRPr="00C24620">
        <w:rPr>
          <w:rFonts w:cs="Times New Roman"/>
          <w:i/>
          <w:iCs/>
          <w:noProof/>
          <w:szCs w:val="24"/>
          <w:lang w:val="nl-NL"/>
        </w:rPr>
        <w:t>J. Nutr.</w:t>
      </w:r>
      <w:r w:rsidRPr="00C24620">
        <w:rPr>
          <w:rFonts w:cs="Times New Roman"/>
          <w:noProof/>
          <w:szCs w:val="24"/>
          <w:lang w:val="nl-NL"/>
        </w:rPr>
        <w:t xml:space="preserve"> </w:t>
      </w:r>
      <w:r w:rsidRPr="00C24620">
        <w:rPr>
          <w:rFonts w:cs="Times New Roman"/>
          <w:b/>
          <w:bCs/>
          <w:noProof/>
          <w:szCs w:val="24"/>
          <w:lang w:val="nl-NL"/>
        </w:rPr>
        <w:t>145</w:t>
      </w:r>
      <w:r w:rsidRPr="00C24620">
        <w:rPr>
          <w:rFonts w:cs="Times New Roman"/>
          <w:noProof/>
          <w:szCs w:val="24"/>
          <w:lang w:val="nl-NL"/>
        </w:rPr>
        <w:t>, 572–578.</w:t>
      </w:r>
    </w:p>
    <w:p w14:paraId="472E9C3A" w14:textId="77777777" w:rsidR="009241D8" w:rsidRPr="009241D8" w:rsidRDefault="009241D8" w:rsidP="009241D8">
      <w:pPr>
        <w:widowControl w:val="0"/>
        <w:autoSpaceDE w:val="0"/>
        <w:autoSpaceDN w:val="0"/>
        <w:adjustRightInd w:val="0"/>
        <w:ind w:left="640" w:hanging="640"/>
        <w:rPr>
          <w:rFonts w:cs="Times New Roman"/>
          <w:noProof/>
          <w:szCs w:val="24"/>
        </w:rPr>
      </w:pPr>
      <w:r w:rsidRPr="00C24620">
        <w:rPr>
          <w:rFonts w:cs="Times New Roman"/>
          <w:noProof/>
          <w:szCs w:val="24"/>
          <w:lang w:val="nl-NL"/>
        </w:rPr>
        <w:t xml:space="preserve">81. </w:t>
      </w:r>
      <w:r w:rsidRPr="00C24620">
        <w:rPr>
          <w:rFonts w:cs="Times New Roman"/>
          <w:noProof/>
          <w:szCs w:val="24"/>
          <w:lang w:val="nl-NL"/>
        </w:rPr>
        <w:tab/>
        <w:t xml:space="preserve">Manson JE, Gaziano JM, Spelsberg A, et al. </w:t>
      </w:r>
      <w:r w:rsidRPr="009241D8">
        <w:rPr>
          <w:rFonts w:cs="Times New Roman"/>
          <w:noProof/>
          <w:szCs w:val="24"/>
        </w:rPr>
        <w:t xml:space="preserve">(1995) A secondary prevention trial of antioxidant vitamins and cardiovascular disease in women. Rationale, design, and methods. The WACS Research Group. </w:t>
      </w:r>
      <w:r w:rsidRPr="009241D8">
        <w:rPr>
          <w:rFonts w:cs="Times New Roman"/>
          <w:i/>
          <w:iCs/>
          <w:noProof/>
          <w:szCs w:val="24"/>
        </w:rPr>
        <w:t>Ann. Epidemiol.</w:t>
      </w:r>
      <w:r w:rsidRPr="009241D8">
        <w:rPr>
          <w:rFonts w:cs="Times New Roman"/>
          <w:noProof/>
          <w:szCs w:val="24"/>
        </w:rPr>
        <w:t xml:space="preserve"> </w:t>
      </w:r>
      <w:r w:rsidRPr="009241D8">
        <w:rPr>
          <w:rFonts w:cs="Times New Roman"/>
          <w:b/>
          <w:bCs/>
          <w:noProof/>
          <w:szCs w:val="24"/>
        </w:rPr>
        <w:t>5</w:t>
      </w:r>
      <w:r w:rsidRPr="009241D8">
        <w:rPr>
          <w:rFonts w:cs="Times New Roman"/>
          <w:noProof/>
          <w:szCs w:val="24"/>
        </w:rPr>
        <w:t>, 261–269.</w:t>
      </w:r>
    </w:p>
    <w:p w14:paraId="622C3290"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82. </w:t>
      </w:r>
      <w:r w:rsidRPr="009241D8">
        <w:rPr>
          <w:rFonts w:cs="Times New Roman"/>
          <w:noProof/>
          <w:szCs w:val="24"/>
        </w:rPr>
        <w:tab/>
        <w:t xml:space="preserve">Radimer K, Bindewald B, Hughes J, et al. (2004) Dietary supplement use by US adults: data from the National Health and Nutrition Examination Survey, 1999-2000. </w:t>
      </w:r>
      <w:r w:rsidRPr="009241D8">
        <w:rPr>
          <w:rFonts w:cs="Times New Roman"/>
          <w:i/>
          <w:iCs/>
          <w:noProof/>
          <w:szCs w:val="24"/>
        </w:rPr>
        <w:t>Am. J. Epidemiol.</w:t>
      </w:r>
      <w:r w:rsidRPr="009241D8">
        <w:rPr>
          <w:rFonts w:cs="Times New Roman"/>
          <w:noProof/>
          <w:szCs w:val="24"/>
        </w:rPr>
        <w:t xml:space="preserve"> </w:t>
      </w:r>
      <w:r w:rsidRPr="009241D8">
        <w:rPr>
          <w:rFonts w:cs="Times New Roman"/>
          <w:b/>
          <w:bCs/>
          <w:noProof/>
          <w:szCs w:val="24"/>
        </w:rPr>
        <w:t>160</w:t>
      </w:r>
      <w:r w:rsidRPr="009241D8">
        <w:rPr>
          <w:rFonts w:cs="Times New Roman"/>
          <w:noProof/>
          <w:szCs w:val="24"/>
        </w:rPr>
        <w:t>, 339–49.</w:t>
      </w:r>
    </w:p>
    <w:p w14:paraId="549CA1D1"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83. </w:t>
      </w:r>
      <w:r w:rsidRPr="009241D8">
        <w:rPr>
          <w:rFonts w:cs="Times New Roman"/>
          <w:noProof/>
          <w:szCs w:val="24"/>
        </w:rPr>
        <w:tab/>
        <w:t xml:space="preserve">Mulholland CA &amp; Benford DJ (2007) What is known about the safety of multivitamin-multimineral supplements for the generally healthy population? Theoretical basis for harm. </w:t>
      </w:r>
      <w:r w:rsidRPr="009241D8">
        <w:rPr>
          <w:rFonts w:cs="Times New Roman"/>
          <w:i/>
          <w:iCs/>
          <w:noProof/>
          <w:szCs w:val="24"/>
        </w:rPr>
        <w:t>Am J Clin Nutr</w:t>
      </w:r>
      <w:r w:rsidRPr="009241D8">
        <w:rPr>
          <w:rFonts w:cs="Times New Roman"/>
          <w:noProof/>
          <w:szCs w:val="24"/>
        </w:rPr>
        <w:t xml:space="preserve"> </w:t>
      </w:r>
      <w:r w:rsidRPr="009241D8">
        <w:rPr>
          <w:rFonts w:cs="Times New Roman"/>
          <w:b/>
          <w:bCs/>
          <w:noProof/>
          <w:szCs w:val="24"/>
        </w:rPr>
        <w:t>85</w:t>
      </w:r>
      <w:r w:rsidRPr="009241D8">
        <w:rPr>
          <w:rFonts w:cs="Times New Roman"/>
          <w:noProof/>
          <w:szCs w:val="24"/>
        </w:rPr>
        <w:t>, 318S–322S.</w:t>
      </w:r>
    </w:p>
    <w:p w14:paraId="17F8B129" w14:textId="77777777" w:rsidR="009241D8" w:rsidRPr="009241D8" w:rsidRDefault="009241D8" w:rsidP="009241D8">
      <w:pPr>
        <w:widowControl w:val="0"/>
        <w:autoSpaceDE w:val="0"/>
        <w:autoSpaceDN w:val="0"/>
        <w:adjustRightInd w:val="0"/>
        <w:ind w:left="640" w:hanging="640"/>
        <w:rPr>
          <w:rFonts w:cs="Times New Roman"/>
          <w:noProof/>
          <w:szCs w:val="24"/>
        </w:rPr>
      </w:pPr>
      <w:r w:rsidRPr="00C24620">
        <w:rPr>
          <w:rFonts w:cs="Times New Roman"/>
          <w:noProof/>
          <w:szCs w:val="24"/>
          <w:lang w:val="nl-NL"/>
        </w:rPr>
        <w:t xml:space="preserve">84. </w:t>
      </w:r>
      <w:r w:rsidRPr="00C24620">
        <w:rPr>
          <w:rFonts w:cs="Times New Roman"/>
          <w:noProof/>
          <w:szCs w:val="24"/>
          <w:lang w:val="nl-NL"/>
        </w:rPr>
        <w:tab/>
        <w:t xml:space="preserve">Mursu J, Robien K, Harnack LJ, et al. </w:t>
      </w:r>
      <w:r w:rsidRPr="009241D8">
        <w:rPr>
          <w:rFonts w:cs="Times New Roman"/>
          <w:noProof/>
          <w:szCs w:val="24"/>
        </w:rPr>
        <w:t xml:space="preserve">(2011) Dietary Supplements and Mortality Rate in </w:t>
      </w:r>
      <w:r w:rsidRPr="009241D8">
        <w:rPr>
          <w:rFonts w:cs="Times New Roman"/>
          <w:noProof/>
          <w:szCs w:val="24"/>
        </w:rPr>
        <w:lastRenderedPageBreak/>
        <w:t xml:space="preserve">Older Women: The Iowa Women’s Health Study. </w:t>
      </w:r>
      <w:r w:rsidRPr="009241D8">
        <w:rPr>
          <w:rFonts w:cs="Times New Roman"/>
          <w:i/>
          <w:iCs/>
          <w:noProof/>
          <w:szCs w:val="24"/>
        </w:rPr>
        <w:t>Arch. Intern. Med.</w:t>
      </w:r>
      <w:r w:rsidRPr="009241D8">
        <w:rPr>
          <w:rFonts w:cs="Times New Roman"/>
          <w:noProof/>
          <w:szCs w:val="24"/>
        </w:rPr>
        <w:t xml:space="preserve"> </w:t>
      </w:r>
      <w:r w:rsidRPr="009241D8">
        <w:rPr>
          <w:rFonts w:cs="Times New Roman"/>
          <w:b/>
          <w:bCs/>
          <w:noProof/>
          <w:szCs w:val="24"/>
        </w:rPr>
        <w:t>171</w:t>
      </w:r>
      <w:r w:rsidRPr="009241D8">
        <w:rPr>
          <w:rFonts w:cs="Times New Roman"/>
          <w:noProof/>
          <w:szCs w:val="24"/>
        </w:rPr>
        <w:t>, 1625–1633.</w:t>
      </w:r>
    </w:p>
    <w:p w14:paraId="3AB12A64"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85. </w:t>
      </w:r>
      <w:r w:rsidRPr="009241D8">
        <w:rPr>
          <w:rFonts w:cs="Times New Roman"/>
          <w:noProof/>
          <w:szCs w:val="24"/>
        </w:rPr>
        <w:tab/>
        <w:t xml:space="preserve">Caire-Juvera G, Ritenbaugh C, Wactawski-Wende J, et al. (2009) Vitamin A and retinol intakes and the risk of fractures among participants of the Women’s Health Initiative Observational Study. </w:t>
      </w:r>
      <w:r w:rsidRPr="009241D8">
        <w:rPr>
          <w:rFonts w:cs="Times New Roman"/>
          <w:i/>
          <w:iCs/>
          <w:noProof/>
          <w:szCs w:val="24"/>
        </w:rPr>
        <w:t>Am. J. Clin. Nutr.</w:t>
      </w:r>
      <w:r w:rsidRPr="009241D8">
        <w:rPr>
          <w:rFonts w:cs="Times New Roman"/>
          <w:noProof/>
          <w:szCs w:val="24"/>
        </w:rPr>
        <w:t xml:space="preserve"> </w:t>
      </w:r>
      <w:r w:rsidRPr="009241D8">
        <w:rPr>
          <w:rFonts w:cs="Times New Roman"/>
          <w:b/>
          <w:bCs/>
          <w:noProof/>
          <w:szCs w:val="24"/>
        </w:rPr>
        <w:t>89</w:t>
      </w:r>
      <w:r w:rsidRPr="009241D8">
        <w:rPr>
          <w:rFonts w:cs="Times New Roman"/>
          <w:noProof/>
          <w:szCs w:val="24"/>
        </w:rPr>
        <w:t>, 323–30.</w:t>
      </w:r>
    </w:p>
    <w:p w14:paraId="39B41685"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86. </w:t>
      </w:r>
      <w:r w:rsidRPr="009241D8">
        <w:rPr>
          <w:rFonts w:cs="Times New Roman"/>
          <w:noProof/>
          <w:szCs w:val="24"/>
        </w:rPr>
        <w:tab/>
        <w:t xml:space="preserve">Scientific Committee on Food &amp; Scientific Panel on Dietetic Products Nutrition and Allergies (2006) </w:t>
      </w:r>
      <w:r w:rsidRPr="009241D8">
        <w:rPr>
          <w:rFonts w:cs="Times New Roman"/>
          <w:i/>
          <w:iCs/>
          <w:noProof/>
          <w:szCs w:val="24"/>
        </w:rPr>
        <w:t>Tolerable upper intake levels for vitamins and minerals</w:t>
      </w:r>
      <w:r w:rsidRPr="009241D8">
        <w:rPr>
          <w:rFonts w:cs="Times New Roman"/>
          <w:noProof/>
          <w:szCs w:val="24"/>
        </w:rPr>
        <w:t>. Parma: EFSA.</w:t>
      </w:r>
    </w:p>
    <w:p w14:paraId="4CD0BE23"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87. </w:t>
      </w:r>
      <w:r w:rsidRPr="009241D8">
        <w:rPr>
          <w:rFonts w:cs="Times New Roman"/>
          <w:noProof/>
          <w:szCs w:val="24"/>
        </w:rPr>
        <w:tab/>
        <w:t xml:space="preserve">Bjelakovic G, Nikolova D, Gluud LL, et al. (2012) Antioxidant supplements for prevention of mortality in healthy participants and patients with various diseases. In </w:t>
      </w:r>
      <w:r w:rsidRPr="009241D8">
        <w:rPr>
          <w:rFonts w:cs="Times New Roman"/>
          <w:i/>
          <w:iCs/>
          <w:noProof/>
          <w:szCs w:val="24"/>
        </w:rPr>
        <w:t>Cochrane Database Syst. Rev.</w:t>
      </w:r>
      <w:r w:rsidRPr="009241D8">
        <w:rPr>
          <w:rFonts w:cs="Times New Roman"/>
          <w:noProof/>
          <w:szCs w:val="24"/>
        </w:rPr>
        <w:t xml:space="preserve"> [Bjelakovic G, editor]. Chichester, UK: John Wiley &amp; Sons, Ltd.</w:t>
      </w:r>
    </w:p>
    <w:p w14:paraId="7F1B2C0A"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88. </w:t>
      </w:r>
      <w:r w:rsidRPr="009241D8">
        <w:rPr>
          <w:rFonts w:cs="Times New Roman"/>
          <w:noProof/>
          <w:szCs w:val="24"/>
        </w:rPr>
        <w:tab/>
        <w:t xml:space="preserve">Moyer VA (2014) Vitamin, mineral, and multivitamin supplements for the primary prevention of cardiovascular disease and cancer: U.S. Preventive services Task Force recommendation statement. </w:t>
      </w:r>
      <w:r w:rsidRPr="009241D8">
        <w:rPr>
          <w:rFonts w:cs="Times New Roman"/>
          <w:i/>
          <w:iCs/>
          <w:noProof/>
          <w:szCs w:val="24"/>
        </w:rPr>
        <w:t>Ann. Intern. Med.</w:t>
      </w:r>
      <w:r w:rsidRPr="009241D8">
        <w:rPr>
          <w:rFonts w:cs="Times New Roman"/>
          <w:noProof/>
          <w:szCs w:val="24"/>
        </w:rPr>
        <w:t xml:space="preserve"> </w:t>
      </w:r>
      <w:r w:rsidRPr="009241D8">
        <w:rPr>
          <w:rFonts w:cs="Times New Roman"/>
          <w:b/>
          <w:bCs/>
          <w:noProof/>
          <w:szCs w:val="24"/>
        </w:rPr>
        <w:t>160</w:t>
      </w:r>
      <w:r w:rsidRPr="009241D8">
        <w:rPr>
          <w:rFonts w:cs="Times New Roman"/>
          <w:noProof/>
          <w:szCs w:val="24"/>
        </w:rPr>
        <w:t>, 558–64.</w:t>
      </w:r>
    </w:p>
    <w:p w14:paraId="507567FA"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89. </w:t>
      </w:r>
      <w:r w:rsidRPr="009241D8">
        <w:rPr>
          <w:rFonts w:cs="Times New Roman"/>
          <w:noProof/>
          <w:szCs w:val="24"/>
        </w:rPr>
        <w:tab/>
        <w:t xml:space="preserve">Fortmann SP, Burda BU, Senger CA, et al. (2013) Vitamin and mineral supplements in the primary prevention of cardiovascular disease and cancer: An updated systematic evidence review for the U.S. Preventive Services Task Force. </w:t>
      </w:r>
      <w:r w:rsidRPr="009241D8">
        <w:rPr>
          <w:rFonts w:cs="Times New Roman"/>
          <w:i/>
          <w:iCs/>
          <w:noProof/>
          <w:szCs w:val="24"/>
        </w:rPr>
        <w:t>Ann. Intern. Med.</w:t>
      </w:r>
      <w:r w:rsidRPr="009241D8">
        <w:rPr>
          <w:rFonts w:cs="Times New Roman"/>
          <w:noProof/>
          <w:szCs w:val="24"/>
        </w:rPr>
        <w:t xml:space="preserve"> </w:t>
      </w:r>
      <w:r w:rsidRPr="009241D8">
        <w:rPr>
          <w:rFonts w:cs="Times New Roman"/>
          <w:b/>
          <w:bCs/>
          <w:noProof/>
          <w:szCs w:val="24"/>
        </w:rPr>
        <w:t>159</w:t>
      </w:r>
      <w:r w:rsidRPr="009241D8">
        <w:rPr>
          <w:rFonts w:cs="Times New Roman"/>
          <w:noProof/>
          <w:szCs w:val="24"/>
        </w:rPr>
        <w:t>, 824–34.</w:t>
      </w:r>
    </w:p>
    <w:p w14:paraId="4322D4D6"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90. </w:t>
      </w:r>
      <w:r w:rsidRPr="009241D8">
        <w:rPr>
          <w:rFonts w:cs="Times New Roman"/>
          <w:noProof/>
          <w:szCs w:val="24"/>
        </w:rPr>
        <w:tab/>
        <w:t xml:space="preserve">Macpherson H, Pipingas A &amp; Pase MP (2013) Multivitamin-multimineral supplementation and mortality: a meta-analysis of randomized controlled trials. </w:t>
      </w:r>
      <w:r w:rsidRPr="009241D8">
        <w:rPr>
          <w:rFonts w:cs="Times New Roman"/>
          <w:i/>
          <w:iCs/>
          <w:noProof/>
          <w:szCs w:val="24"/>
        </w:rPr>
        <w:t>Am. J. Clin. Nutr.</w:t>
      </w:r>
      <w:r w:rsidRPr="009241D8">
        <w:rPr>
          <w:rFonts w:cs="Times New Roman"/>
          <w:noProof/>
          <w:szCs w:val="24"/>
        </w:rPr>
        <w:t xml:space="preserve"> </w:t>
      </w:r>
      <w:r w:rsidRPr="009241D8">
        <w:rPr>
          <w:rFonts w:cs="Times New Roman"/>
          <w:b/>
          <w:bCs/>
          <w:noProof/>
          <w:szCs w:val="24"/>
        </w:rPr>
        <w:t>97</w:t>
      </w:r>
      <w:r w:rsidRPr="009241D8">
        <w:rPr>
          <w:rFonts w:cs="Times New Roman"/>
          <w:noProof/>
          <w:szCs w:val="24"/>
        </w:rPr>
        <w:t>, 437–44.</w:t>
      </w:r>
    </w:p>
    <w:p w14:paraId="2A4BE89D"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91. </w:t>
      </w:r>
      <w:r w:rsidRPr="009241D8">
        <w:rPr>
          <w:rFonts w:cs="Times New Roman"/>
          <w:noProof/>
          <w:szCs w:val="24"/>
        </w:rPr>
        <w:tab/>
        <w:t xml:space="preserve">Blot WJ, Li JY, Taylor PR, et al. (1993) Nutrition intervention trials in Linxian, China: supplementation with specific vitamin/mineral combinations, cancer incidence, and disease-specific mortality in the general population. </w:t>
      </w:r>
      <w:r w:rsidRPr="009241D8">
        <w:rPr>
          <w:rFonts w:cs="Times New Roman"/>
          <w:i/>
          <w:iCs/>
          <w:noProof/>
          <w:szCs w:val="24"/>
        </w:rPr>
        <w:t>J. Natl. Cancer Inst.</w:t>
      </w:r>
      <w:r w:rsidRPr="009241D8">
        <w:rPr>
          <w:rFonts w:cs="Times New Roman"/>
          <w:noProof/>
          <w:szCs w:val="24"/>
        </w:rPr>
        <w:t xml:space="preserve"> </w:t>
      </w:r>
      <w:r w:rsidRPr="009241D8">
        <w:rPr>
          <w:rFonts w:cs="Times New Roman"/>
          <w:b/>
          <w:bCs/>
          <w:noProof/>
          <w:szCs w:val="24"/>
        </w:rPr>
        <w:t>85</w:t>
      </w:r>
      <w:r w:rsidRPr="009241D8">
        <w:rPr>
          <w:rFonts w:cs="Times New Roman"/>
          <w:noProof/>
          <w:szCs w:val="24"/>
        </w:rPr>
        <w:t>, 1483–92.</w:t>
      </w:r>
    </w:p>
    <w:p w14:paraId="3D27A4D4"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92. </w:t>
      </w:r>
      <w:r w:rsidRPr="009241D8">
        <w:rPr>
          <w:rFonts w:cs="Times New Roman"/>
          <w:noProof/>
          <w:szCs w:val="24"/>
        </w:rPr>
        <w:tab/>
        <w:t xml:space="preserve">Galan P, Briançon S, Favier A, et al. (2005) Antioxidant status and risk of cancer in the SU.VI.MAX study: is the effect of supplementation dependent on baseline levels? </w:t>
      </w:r>
      <w:r w:rsidRPr="009241D8">
        <w:rPr>
          <w:rFonts w:cs="Times New Roman"/>
          <w:i/>
          <w:iCs/>
          <w:noProof/>
          <w:szCs w:val="24"/>
        </w:rPr>
        <w:t>Br. J. Nutr.</w:t>
      </w:r>
      <w:r w:rsidRPr="009241D8">
        <w:rPr>
          <w:rFonts w:cs="Times New Roman"/>
          <w:noProof/>
          <w:szCs w:val="24"/>
        </w:rPr>
        <w:t xml:space="preserve"> </w:t>
      </w:r>
      <w:r w:rsidRPr="009241D8">
        <w:rPr>
          <w:rFonts w:cs="Times New Roman"/>
          <w:b/>
          <w:bCs/>
          <w:noProof/>
          <w:szCs w:val="24"/>
        </w:rPr>
        <w:t>94</w:t>
      </w:r>
      <w:r w:rsidRPr="009241D8">
        <w:rPr>
          <w:rFonts w:cs="Times New Roman"/>
          <w:noProof/>
          <w:szCs w:val="24"/>
        </w:rPr>
        <w:t>, 125–32.</w:t>
      </w:r>
    </w:p>
    <w:p w14:paraId="34EB3208"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93. </w:t>
      </w:r>
      <w:r w:rsidRPr="009241D8">
        <w:rPr>
          <w:rFonts w:cs="Times New Roman"/>
          <w:noProof/>
          <w:szCs w:val="24"/>
        </w:rPr>
        <w:tab/>
        <w:t xml:space="preserve">Willett WC &amp; Stampfer MJ (2001) </w:t>
      </w:r>
      <w:r w:rsidRPr="009241D8">
        <w:rPr>
          <w:rFonts w:cs="Times New Roman"/>
          <w:i/>
          <w:iCs/>
          <w:noProof/>
          <w:szCs w:val="24"/>
        </w:rPr>
        <w:t>Clinical practice. What vitamins should I be taking, doctor?</w:t>
      </w:r>
      <w:r w:rsidRPr="009241D8">
        <w:rPr>
          <w:rFonts w:cs="Times New Roman"/>
          <w:noProof/>
          <w:szCs w:val="24"/>
        </w:rPr>
        <w:t xml:space="preserve"> </w:t>
      </w:r>
      <w:r w:rsidRPr="009241D8">
        <w:rPr>
          <w:rFonts w:cs="Times New Roman"/>
          <w:i/>
          <w:iCs/>
          <w:noProof/>
          <w:szCs w:val="24"/>
        </w:rPr>
        <w:t>N. Engl. J. Med.</w:t>
      </w:r>
      <w:r w:rsidRPr="009241D8">
        <w:rPr>
          <w:rFonts w:cs="Times New Roman"/>
          <w:noProof/>
          <w:szCs w:val="24"/>
        </w:rPr>
        <w:t>, vol. 345, 1819–1824.</w:t>
      </w:r>
    </w:p>
    <w:p w14:paraId="3DEB2EA7"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94. </w:t>
      </w:r>
      <w:r w:rsidRPr="009241D8">
        <w:rPr>
          <w:rFonts w:cs="Times New Roman"/>
          <w:noProof/>
          <w:szCs w:val="24"/>
        </w:rPr>
        <w:tab/>
        <w:t xml:space="preserve">Jayedi A, Shab-Bidar S, Eimeri S, et al. (2018) Fish consumption and risk of all-cause and cardiovascular mortality: a dose–response meta-analysis of prospective observational studies. </w:t>
      </w:r>
      <w:r w:rsidRPr="009241D8">
        <w:rPr>
          <w:rFonts w:cs="Times New Roman"/>
          <w:i/>
          <w:iCs/>
          <w:noProof/>
          <w:szCs w:val="24"/>
        </w:rPr>
        <w:t>Public Health Nutr.</w:t>
      </w:r>
      <w:r w:rsidRPr="009241D8">
        <w:rPr>
          <w:rFonts w:cs="Times New Roman"/>
          <w:noProof/>
          <w:szCs w:val="24"/>
        </w:rPr>
        <w:t xml:space="preserve"> </w:t>
      </w:r>
      <w:r w:rsidRPr="009241D8">
        <w:rPr>
          <w:rFonts w:cs="Times New Roman"/>
          <w:b/>
          <w:bCs/>
          <w:noProof/>
          <w:szCs w:val="24"/>
        </w:rPr>
        <w:t>21</w:t>
      </w:r>
      <w:r w:rsidRPr="009241D8">
        <w:rPr>
          <w:rFonts w:cs="Times New Roman"/>
          <w:noProof/>
          <w:szCs w:val="24"/>
        </w:rPr>
        <w:t>, 1297–1306.</w:t>
      </w:r>
    </w:p>
    <w:p w14:paraId="02699D08"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95. </w:t>
      </w:r>
      <w:r w:rsidRPr="009241D8">
        <w:rPr>
          <w:rFonts w:cs="Times New Roman"/>
          <w:noProof/>
          <w:szCs w:val="24"/>
        </w:rPr>
        <w:tab/>
        <w:t xml:space="preserve">Zheng J, Huang T, Yu Y, et al. (2012) Fish consumption and CHD mortality: an updated meta-analysis of seventeen cohort studies. </w:t>
      </w:r>
      <w:r w:rsidRPr="009241D8">
        <w:rPr>
          <w:rFonts w:cs="Times New Roman"/>
          <w:i/>
          <w:iCs/>
          <w:noProof/>
          <w:szCs w:val="24"/>
        </w:rPr>
        <w:t>Public Health Nutr.</w:t>
      </w:r>
      <w:r w:rsidRPr="009241D8">
        <w:rPr>
          <w:rFonts w:cs="Times New Roman"/>
          <w:noProof/>
          <w:szCs w:val="24"/>
        </w:rPr>
        <w:t xml:space="preserve"> </w:t>
      </w:r>
      <w:r w:rsidRPr="009241D8">
        <w:rPr>
          <w:rFonts w:cs="Times New Roman"/>
          <w:b/>
          <w:bCs/>
          <w:noProof/>
          <w:szCs w:val="24"/>
        </w:rPr>
        <w:t>15</w:t>
      </w:r>
      <w:r w:rsidRPr="009241D8">
        <w:rPr>
          <w:rFonts w:cs="Times New Roman"/>
          <w:noProof/>
          <w:szCs w:val="24"/>
        </w:rPr>
        <w:t>, 725–737.</w:t>
      </w:r>
    </w:p>
    <w:p w14:paraId="28B9DFA6"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lastRenderedPageBreak/>
        <w:t xml:space="preserve">96. </w:t>
      </w:r>
      <w:r w:rsidRPr="009241D8">
        <w:rPr>
          <w:rFonts w:cs="Times New Roman"/>
          <w:noProof/>
          <w:szCs w:val="24"/>
        </w:rPr>
        <w:tab/>
        <w:t xml:space="preserve">Calder PC (2017) Very long-chain n-3 fatty acids and human health: fact, fiction and the future. </w:t>
      </w:r>
      <w:r w:rsidRPr="009241D8">
        <w:rPr>
          <w:rFonts w:cs="Times New Roman"/>
          <w:i/>
          <w:iCs/>
          <w:noProof/>
          <w:szCs w:val="24"/>
        </w:rPr>
        <w:t>Proc. Nutr. Soc.</w:t>
      </w:r>
      <w:r w:rsidRPr="009241D8">
        <w:rPr>
          <w:rFonts w:cs="Times New Roman"/>
          <w:noProof/>
          <w:szCs w:val="24"/>
        </w:rPr>
        <w:t>, 1–21.</w:t>
      </w:r>
    </w:p>
    <w:p w14:paraId="7DC5AF6E"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97. </w:t>
      </w:r>
      <w:r w:rsidRPr="009241D8">
        <w:rPr>
          <w:rFonts w:cs="Times New Roman"/>
          <w:noProof/>
          <w:szCs w:val="24"/>
        </w:rPr>
        <w:tab/>
        <w:t xml:space="preserve">Hall WL (2017) The future for long chain n-3 PUFA in the prevention of coronary heart disease: do we need to target non-fish-eaters? </w:t>
      </w:r>
      <w:r w:rsidRPr="009241D8">
        <w:rPr>
          <w:rFonts w:cs="Times New Roman"/>
          <w:i/>
          <w:iCs/>
          <w:noProof/>
          <w:szCs w:val="24"/>
        </w:rPr>
        <w:t>Proc. Nutr. Soc.</w:t>
      </w:r>
      <w:r w:rsidRPr="009241D8">
        <w:rPr>
          <w:rFonts w:cs="Times New Roman"/>
          <w:noProof/>
          <w:szCs w:val="24"/>
        </w:rPr>
        <w:t>, 1–11.</w:t>
      </w:r>
    </w:p>
    <w:p w14:paraId="23E814C9"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98. </w:t>
      </w:r>
      <w:r w:rsidRPr="009241D8">
        <w:rPr>
          <w:rFonts w:cs="Times New Roman"/>
          <w:noProof/>
          <w:szCs w:val="24"/>
        </w:rPr>
        <w:tab/>
        <w:t xml:space="preserve">Kiefte-de Jong JC, Chowdhury R &amp; Franco OH (2012) Fish intake or omega-3 fatty acids: greater than the sum of all parts? </w:t>
      </w:r>
      <w:r w:rsidRPr="009241D8">
        <w:rPr>
          <w:rFonts w:cs="Times New Roman"/>
          <w:i/>
          <w:iCs/>
          <w:noProof/>
          <w:szCs w:val="24"/>
        </w:rPr>
        <w:t>Eur. J. Epidemiol.</w:t>
      </w:r>
      <w:r w:rsidRPr="009241D8">
        <w:rPr>
          <w:rFonts w:cs="Times New Roman"/>
          <w:noProof/>
          <w:szCs w:val="24"/>
        </w:rPr>
        <w:t xml:space="preserve"> </w:t>
      </w:r>
      <w:r w:rsidRPr="009241D8">
        <w:rPr>
          <w:rFonts w:cs="Times New Roman"/>
          <w:b/>
          <w:bCs/>
          <w:noProof/>
          <w:szCs w:val="24"/>
        </w:rPr>
        <w:t>27</w:t>
      </w:r>
      <w:r w:rsidRPr="009241D8">
        <w:rPr>
          <w:rFonts w:cs="Times New Roman"/>
          <w:noProof/>
          <w:szCs w:val="24"/>
        </w:rPr>
        <w:t>, 891–4.</w:t>
      </w:r>
    </w:p>
    <w:p w14:paraId="19722662"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99. </w:t>
      </w:r>
      <w:r w:rsidRPr="009241D8">
        <w:rPr>
          <w:rFonts w:cs="Times New Roman"/>
          <w:noProof/>
          <w:szCs w:val="24"/>
        </w:rPr>
        <w:tab/>
        <w:t xml:space="preserve">Bowen KJ, Harris WS &amp; Kris-Etherton PM (2016) Omega-3 Fatty Acids and Cardiovascular Disease: Are There Benefits? </w:t>
      </w:r>
      <w:r w:rsidRPr="009241D8">
        <w:rPr>
          <w:rFonts w:cs="Times New Roman"/>
          <w:i/>
          <w:iCs/>
          <w:noProof/>
          <w:szCs w:val="24"/>
        </w:rPr>
        <w:t>Curr. Treat. Options Cardiovasc. Med.</w:t>
      </w:r>
      <w:r w:rsidRPr="009241D8">
        <w:rPr>
          <w:rFonts w:cs="Times New Roman"/>
          <w:noProof/>
          <w:szCs w:val="24"/>
        </w:rPr>
        <w:t xml:space="preserve"> </w:t>
      </w:r>
      <w:r w:rsidRPr="009241D8">
        <w:rPr>
          <w:rFonts w:cs="Times New Roman"/>
          <w:b/>
          <w:bCs/>
          <w:noProof/>
          <w:szCs w:val="24"/>
        </w:rPr>
        <w:t>18</w:t>
      </w:r>
      <w:r w:rsidRPr="009241D8">
        <w:rPr>
          <w:rFonts w:cs="Times New Roman"/>
          <w:noProof/>
          <w:szCs w:val="24"/>
        </w:rPr>
        <w:t>. Current Treatment Options in Cardiovascular Medicine.</w:t>
      </w:r>
    </w:p>
    <w:p w14:paraId="4B373C64" w14:textId="77777777" w:rsidR="009241D8" w:rsidRPr="009241D8" w:rsidRDefault="009241D8" w:rsidP="009241D8">
      <w:pPr>
        <w:widowControl w:val="0"/>
        <w:autoSpaceDE w:val="0"/>
        <w:autoSpaceDN w:val="0"/>
        <w:adjustRightInd w:val="0"/>
        <w:ind w:left="640" w:hanging="640"/>
        <w:rPr>
          <w:rFonts w:cs="Times New Roman"/>
          <w:noProof/>
          <w:szCs w:val="24"/>
        </w:rPr>
      </w:pPr>
      <w:r w:rsidRPr="00C24620">
        <w:rPr>
          <w:rFonts w:cs="Times New Roman"/>
          <w:noProof/>
          <w:szCs w:val="24"/>
          <w:lang w:val="nl-NL"/>
        </w:rPr>
        <w:t xml:space="preserve">100. </w:t>
      </w:r>
      <w:r w:rsidRPr="00C24620">
        <w:rPr>
          <w:rFonts w:cs="Times New Roman"/>
          <w:noProof/>
          <w:szCs w:val="24"/>
          <w:lang w:val="nl-NL"/>
        </w:rPr>
        <w:tab/>
        <w:t xml:space="preserve">James MJ, Sullivan TR, Metcalf RG, et al. </w:t>
      </w:r>
      <w:r w:rsidRPr="009241D8">
        <w:rPr>
          <w:rFonts w:cs="Times New Roman"/>
          <w:noProof/>
          <w:szCs w:val="24"/>
        </w:rPr>
        <w:t xml:space="preserve">(2014) Pitfalls in the use of randomised controlled trials for fish oil studies with cardiac patients. </w:t>
      </w:r>
      <w:r w:rsidRPr="009241D8">
        <w:rPr>
          <w:rFonts w:cs="Times New Roman"/>
          <w:i/>
          <w:iCs/>
          <w:noProof/>
          <w:szCs w:val="24"/>
        </w:rPr>
        <w:t>Br. J. Nutr.</w:t>
      </w:r>
      <w:r w:rsidRPr="009241D8">
        <w:rPr>
          <w:rFonts w:cs="Times New Roman"/>
          <w:noProof/>
          <w:szCs w:val="24"/>
        </w:rPr>
        <w:t xml:space="preserve"> </w:t>
      </w:r>
      <w:r w:rsidRPr="009241D8">
        <w:rPr>
          <w:rFonts w:cs="Times New Roman"/>
          <w:b/>
          <w:bCs/>
          <w:noProof/>
          <w:szCs w:val="24"/>
        </w:rPr>
        <w:t>112</w:t>
      </w:r>
      <w:r w:rsidRPr="009241D8">
        <w:rPr>
          <w:rFonts w:cs="Times New Roman"/>
          <w:noProof/>
          <w:szCs w:val="24"/>
        </w:rPr>
        <w:t>, 812–820.</w:t>
      </w:r>
    </w:p>
    <w:p w14:paraId="2114AA69"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101. </w:t>
      </w:r>
      <w:r w:rsidRPr="009241D8">
        <w:rPr>
          <w:rFonts w:cs="Times New Roman"/>
          <w:noProof/>
          <w:szCs w:val="24"/>
        </w:rPr>
        <w:tab/>
        <w:t xml:space="preserve">Aung T, Halsey J, Kromhout D, et al. (2018) Associations of Omega-3 Fatty Acid Supplement Use With Cardiovascular Disease Risks. </w:t>
      </w:r>
      <w:r w:rsidRPr="009241D8">
        <w:rPr>
          <w:rFonts w:cs="Times New Roman"/>
          <w:i/>
          <w:iCs/>
          <w:noProof/>
          <w:szCs w:val="24"/>
        </w:rPr>
        <w:t>JAMA Cardiol.</w:t>
      </w:r>
      <w:r w:rsidRPr="009241D8">
        <w:rPr>
          <w:rFonts w:cs="Times New Roman"/>
          <w:noProof/>
          <w:szCs w:val="24"/>
        </w:rPr>
        <w:t>, 1–9.</w:t>
      </w:r>
    </w:p>
    <w:p w14:paraId="30DA4F11"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102. </w:t>
      </w:r>
      <w:r w:rsidRPr="009241D8">
        <w:rPr>
          <w:rFonts w:cs="Times New Roman"/>
          <w:noProof/>
          <w:szCs w:val="24"/>
        </w:rPr>
        <w:tab/>
        <w:t xml:space="preserve">Siscovick DS, Barringer TA, Fretts AM, et al. (2017) Omega-3 Polyunsaturated Fatty Acid (Fish Oil) Supplementation and the Prevention of Clinical Cardiovascular Disease: A Science Advisory from the American Heart Association. </w:t>
      </w:r>
      <w:r w:rsidRPr="009241D8">
        <w:rPr>
          <w:rFonts w:cs="Times New Roman"/>
          <w:i/>
          <w:iCs/>
          <w:noProof/>
          <w:szCs w:val="24"/>
        </w:rPr>
        <w:t>Circulation</w:t>
      </w:r>
      <w:r w:rsidRPr="009241D8">
        <w:rPr>
          <w:rFonts w:cs="Times New Roman"/>
          <w:noProof/>
          <w:szCs w:val="24"/>
        </w:rPr>
        <w:t xml:space="preserve"> </w:t>
      </w:r>
      <w:r w:rsidRPr="009241D8">
        <w:rPr>
          <w:rFonts w:cs="Times New Roman"/>
          <w:b/>
          <w:bCs/>
          <w:noProof/>
          <w:szCs w:val="24"/>
        </w:rPr>
        <w:t>135</w:t>
      </w:r>
      <w:r w:rsidRPr="009241D8">
        <w:rPr>
          <w:rFonts w:cs="Times New Roman"/>
          <w:noProof/>
          <w:szCs w:val="24"/>
        </w:rPr>
        <w:t>, e867–e884.</w:t>
      </w:r>
    </w:p>
    <w:p w14:paraId="42181F9C"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103. </w:t>
      </w:r>
      <w:r w:rsidRPr="009241D8">
        <w:rPr>
          <w:rFonts w:cs="Times New Roman"/>
          <w:noProof/>
          <w:szCs w:val="24"/>
        </w:rPr>
        <w:tab/>
        <w:t xml:space="preserve">Nestel P, Clifton P, Colquhoun D, et al. (2015) Indications for Omega-3 Long Chain Polyunsaturated Fatty Acid in the Prevention and Treatment of Cardiovascular Disease. </w:t>
      </w:r>
      <w:r w:rsidRPr="009241D8">
        <w:rPr>
          <w:rFonts w:cs="Times New Roman"/>
          <w:i/>
          <w:iCs/>
          <w:noProof/>
          <w:szCs w:val="24"/>
        </w:rPr>
        <w:t>Hear. Lung Circ.</w:t>
      </w:r>
      <w:r w:rsidRPr="009241D8">
        <w:rPr>
          <w:rFonts w:cs="Times New Roman"/>
          <w:noProof/>
          <w:szCs w:val="24"/>
        </w:rPr>
        <w:t xml:space="preserve"> </w:t>
      </w:r>
      <w:r w:rsidRPr="009241D8">
        <w:rPr>
          <w:rFonts w:cs="Times New Roman"/>
          <w:b/>
          <w:bCs/>
          <w:noProof/>
          <w:szCs w:val="24"/>
        </w:rPr>
        <w:t>24</w:t>
      </w:r>
      <w:r w:rsidRPr="009241D8">
        <w:rPr>
          <w:rFonts w:cs="Times New Roman"/>
          <w:noProof/>
          <w:szCs w:val="24"/>
        </w:rPr>
        <w:t>, 1–11. Australian and New Zealand Society of Cardiac and Thoracic Surgeons (ANZSCTS) and the Cardiac Society of Australia and New Zealand (CSANZ).</w:t>
      </w:r>
    </w:p>
    <w:p w14:paraId="328174BF" w14:textId="77777777" w:rsidR="009241D8" w:rsidRPr="009241D8" w:rsidRDefault="009241D8" w:rsidP="009241D8">
      <w:pPr>
        <w:widowControl w:val="0"/>
        <w:autoSpaceDE w:val="0"/>
        <w:autoSpaceDN w:val="0"/>
        <w:adjustRightInd w:val="0"/>
        <w:ind w:left="640" w:hanging="640"/>
        <w:rPr>
          <w:rFonts w:cs="Times New Roman"/>
          <w:noProof/>
          <w:szCs w:val="24"/>
        </w:rPr>
      </w:pPr>
      <w:r w:rsidRPr="00C24620">
        <w:rPr>
          <w:rFonts w:cs="Times New Roman"/>
          <w:noProof/>
          <w:szCs w:val="24"/>
          <w:lang w:val="nl-NL"/>
        </w:rPr>
        <w:t xml:space="preserve">104. </w:t>
      </w:r>
      <w:r w:rsidRPr="00C24620">
        <w:rPr>
          <w:rFonts w:cs="Times New Roman"/>
          <w:noProof/>
          <w:szCs w:val="24"/>
          <w:lang w:val="nl-NL"/>
        </w:rPr>
        <w:tab/>
        <w:t xml:space="preserve">Manson JE, Bassuk SS, Lee I-M, et al. </w:t>
      </w:r>
      <w:r w:rsidRPr="009241D8">
        <w:rPr>
          <w:rFonts w:cs="Times New Roman"/>
          <w:noProof/>
          <w:szCs w:val="24"/>
        </w:rPr>
        <w:t xml:space="preserve">(2012) The VITamin D and OmegA-3 TriaL (VITAL): Rationale and design of a large randomized controlled trial of vitamin D and marine omega-3 fatty acid supplements for the primary prevention of cancer and cardiovascular disease. </w:t>
      </w:r>
      <w:r w:rsidRPr="009241D8">
        <w:rPr>
          <w:rFonts w:cs="Times New Roman"/>
          <w:i/>
          <w:iCs/>
          <w:noProof/>
          <w:szCs w:val="24"/>
        </w:rPr>
        <w:t>Contemp. Clin. Trials</w:t>
      </w:r>
      <w:r w:rsidRPr="009241D8">
        <w:rPr>
          <w:rFonts w:cs="Times New Roman"/>
          <w:noProof/>
          <w:szCs w:val="24"/>
        </w:rPr>
        <w:t>, 159–171.</w:t>
      </w:r>
    </w:p>
    <w:p w14:paraId="2B688B65"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105. </w:t>
      </w:r>
      <w:r w:rsidRPr="009241D8">
        <w:rPr>
          <w:rFonts w:cs="Times New Roman"/>
          <w:noProof/>
          <w:szCs w:val="24"/>
        </w:rPr>
        <w:tab/>
        <w:t xml:space="preserve">Mozaffarian D &amp; Rimm EB (2006) Fish intake, contaminants, and human health: evaluating the risks and the benefits. </w:t>
      </w:r>
      <w:r w:rsidRPr="009241D8">
        <w:rPr>
          <w:rFonts w:cs="Times New Roman"/>
          <w:i/>
          <w:iCs/>
          <w:noProof/>
          <w:szCs w:val="24"/>
        </w:rPr>
        <w:t>JAMA</w:t>
      </w:r>
      <w:r w:rsidRPr="009241D8">
        <w:rPr>
          <w:rFonts w:cs="Times New Roman"/>
          <w:noProof/>
          <w:szCs w:val="24"/>
        </w:rPr>
        <w:t xml:space="preserve"> </w:t>
      </w:r>
      <w:r w:rsidRPr="009241D8">
        <w:rPr>
          <w:rFonts w:cs="Times New Roman"/>
          <w:b/>
          <w:bCs/>
          <w:noProof/>
          <w:szCs w:val="24"/>
        </w:rPr>
        <w:t>296</w:t>
      </w:r>
      <w:r w:rsidRPr="009241D8">
        <w:rPr>
          <w:rFonts w:cs="Times New Roman"/>
          <w:noProof/>
          <w:szCs w:val="24"/>
        </w:rPr>
        <w:t>, 1885–1899.</w:t>
      </w:r>
    </w:p>
    <w:p w14:paraId="64B86A85"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106. </w:t>
      </w:r>
      <w:r w:rsidRPr="009241D8">
        <w:rPr>
          <w:rFonts w:cs="Times New Roman"/>
          <w:noProof/>
          <w:szCs w:val="24"/>
        </w:rPr>
        <w:tab/>
        <w:t xml:space="preserve">Lentjes MAH, Keogh RH, Welch AA, et al. (2017) Longitudinal associations between marine omega-3 supplement users and coronary heart disease in a UK population-based cohort. </w:t>
      </w:r>
      <w:r w:rsidRPr="009241D8">
        <w:rPr>
          <w:rFonts w:cs="Times New Roman"/>
          <w:i/>
          <w:iCs/>
          <w:noProof/>
          <w:szCs w:val="24"/>
        </w:rPr>
        <w:t>BMJ Open</w:t>
      </w:r>
      <w:r w:rsidRPr="009241D8">
        <w:rPr>
          <w:rFonts w:cs="Times New Roman"/>
          <w:noProof/>
          <w:szCs w:val="24"/>
        </w:rPr>
        <w:t xml:space="preserve"> </w:t>
      </w:r>
      <w:r w:rsidRPr="009241D8">
        <w:rPr>
          <w:rFonts w:cs="Times New Roman"/>
          <w:b/>
          <w:bCs/>
          <w:noProof/>
          <w:szCs w:val="24"/>
        </w:rPr>
        <w:t>7</w:t>
      </w:r>
      <w:r w:rsidRPr="009241D8">
        <w:rPr>
          <w:rFonts w:cs="Times New Roman"/>
          <w:noProof/>
          <w:szCs w:val="24"/>
        </w:rPr>
        <w:t>, e017471.</w:t>
      </w:r>
    </w:p>
    <w:p w14:paraId="11DB5F70"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107. </w:t>
      </w:r>
      <w:r w:rsidRPr="009241D8">
        <w:rPr>
          <w:rFonts w:cs="Times New Roman"/>
          <w:noProof/>
          <w:szCs w:val="24"/>
        </w:rPr>
        <w:tab/>
        <w:t xml:space="preserve">Guallar E, Stranges S, Mulrow C, et al. (2013) Enough is enough: Stop wasting money on </w:t>
      </w:r>
      <w:r w:rsidRPr="009241D8">
        <w:rPr>
          <w:rFonts w:cs="Times New Roman"/>
          <w:noProof/>
          <w:szCs w:val="24"/>
        </w:rPr>
        <w:lastRenderedPageBreak/>
        <w:t xml:space="preserve">vitamin and mineral supplements. </w:t>
      </w:r>
      <w:r w:rsidRPr="009241D8">
        <w:rPr>
          <w:rFonts w:cs="Times New Roman"/>
          <w:i/>
          <w:iCs/>
          <w:noProof/>
          <w:szCs w:val="24"/>
        </w:rPr>
        <w:t>Ann. Intern. Med.</w:t>
      </w:r>
      <w:r w:rsidRPr="009241D8">
        <w:rPr>
          <w:rFonts w:cs="Times New Roman"/>
          <w:noProof/>
          <w:szCs w:val="24"/>
        </w:rPr>
        <w:t xml:space="preserve"> </w:t>
      </w:r>
      <w:r w:rsidRPr="009241D8">
        <w:rPr>
          <w:rFonts w:cs="Times New Roman"/>
          <w:b/>
          <w:bCs/>
          <w:noProof/>
          <w:szCs w:val="24"/>
        </w:rPr>
        <w:t>159</w:t>
      </w:r>
      <w:r w:rsidRPr="009241D8">
        <w:rPr>
          <w:rFonts w:cs="Times New Roman"/>
          <w:noProof/>
          <w:szCs w:val="24"/>
        </w:rPr>
        <w:t>, 850–851.</w:t>
      </w:r>
    </w:p>
    <w:p w14:paraId="27E90D7A"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108. </w:t>
      </w:r>
      <w:r w:rsidRPr="009241D8">
        <w:rPr>
          <w:rFonts w:cs="Times New Roman"/>
          <w:noProof/>
          <w:szCs w:val="24"/>
        </w:rPr>
        <w:tab/>
        <w:t xml:space="preserve">Manson JE &amp; Bassuk SS (2018) Vitamin and Mineral Supplements. </w:t>
      </w:r>
      <w:r w:rsidRPr="009241D8">
        <w:rPr>
          <w:rFonts w:cs="Times New Roman"/>
          <w:i/>
          <w:iCs/>
          <w:noProof/>
          <w:szCs w:val="24"/>
        </w:rPr>
        <w:t>JAMA</w:t>
      </w:r>
      <w:r w:rsidRPr="009241D8">
        <w:rPr>
          <w:rFonts w:cs="Times New Roman"/>
          <w:noProof/>
          <w:szCs w:val="24"/>
        </w:rPr>
        <w:t xml:space="preserve"> </w:t>
      </w:r>
      <w:r w:rsidRPr="009241D8">
        <w:rPr>
          <w:rFonts w:cs="Times New Roman"/>
          <w:b/>
          <w:bCs/>
          <w:noProof/>
          <w:szCs w:val="24"/>
        </w:rPr>
        <w:t>35</w:t>
      </w:r>
      <w:r w:rsidRPr="009241D8">
        <w:rPr>
          <w:rFonts w:cs="Times New Roman"/>
          <w:noProof/>
          <w:szCs w:val="24"/>
        </w:rPr>
        <w:t>, 729–747.</w:t>
      </w:r>
    </w:p>
    <w:p w14:paraId="32B6C73B"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109. </w:t>
      </w:r>
      <w:r w:rsidRPr="009241D8">
        <w:rPr>
          <w:rFonts w:cs="Times New Roman"/>
          <w:noProof/>
          <w:szCs w:val="24"/>
        </w:rPr>
        <w:tab/>
        <w:t xml:space="preserve">Mason P (2007) One is okay, more is better? Pharmacological aspects and safe limits of nutritional supplements. </w:t>
      </w:r>
      <w:r w:rsidRPr="009241D8">
        <w:rPr>
          <w:rFonts w:cs="Times New Roman"/>
          <w:i/>
          <w:iCs/>
          <w:noProof/>
          <w:szCs w:val="24"/>
        </w:rPr>
        <w:t>Proc. Nutr. Soc.</w:t>
      </w:r>
      <w:r w:rsidRPr="009241D8">
        <w:rPr>
          <w:rFonts w:cs="Times New Roman"/>
          <w:noProof/>
          <w:szCs w:val="24"/>
        </w:rPr>
        <w:t xml:space="preserve"> </w:t>
      </w:r>
      <w:r w:rsidRPr="009241D8">
        <w:rPr>
          <w:rFonts w:cs="Times New Roman"/>
          <w:b/>
          <w:bCs/>
          <w:noProof/>
          <w:szCs w:val="24"/>
        </w:rPr>
        <w:t>66</w:t>
      </w:r>
      <w:r w:rsidRPr="009241D8">
        <w:rPr>
          <w:rFonts w:cs="Times New Roman"/>
          <w:noProof/>
          <w:szCs w:val="24"/>
        </w:rPr>
        <w:t>, 493–507.</w:t>
      </w:r>
    </w:p>
    <w:p w14:paraId="2905E7F8" w14:textId="77777777" w:rsidR="009241D8" w:rsidRPr="009241D8" w:rsidRDefault="009241D8" w:rsidP="009241D8">
      <w:pPr>
        <w:widowControl w:val="0"/>
        <w:autoSpaceDE w:val="0"/>
        <w:autoSpaceDN w:val="0"/>
        <w:adjustRightInd w:val="0"/>
        <w:ind w:left="640" w:hanging="640"/>
        <w:rPr>
          <w:rFonts w:cs="Times New Roman"/>
          <w:noProof/>
          <w:szCs w:val="24"/>
        </w:rPr>
      </w:pPr>
      <w:r w:rsidRPr="009241D8">
        <w:rPr>
          <w:rFonts w:cs="Times New Roman"/>
          <w:noProof/>
          <w:szCs w:val="24"/>
        </w:rPr>
        <w:t xml:space="preserve">110. </w:t>
      </w:r>
      <w:r w:rsidRPr="009241D8">
        <w:rPr>
          <w:rFonts w:cs="Times New Roman"/>
          <w:noProof/>
          <w:szCs w:val="24"/>
        </w:rPr>
        <w:tab/>
        <w:t xml:space="preserve">Dwyer JT &amp; Costello RB (2013) Assessment of dietary supplement use. In </w:t>
      </w:r>
      <w:r w:rsidRPr="009241D8">
        <w:rPr>
          <w:rFonts w:cs="Times New Roman"/>
          <w:i/>
          <w:iCs/>
          <w:noProof/>
          <w:szCs w:val="24"/>
        </w:rPr>
        <w:t>Nutr. Prev. Treat. Dis.</w:t>
      </w:r>
      <w:r w:rsidRPr="009241D8">
        <w:rPr>
          <w:rFonts w:cs="Times New Roman"/>
          <w:noProof/>
          <w:szCs w:val="24"/>
        </w:rPr>
        <w:t>, 3rd ed., pp. 47–64 [Coulston AM, Boushey CJ, Ferruzzi MG, editors]. Academic Press (AP).</w:t>
      </w:r>
    </w:p>
    <w:p w14:paraId="62A0DE26" w14:textId="77777777" w:rsidR="009241D8" w:rsidRPr="009241D8" w:rsidRDefault="009241D8" w:rsidP="009241D8">
      <w:pPr>
        <w:widowControl w:val="0"/>
        <w:autoSpaceDE w:val="0"/>
        <w:autoSpaceDN w:val="0"/>
        <w:adjustRightInd w:val="0"/>
        <w:ind w:left="640" w:hanging="640"/>
        <w:rPr>
          <w:rFonts w:cs="Times New Roman"/>
          <w:noProof/>
        </w:rPr>
      </w:pPr>
      <w:r w:rsidRPr="009241D8">
        <w:rPr>
          <w:rFonts w:cs="Times New Roman"/>
          <w:noProof/>
          <w:szCs w:val="24"/>
        </w:rPr>
        <w:t xml:space="preserve">111. </w:t>
      </w:r>
      <w:r w:rsidRPr="009241D8">
        <w:rPr>
          <w:rFonts w:cs="Times New Roman"/>
          <w:noProof/>
          <w:szCs w:val="24"/>
        </w:rPr>
        <w:tab/>
        <w:t xml:space="preserve">EFSA Panel on Dietetic Products Nutrition and Allergies (NDA) (2012) Scientific Opinion on the Tolerable Upper Intake Level of eicosapentaenoic acid (EPA), docosahexaenoic acid (DHA) and docosapentaenoic acid. </w:t>
      </w:r>
      <w:r w:rsidRPr="009241D8">
        <w:rPr>
          <w:rFonts w:cs="Times New Roman"/>
          <w:i/>
          <w:iCs/>
          <w:noProof/>
          <w:szCs w:val="24"/>
        </w:rPr>
        <w:t>EFSA J.</w:t>
      </w:r>
      <w:r w:rsidRPr="009241D8">
        <w:rPr>
          <w:rFonts w:cs="Times New Roman"/>
          <w:noProof/>
          <w:szCs w:val="24"/>
        </w:rPr>
        <w:t xml:space="preserve"> </w:t>
      </w:r>
      <w:r w:rsidRPr="009241D8">
        <w:rPr>
          <w:rFonts w:cs="Times New Roman"/>
          <w:b/>
          <w:bCs/>
          <w:noProof/>
          <w:szCs w:val="24"/>
        </w:rPr>
        <w:t>10</w:t>
      </w:r>
      <w:r w:rsidRPr="009241D8">
        <w:rPr>
          <w:rFonts w:cs="Times New Roman"/>
          <w:noProof/>
          <w:szCs w:val="24"/>
        </w:rPr>
        <w:t>, 1–48.</w:t>
      </w:r>
    </w:p>
    <w:p w14:paraId="76ED34C6" w14:textId="580F7E84" w:rsidR="00867956" w:rsidRPr="00822B87" w:rsidRDefault="00EF6AC0" w:rsidP="000B3BA9">
      <w:r>
        <w:fldChar w:fldCharType="end"/>
      </w:r>
    </w:p>
    <w:p w14:paraId="5DAB6C7B" w14:textId="142F556F" w:rsidR="00822B87" w:rsidRDefault="00822B87" w:rsidP="000B3BA9">
      <w:pPr>
        <w:rPr>
          <w:rFonts w:asciiTheme="majorHAnsi" w:eastAsiaTheme="majorEastAsia" w:hAnsiTheme="majorHAnsi" w:cstheme="majorBidi"/>
          <w:color w:val="2F5496" w:themeColor="accent1" w:themeShade="BF"/>
          <w:szCs w:val="32"/>
        </w:rPr>
        <w:sectPr w:rsidR="00822B87" w:rsidSect="008020D7">
          <w:footerReference w:type="default" r:id="rId10"/>
          <w:pgSz w:w="11906" w:h="16838"/>
          <w:pgMar w:top="1134" w:right="1134" w:bottom="1134" w:left="1134" w:header="709" w:footer="709" w:gutter="0"/>
          <w:lnNumType w:countBy="1" w:restart="continuous"/>
          <w:cols w:space="708"/>
          <w:docGrid w:linePitch="360"/>
        </w:sectPr>
      </w:pPr>
    </w:p>
    <w:p w14:paraId="5C7A39FD" w14:textId="56828196" w:rsidR="00822B87" w:rsidRDefault="00822B87" w:rsidP="00822B87">
      <w:pPr>
        <w:pStyle w:val="Heading1"/>
      </w:pPr>
      <w:bookmarkStart w:id="9" w:name="_Ref507686557"/>
      <w:r>
        <w:lastRenderedPageBreak/>
        <w:t>Figures</w:t>
      </w:r>
    </w:p>
    <w:p w14:paraId="67B23407" w14:textId="77777777" w:rsidR="00822B87" w:rsidRPr="00822B87" w:rsidRDefault="00822B87" w:rsidP="00822B87"/>
    <w:p w14:paraId="29AC143C" w14:textId="755827DD" w:rsidR="00BF0B8D" w:rsidRDefault="00BF0B8D" w:rsidP="00BF0B8D">
      <w:pPr>
        <w:pStyle w:val="Caption"/>
        <w:keepNext/>
        <w:jc w:val="left"/>
      </w:pPr>
      <w:bookmarkStart w:id="10" w:name="_Ref513797298"/>
      <w:bookmarkEnd w:id="9"/>
      <w:r>
        <w:t xml:space="preserve">Figure </w:t>
      </w:r>
      <w:r w:rsidR="0060253E">
        <w:rPr>
          <w:noProof/>
        </w:rPr>
        <w:fldChar w:fldCharType="begin"/>
      </w:r>
      <w:r w:rsidR="0060253E">
        <w:rPr>
          <w:noProof/>
        </w:rPr>
        <w:instrText xml:space="preserve"> SEQ Figure \* ARABIC </w:instrText>
      </w:r>
      <w:r w:rsidR="0060253E">
        <w:rPr>
          <w:noProof/>
        </w:rPr>
        <w:fldChar w:fldCharType="separate"/>
      </w:r>
      <w:r w:rsidR="00D34A30">
        <w:rPr>
          <w:noProof/>
        </w:rPr>
        <w:t>1</w:t>
      </w:r>
      <w:r w:rsidR="0060253E">
        <w:rPr>
          <w:noProof/>
        </w:rPr>
        <w:fldChar w:fldCharType="end"/>
      </w:r>
      <w:bookmarkEnd w:id="10"/>
      <w:r>
        <w:t>:</w:t>
      </w:r>
      <w:r w:rsidRPr="00BF0B8D">
        <w:t xml:space="preserve"> </w:t>
      </w:r>
      <w:r w:rsidR="009E64FA">
        <w:t xml:space="preserve">Prevalence of any type of dietary supplement in EPIC-Europe as assessed by 24-hour recall </w:t>
      </w:r>
      <w:r w:rsidR="009E64FA">
        <w:fldChar w:fldCharType="begin" w:fldLock="1"/>
      </w:r>
      <w:r w:rsidR="00C1396B">
        <w:instrText>ADDIN CSL_CITATION { "citationItems" : [ { "id" : "ITEM-1", "itemData" : { "ISSN" : "0954-3007", "PMID" : "19888276", "abstract" : "BACKGROUND Dietary supplement use is increasing, but there are few comparable data on supplement intakes and how they affect the nutrition and health of European consumers. The aim of this study was to describe the use of dietary supplements in subsamples of the 10 countries participating in the European Prospective Investigation into Cancer and Nutrition (EPIC). METHODS Specific questions on dietary supplement use were asked as a part of single 24-h recalls performed on 36,034 men and women aged 35-74 years from 1995 to 2000. RESULTS Between countries, the mean percentage of dietary supplement use varied almost 10-fold among women and even more among men. There was a clear north-south gradient in use, with a higher consumption in northern countries. The lowest crude mean percentage of use was found in Greece (2.0% among men, 6.7% among women), and the highest was in Denmark (51.0% among men, 65.8% among women). Use was higher in women than in men. Vitamins, minerals or combinations of them were the predominant types of supplements reported, but there were striking differences between countries. CONCLUSIONS This study indicates that there are wide variations in supplement use in Europe, which may affect individual and population nutrient intakes. The results underline the need to monitor consumption of dietary supplements in Europe, as well as to evaluate the risks and benefits.", "author" : [ { "dropping-particle" : "", "family" : "Skeie", "given" : "G.", "non-dropping-particle" : "", "parse-names" : false, "suffix" : "" }, { "dropping-particle" : "", "family" : "Braaten", "given" : "T.", "non-dropping-particle" : "", "parse-names" : false, "suffix" : "" }, { "dropping-particle" : "", "family" : "Hjart\u00e5ker", "given" : "A.", "non-dropping-particle" : "", "parse-names" : false, "suffix" : "" }, { "dropping-particle" : "", "family" : "Lentjes", "given" : "M.", "non-dropping-particle" : "", "parse-names" : false, "suffix" : "" }, { "dropping-particle" : "", "family" : "Amiano", "given" : "P.", "non-dropping-particle" : "", "parse-names" : false, "suffix" : "" }, { "dropping-particle" : "", "family" : "Jakszyn", "given" : "P.", "non-dropping-particle" : "", "parse-names" : false, "suffix" : "" }, { "dropping-particle" : "", "family" : "Pala", "given" : "V.", "non-dropping-particle" : "", "parse-names" : false, "suffix" : "" }, { "dropping-particle" : "", "family" : "Palanca", "given" : "A.", "non-dropping-particle" : "", "parse-names" : false, "suffix" : "" }, { "dropping-particle" : "", "family" : "Niekerk", "given" : "E.M. M", "non-dropping-particle" : "", "parse-names" : false, "suffix" : "" }, { "dropping-particle" : "", "family" : "Verhagen", "given" : "H.", "non-dropping-particle" : "", "parse-names" : false, "suffix" : "" }, { "dropping-particle" : "", "family" : "Avloniti", "given" : "K.", "non-dropping-particle" : "", "parse-names" : false, "suffix" : "" }, { "dropping-particle" : "", "family" : "Psaltopoulou", "given" : "T.", "non-dropping-particle" : "", "parse-names" : false, "suffix" : "" }, { "dropping-particle" : "", "family" : "Niravong", "given" : "M.", "non-dropping-particle" : "", "parse-names" : false, "suffix" : "" }, { "dropping-particle" : "", "family" : "Touvier", "given" : "M.", "non-dropping-particle" : "", "parse-names" : false, "suffix" : "" }, { "dropping-particle" : "", "family" : "Nimptsch", "given" : "K.", "non-dropping-particle" : "", "parse-names" : false, "suffix" : "" }, { "dropping-particle" : "", "family" : "Haubrock", "given" : "J.", "non-dropping-particle" : "", "parse-names" : false, "suffix" : "" }, { "dropping-particle" : "", "family" : "Walker", "given" : "L.", "non-dropping-particle" : "", "parse-names" : false, "suffix" : "" }, { "dropping-particle" : "", "family" : "Spencer", "given" : "E.A. a", "non-dropping-particle" : "", "parse-names" : false, "suffix" : "" }, { "dropping-particle" : "", "family" : "Roswall", "given" : "N.", "non-dropping-particle" : "", "parse-names" : false, "suffix" : "" }, { "dropping-particle" : "", "family" : "Olsen", "given" : "A.", "non-dropping-particle" : "", "parse-names" : false, "suffix" : "" }, { "dropping-particle" : "", "family" : "Wallstr\u00f6m", "given" : "P.", "non-dropping-particle" : "", "parse-names" : false, "suffix" : "" }, { "dropping-particle" : "", "family" : "Nilsson", "given" : "S.", "non-dropping-particle" : "", "parse-names" : false, "suffix" : "" }, { "dropping-particle" : "", "family" : "Casagrande", "given" : "C.", "non-dropping-particle" : "", "parse-names" : false, "suffix" : "" }, { "dropping-particle" : "", "family" : "Deharveng", "given" : "G.", "non-dropping-particle" : "", "parse-names" : false, "suffix" : "" }, { "dropping-particle" : "", "family" : "Hellstr\u00f6m", "given" : "V.", "non-dropping-particle" : "", "parse-names" : false, "suffix" : "" }, { "dropping-particle" : "", "family" : "Boutron-Ruault", "given" : "M-C", "non-dropping-particle" : "", "parse-names" : false, "suffix" : "" }, { "dropping-particle" : "", "family" : "Tj\u00f8nneland", "given" : "A.", "non-dropping-particle" : "", "parse-names" : false, "suffix" : "" }, { "dropping-particle" : "", "family" : "Joensen", "given" : "A.M. M", "non-dropping-particle" : "", "parse-names" : false, "suffix" : "" }, { "dropping-particle" : "", "family" : "Clavel-Chapelon", "given" : "F.", "non-dropping-particle" : "", "parse-names" : false, "suffix" : "" }, { "dropping-particle" : "", "family" : "Trichopoulou", "given" : "A.", "non-dropping-particle" : "", "parse-names" : false, "suffix" : "" }, { "dropping-particle" : "", "family" : "Martinez", "given" : "C.", "non-dropping-particle" : "", "parse-names" : false, "suffix" : "" }, { "dropping-particle" : "", "family" : "Rodr\u00edguez", "given" : "L.", "non-dropping-particle" : "", "parse-names" : false, "suffix" : "" }, { "dropping-particle" : "", "family" : "Frasca", "given" : "G.", "non-dropping-particle" : "", "parse-names" : false, "suffix" : "" }, { "dropping-particle" : "", "family" : "Sacerdote", "given" : "C.", "non-dropping-particle" : "", "parse-names" : false, "suffix" : "" }, { "dropping-particle" : "", "family" : "Peeters", "given" : "P.H.M. H M", "non-dropping-particle" : "", "parse-names" : false, "suffix" : "" }, { "dropping-particle" : "", "family" : "Linseisen", "given" : "J.", "non-dropping-particle" : "", "parse-names" : false, "suffix" : "" }, { "dropping-particle" : "", "family" : "Schienkiewitz", "given" : "A.", "non-dropping-particle" : "", "parse-names" : false, "suffix" : "" }, { "dropping-particle" : "", "family" : "Welch", "given" : "A.A. A", "non-dropping-particle" : "", "parse-names" : false, "suffix" : "" }, { "dropping-particle" : "", "family" : "Manjer", "given" : "J.", "non-dropping-particle" : "", "parse-names" : false, "suffix" : "" }, { "dropping-particle" : "", "family" : "Ferrari", "given" : "P.", "non-dropping-particle" : "", "parse-names" : false, "suffix" : "" }, { "dropping-particle" : "", "family" : "Riboli", "given" : "E.", "non-dropping-particle" : "", "parse-names" : false, "suffix" : "" }, { "dropping-particle" : "", "family" : "Bingham", "given" : "S.", "non-dropping-particle" : "", "parse-names" : false, "suffix" : "" }, { "dropping-particle" : "", "family" : "Engeset", "given" : "D.", "non-dropping-particle" : "", "parse-names" : false, "suffix" : "" }, { "dropping-particle" : "", "family" : "Lund", "given" : "E.", "non-dropping-particle" : "", "parse-names" : false, "suffix" : "" }, { "dropping-particle" : "", "family" : "Slimani", "given" : "N.", "non-dropping-particle" : "", "parse-names" : false, "suffix" : "" } ], "container-title" : "European Journal of Clinical Nutrition", "id" : "ITEM-1", "issue" : "SUPPL. 4", "issued" : { "date-parts" : [ [ "2009", "11" ] ] }, "note" : "From Duplicate 2 (Use of dietary supplements in the European Prospective Investigation into Cancer and Nutrition calibration study. - Skeie, G; Braaten, T; Hjart\u00e5ker, A; Lentjes, M; Amiano, P; Jakszyn, P; Pala, V; Palanca, A; Niekerk, E M; Verhagen, H; Avloniti, K; Psaltopoulou, T; Niravong, M; Touvier, M; Nimptsch, K; Haubrock, J; Walker, L; Spencer, E a; Roswall, N; Olsen, A; Wallstr\u00f6m, P; Nilsson, S; Casagrande, C; Deharveng, G; Hellstr\u00f6m, V; Boutron-Ruault, M-C; Tj\u00f8nneland, A; Joensen, A M; Clavel-Chapelon, F; Trichopoulou, A; Martinez, C; Rodr\u00edguez, L; Frasca, G; Sacerdote, C; Peeters, P H M; Linseisen, J; Schienkiewitz, A; Welch, A A; Manjer, J; Ferrari, P; Riboli, E; Bingham, S; Engeset, D; Lund, E; Slimani, N)\n\nFrom Duplicate 2 ( Use of dietary supplements in the European Prospective Investigation into Cancer and Nutrition calibration study - Skeie, G; Braaten, T; Hjartaker, A; Lentjes, M; Amiano, P; Jakszyn, P; Pala, V; Palanca, A; Niekerk, E M; Verhagen, H; Avloniti, K; Psaltopoulou, T; Niravong, M; Touvier, M; Nimptsch, K; Haubrock, J; Walker, L; Spencer, E A; Roswall, N; Olsen, A; Wallstrom, P; Nilsson, S; Casagrande, C; Deharveng, G; Hellstrom, V; Boutron-Ruault, M C; Tjonneland, A; Joensen, A M; Clavel-Chapelon, F; Trichopoulou, A; Martinez, C; Rodriguez, L; Frasca, G; Sacerdote, C; Peeters, P H M; Linseisen, J; Schienkiewitz, A; Welch, A A; Manjer, J; Ferrari, P; Riboli, E; Bingham, S; Engeset, D; Lund, E; Slimani, N )\n\nTimes Cited: 4\nArticle\nEnglish\nSkeie, G\nUniv Tromso, Inst Community Med, N-9037 Tromso, Norway\nCited References Count: 48\n515LB\nNATURE PUBLISHING GROUP\nMACMILLAN BUILDING, 4 CRINAN ST, LONDON N1 9XW, ENGLAND\nLONDON\nSuppl. 4", "page" : "S226-S238", "title" : "Use of dietary supplements in the European Prospective Investigation into Cancer and Nutrition calibration study", "type" : "article-journal", "volume" : "63" }, "uris" : [ "http://www.mendeley.com/documents/?uuid=947d9376-ed85-449f-bd62-107b2db32dec" ] } ], "mendeley" : { "formattedCitation" : "&lt;sup&gt;(31)&lt;/sup&gt;", "plainTextFormattedCitation" : "(31)", "previouslyFormattedCitation" : "&lt;sup&gt;(31)&lt;/sup&gt;" }, "properties" : { "noteIndex" : 0 }, "schema" : "https://github.com/citation-style-language/schema/raw/master/csl-citation.json" }</w:instrText>
      </w:r>
      <w:r w:rsidR="009E64FA">
        <w:fldChar w:fldCharType="separate"/>
      </w:r>
      <w:r w:rsidR="009E64FA" w:rsidRPr="009E64FA">
        <w:rPr>
          <w:b w:val="0"/>
          <w:bCs w:val="0"/>
          <w:noProof/>
          <w:vertAlign w:val="superscript"/>
        </w:rPr>
        <w:t>(31)</w:t>
      </w:r>
      <w:r w:rsidR="009E64FA">
        <w:fldChar w:fldCharType="end"/>
      </w:r>
      <w:r w:rsidR="009E64FA">
        <w:t xml:space="preserve">.  Data collection of the calibration study </w:t>
      </w:r>
      <w:proofErr w:type="gramStart"/>
      <w:r w:rsidR="009E64FA">
        <w:t>between 1995-2000</w:t>
      </w:r>
      <w:proofErr w:type="gramEnd"/>
      <w:r w:rsidR="009E64FA">
        <w:t xml:space="preserve">. </w:t>
      </w:r>
    </w:p>
    <w:p w14:paraId="51FE3C13" w14:textId="77777777" w:rsidR="0021588B" w:rsidRPr="0021588B" w:rsidRDefault="0021588B" w:rsidP="0021588B"/>
    <w:p w14:paraId="491D0F66" w14:textId="60BD1001" w:rsidR="00136E10" w:rsidRDefault="00136E10" w:rsidP="00136E10">
      <w:pPr>
        <w:pStyle w:val="Caption"/>
        <w:keepNext/>
        <w:jc w:val="left"/>
      </w:pPr>
      <w:bookmarkStart w:id="11" w:name="_Ref504513994"/>
      <w:r>
        <w:t xml:space="preserve">Figure </w:t>
      </w:r>
      <w:r w:rsidR="0060253E">
        <w:rPr>
          <w:noProof/>
        </w:rPr>
        <w:fldChar w:fldCharType="begin"/>
      </w:r>
      <w:r w:rsidR="0060253E">
        <w:rPr>
          <w:noProof/>
        </w:rPr>
        <w:instrText xml:space="preserve"> SEQ Figure \* ARABIC </w:instrText>
      </w:r>
      <w:r w:rsidR="0060253E">
        <w:rPr>
          <w:noProof/>
        </w:rPr>
        <w:fldChar w:fldCharType="separate"/>
      </w:r>
      <w:r w:rsidR="00D34A30">
        <w:rPr>
          <w:noProof/>
        </w:rPr>
        <w:t>2</w:t>
      </w:r>
      <w:r w:rsidR="0060253E">
        <w:rPr>
          <w:noProof/>
        </w:rPr>
        <w:fldChar w:fldCharType="end"/>
      </w:r>
      <w:bookmarkEnd w:id="11"/>
      <w:r>
        <w:t>: Schematic of the various DRV</w:t>
      </w:r>
      <w:r w:rsidR="00AE1CA1">
        <w:t>s</w:t>
      </w:r>
      <w:r>
        <w:t>.</w:t>
      </w:r>
      <w:r w:rsidR="00AB72B7">
        <w:t xml:space="preserve">  Adapted and combined from </w:t>
      </w:r>
      <w:r w:rsidR="00AB72B7">
        <w:fldChar w:fldCharType="begin" w:fldLock="1"/>
      </w:r>
      <w:r w:rsidR="009241D8">
        <w:instrText>ADDIN CSL_CITATION { "citationItems" : [ { "id" : "ITEM-1", "itemData" : { "author" : [ { "dropping-particle" : "", "family" : "COMA", "given" : "", "non-dropping-particle" : "", "parse-names" : false, "suffix" : "" } ], "id" : "ITEM-1", "issued" : { "date-parts" : [ [ "1991" ] ] }, "publisher" : "HMSO", "title" : "Dietary Reference Values for food energy and nutrients for the United Kingdom. Report of the Panel on Dietary Reference Values, Committee on Medical Aspects of Food Policy", "type" : "report", "volume" : "41" }, "uris" : [ "http://www.mendeley.com/documents/?uuid=d98a70ae-a0ed-4a0a-97db-ac9fb1deedb4" ] }, { "id" : "ITEM-2", "itemData" : { "ISSN" : "0029-6651", "PMID" : "17961270", "abstract" : "The use of vitamins, minerals and other supplements has increased considerably during recent years. In the National Diet and Nutrition Survey of British adults aged 19-64 years 40% of those surveyed were taking supplements. In 2005 sales of dietary supplements in the UK were approximately pound sterling 325.7 x 106 in 'bricks and mortar' shops (excluding health food shops). The physiological effects of vitamins and minerals in amounts approximating to the UK reference nutrient intake or the EU RDA are well understood in terms of reducing the risk of micronutrient deficiency. However, the effects of vitamins, minerals and other supplements in larger amounts have attracted much attention in recent decades, and these effects, some of which may be pharmacological, are not as well categorised. Some of these effects are beneficial, some are not. Although vitamins and minerals and other supplements are generally safe at higher doses, there are some safety issues that are relevant in the context of the wide availability of supplements without a doctor's prescription. Thus, several authorities throughout the world have established upper limits (UL) for the intake of vitamins and minerals, and the EU is in the process of setting maximum permitted levels (MPL) for vitamins and minerals in food supplements. The present paper discusses the potential benefits and safety issues relating to the use of supplements at doses higher than the RDA. The rationale for the establishment of UL is also discussed, explaining the differences between the values set by different authorities and the expected guidance and legislation from the European Commission on MPL for vitamins and minerals in food supplements.", "author" : [ { "dropping-particle" : "", "family" : "Mason", "given" : "Pamela", "non-dropping-particle" : "", "parse-names" : false, "suffix" : "" } ], "container-title" : "The Proceedings of the Nutrition Society", "id" : "ITEM-2", "issue" : "4", "issued" : { "date-parts" : [ [ "2007", "11" ] ] }, "note" : "DA - 20071026\n\n0 (Minerals)\n\n0 (Vitamins)\nSB - IM", "page" : "493-507", "title" : "One is okay, more is better? Pharmacological aspects and safe limits of nutritional supplements.", "type" : "article-journal", "volume" : "66" }, "uris" : [ "http://www.mendeley.com/documents/?uuid=8c90f98d-bb32-4499-926b-e7ac93b16bc4" ] }, { "id" : "ITEM-3", "itemData" : { "ISSN" : "0002-9165", "abstract" : "Assessment of the safety of nutrients presents a challenge different from that posed by the assessment of other chemicals in food such as additives or contaminants. Because nutrients are essential, a dose-response relation exists at both ends of the intake range, separated by a safe range of intake that reflects normal homeostatic processes. The safe intake may not be the same for all population groups and life stages. The size of the safe intake range for each nutrient will vary and in a few cases may be very small. Certain nutrients such as vitamin A and manganese have known and potentially serious adverse effects at high intakes, whereas others such as iron or vitamin C may have more minor adverse effects that are readily reversible and may only be associated with supplement intake. The risk of harm occurring from taking dietary supplements will depend on the safe intake range of the nutrient concerned, the susceptibility of the individual, and the likely intake of the same nutrient from other supplements or the rest of the diet. In many cases, the available database for the safety of nutrients is very limited because the studies, where available, were not designed to assess adverse effects but may have detected problems when they occurred. Further information on the safety of nutrients could be obtained through careful experimental design", "author" : [ { "dropping-particle" : "", "family" : "Mulholland", "given" : "C A", "non-dropping-particle" : "", "parse-names" : false, "suffix" : "" }, { "dropping-particle" : "", "family" : "Benford", "given" : "D J", "non-dropping-particle" : "", "parse-names" : false, "suffix" : "" } ], "container-title" : "Am J Clin Nutr", "id" : "ITEM-3", "issue" : "1", "issued" : { "date-parts" : [ [ "2007", "1" ] ] }, "note" : "Times Cited: 3\nProceedings Paper\nEnglish\nBenford, D. J\nFood Stand Agcy, Toxicol Unit, Chem Safety Div, 125 Kingsway, London WC2B 6NH, England\nCited References Count: 20\n125CP\nAMER SOC CLINICAL NUTRITION\n9650 ROCKVILLE PIKE, SUBSCRIPTIONS, RM L-3300, BETHESDA, MD 20814-3998 USA\nBETHESDA", "page" : "318S-322S", "title" : "What is known about the safety of multivitamin-multimineral supplements for the generally healthy population? Theoretical basis for harm", "type" : "article-journal", "volume" : "85" }, "uris" : [ "http://www.mendeley.com/documents/?uuid=cdce5556-2731-436a-82db-599cfcbc5976" ] } ], "mendeley" : { "formattedCitation" : "&lt;sup&gt;(40,83,109)&lt;/sup&gt;", "plainTextFormattedCitation" : "(40,83,109)", "previouslyFormattedCitation" : "&lt;sup&gt;(40,83,109)&lt;/sup&gt;" }, "properties" : { "noteIndex" : 0 }, "schema" : "https://github.com/citation-style-language/schema/raw/master/csl-citation.json" }</w:instrText>
      </w:r>
      <w:r w:rsidR="00AB72B7">
        <w:fldChar w:fldCharType="separate"/>
      </w:r>
      <w:r w:rsidR="00C40694" w:rsidRPr="00C40694">
        <w:rPr>
          <w:b w:val="0"/>
          <w:bCs w:val="0"/>
          <w:noProof/>
          <w:vertAlign w:val="superscript"/>
        </w:rPr>
        <w:t>(40,83,109)</w:t>
      </w:r>
      <w:r w:rsidR="00AB72B7">
        <w:fldChar w:fldCharType="end"/>
      </w:r>
      <w:r w:rsidR="00AB72B7">
        <w:t>.</w:t>
      </w:r>
    </w:p>
    <w:p w14:paraId="369D5718" w14:textId="5A3A0136" w:rsidR="00BC0815" w:rsidRDefault="00542F3B" w:rsidP="00E71106">
      <w:pPr>
        <w:pStyle w:val="NoSpacing"/>
      </w:pPr>
      <w:r>
        <w:t xml:space="preserve">DRV, dietary reference value; </w:t>
      </w:r>
      <w:r w:rsidR="7AF5BD86">
        <w:t>LRNI, lower reference nutrient intake; EAR, estimated average requirement; RNI, reference nutrient intake; SUL, safe upper level.</w:t>
      </w:r>
    </w:p>
    <w:p w14:paraId="0D0B940D" w14:textId="6D17F9E3" w:rsidR="00DC75FD" w:rsidRDefault="00DC75FD">
      <w:pPr>
        <w:spacing w:line="259" w:lineRule="auto"/>
      </w:pPr>
    </w:p>
    <w:p w14:paraId="53A524AC" w14:textId="66A5C338" w:rsidR="00C11B5A" w:rsidRDefault="00C11B5A" w:rsidP="00DA6C65">
      <w:pPr>
        <w:pStyle w:val="Caption"/>
        <w:keepNext/>
        <w:jc w:val="left"/>
      </w:pPr>
      <w:bookmarkStart w:id="12" w:name="_Ref505177568"/>
      <w:r>
        <w:t xml:space="preserve">Figure </w:t>
      </w:r>
      <w:r w:rsidR="0060253E">
        <w:rPr>
          <w:noProof/>
        </w:rPr>
        <w:fldChar w:fldCharType="begin"/>
      </w:r>
      <w:r w:rsidR="0060253E">
        <w:rPr>
          <w:noProof/>
        </w:rPr>
        <w:instrText xml:space="preserve"> SEQ Figure \* ARABIC </w:instrText>
      </w:r>
      <w:r w:rsidR="0060253E">
        <w:rPr>
          <w:noProof/>
        </w:rPr>
        <w:fldChar w:fldCharType="separate"/>
      </w:r>
      <w:r w:rsidR="00D34A30">
        <w:rPr>
          <w:noProof/>
        </w:rPr>
        <w:t>3</w:t>
      </w:r>
      <w:r w:rsidR="0060253E">
        <w:rPr>
          <w:noProof/>
        </w:rPr>
        <w:fldChar w:fldCharType="end"/>
      </w:r>
      <w:bookmarkEnd w:id="12"/>
      <w:r>
        <w:t xml:space="preserve">: Vitamin C </w:t>
      </w:r>
      <w:r w:rsidR="00293B03">
        <w:t>TNI</w:t>
      </w:r>
      <w:r>
        <w:t xml:space="preserve"> distribution by vitamin C supplement user group status among </w:t>
      </w:r>
      <w:r w:rsidR="00C90995">
        <w:t>men and women &gt;18 years</w:t>
      </w:r>
      <w:r>
        <w:t>.  Data from NDNS from years 1-4 of the rolling programme</w:t>
      </w:r>
      <w:r w:rsidR="00EF01B1">
        <w:t xml:space="preserve"> </w:t>
      </w:r>
      <w:r w:rsidR="005F5E75">
        <w:fldChar w:fldCharType="begin" w:fldLock="1"/>
      </w:r>
      <w:r w:rsidR="00C1396B">
        <w:instrText>ADDIN CSL_CITATION { "citationItems" : [ { "id" : "ITEM-1", "itemData" : { "author" : [ { "dropping-particle" : "", "family" : "NatCen", "given" : "Social Research", "non-dropping-particle" : "", "parse-names" : false, "suffix" : "" }, { "dropping-particle" : "", "family" : "MRC", "given" : "Elsie Widdowson Laboratory", "non-dropping-particle" : "", "parse-names" : false, "suffix" : "" }, { "dropping-particle" : "", "family" : "University College London", "given" : "Medical School", "non-dropping-particle" : "", "parse-names" : false, "suffix" : "" } ], "edition" : "8", "id" : "ITEM-1", "issued" : { "date-parts" : [ [ "2017" ] ] }, "publisher" : "UK Data Archive", "publisher-place" : "Colchester, Essex", "title" : "National Diet and Nutrition Survey Years 1-6, 2008/09-2013/14 [computer file]", "type" : "book" }, "uris" : [ "http://www.mendeley.com/documents/?uuid=f5989500-db3a-42f2-9d81-7bc57349ed79" ] } ], "mendeley" : { "formattedCitation" : "&lt;sup&gt;(26)&lt;/sup&gt;", "plainTextFormattedCitation" : "(26)", "previouslyFormattedCitation" : "&lt;sup&gt;(26)&lt;/sup&gt;" }, "properties" : { "noteIndex" : 0 }, "schema" : "https://github.com/citation-style-language/schema/raw/master/csl-citation.json" }</w:instrText>
      </w:r>
      <w:r w:rsidR="005F5E75">
        <w:fldChar w:fldCharType="separate"/>
      </w:r>
      <w:r w:rsidR="00975B94" w:rsidRPr="00975B94">
        <w:rPr>
          <w:b w:val="0"/>
          <w:bCs w:val="0"/>
          <w:noProof/>
          <w:vertAlign w:val="superscript"/>
        </w:rPr>
        <w:t>(26)</w:t>
      </w:r>
      <w:r w:rsidR="005F5E75">
        <w:fldChar w:fldCharType="end"/>
      </w:r>
      <w:r>
        <w:t>.</w:t>
      </w:r>
    </w:p>
    <w:p w14:paraId="4ED86505" w14:textId="09F0A3F0" w:rsidR="00293B03" w:rsidRPr="00D63EB1" w:rsidRDefault="7AF5BD86" w:rsidP="00D63EB1">
      <w:pPr>
        <w:pStyle w:val="NoSpacing"/>
      </w:pPr>
      <w:r w:rsidRPr="00D63EB1">
        <w:t>TNI, total nutrient intake (food + supplements); NSU, non-supplement users; SU, supplement users; SU+C, supplement user consumes a vitamin C containing supplement; SU</w:t>
      </w:r>
      <w:r w:rsidR="00A327C7" w:rsidRPr="00D63EB1">
        <w:noBreakHyphen/>
      </w:r>
      <w:r w:rsidRPr="00D63EB1">
        <w:t xml:space="preserve">C, supplement user consumes a supplement without vitamin C; </w:t>
      </w:r>
      <w:r w:rsidR="00D63EB1" w:rsidRPr="00D63EB1">
        <w:t>NDNS; national d</w:t>
      </w:r>
      <w:r w:rsidR="00D63EB1">
        <w:t>i</w:t>
      </w:r>
      <w:r w:rsidR="00D63EB1" w:rsidRPr="00D63EB1">
        <w:t xml:space="preserve">et and nutrition survey; </w:t>
      </w:r>
      <w:r w:rsidRPr="00D63EB1">
        <w:t>LRNI, lower reference nutrient intake (10 mg/d); EAR, estimated average requirement (25 mg/d); RNI, reference nutrient intake (40 mg/d); 1000 mg/d being the intake at which GI-problems have been reported.</w:t>
      </w:r>
    </w:p>
    <w:p w14:paraId="60061E4C" w14:textId="1BC7E1FC" w:rsidR="00C11B5A" w:rsidRPr="00293B03" w:rsidRDefault="00C11B5A">
      <w:pPr>
        <w:spacing w:line="259" w:lineRule="auto"/>
      </w:pPr>
    </w:p>
    <w:p w14:paraId="3656B9AB" w14:textId="77777777" w:rsidR="00DA6C65" w:rsidRDefault="00DA6C65" w:rsidP="000B3BA9"/>
    <w:p w14:paraId="45FB0818" w14:textId="77777777" w:rsidR="00DA6C65" w:rsidRDefault="00DA6C65" w:rsidP="00DA6C65">
      <w:pPr>
        <w:spacing w:line="259" w:lineRule="auto"/>
        <w:sectPr w:rsidR="00DA6C65" w:rsidSect="00272BC4">
          <w:pgSz w:w="11906" w:h="16838"/>
          <w:pgMar w:top="1134" w:right="1134" w:bottom="1134" w:left="1134" w:header="709" w:footer="709" w:gutter="0"/>
          <w:cols w:space="708"/>
          <w:docGrid w:linePitch="360"/>
        </w:sectPr>
      </w:pPr>
    </w:p>
    <w:p w14:paraId="3A41DA0B" w14:textId="3692FD3D" w:rsidR="00822B87" w:rsidRDefault="00822B87" w:rsidP="00822B87">
      <w:pPr>
        <w:pStyle w:val="Heading1"/>
      </w:pPr>
      <w:bookmarkStart w:id="13" w:name="_Ref503867346"/>
      <w:r>
        <w:lastRenderedPageBreak/>
        <w:t>Tables</w:t>
      </w:r>
    </w:p>
    <w:p w14:paraId="4009E427" w14:textId="77777777" w:rsidR="00822B87" w:rsidRPr="00822B87" w:rsidRDefault="00822B87" w:rsidP="00822B87"/>
    <w:p w14:paraId="1F8FDCDC" w14:textId="7CD321D7" w:rsidR="00396A5C" w:rsidRDefault="00396A5C" w:rsidP="00396A5C">
      <w:pPr>
        <w:pStyle w:val="Caption"/>
        <w:keepNext/>
      </w:pPr>
      <w:bookmarkStart w:id="14" w:name="_Ref513796507"/>
      <w:bookmarkEnd w:id="13"/>
      <w:proofErr w:type="gramStart"/>
      <w:r>
        <w:t xml:space="preserve">Table </w:t>
      </w:r>
      <w:r w:rsidR="0060253E">
        <w:rPr>
          <w:noProof/>
        </w:rPr>
        <w:fldChar w:fldCharType="begin"/>
      </w:r>
      <w:r w:rsidR="0060253E">
        <w:rPr>
          <w:noProof/>
        </w:rPr>
        <w:instrText xml:space="preserve"> SEQ Table \* ARABIC </w:instrText>
      </w:r>
      <w:r w:rsidR="0060253E">
        <w:rPr>
          <w:noProof/>
        </w:rPr>
        <w:fldChar w:fldCharType="separate"/>
      </w:r>
      <w:r w:rsidR="00D34A30">
        <w:rPr>
          <w:noProof/>
        </w:rPr>
        <w:t>1</w:t>
      </w:r>
      <w:r w:rsidR="0060253E">
        <w:rPr>
          <w:noProof/>
        </w:rPr>
        <w:fldChar w:fldCharType="end"/>
      </w:r>
      <w:bookmarkEnd w:id="14"/>
      <w:r>
        <w:t>: Overview</w:t>
      </w:r>
      <w:r>
        <w:rPr>
          <w:noProof/>
        </w:rPr>
        <w:t xml:space="preserve"> of dietary supplement assessment instruments and characteristics of collected data.</w:t>
      </w:r>
      <w:proofErr w:type="gramEnd"/>
      <w:r>
        <w:rPr>
          <w:noProof/>
        </w:rPr>
        <w:t xml:space="preserve">  A summary based on Dwyer </w:t>
      </w:r>
      <w:r w:rsidRPr="7AF5BD86">
        <w:rPr>
          <w:i/>
          <w:iCs/>
          <w:noProof/>
        </w:rPr>
        <w:t>et al.</w:t>
      </w:r>
      <w:r>
        <w:rPr>
          <w:noProof/>
        </w:rPr>
        <w:t xml:space="preserve"> </w:t>
      </w:r>
      <w:r w:rsidRPr="7AF5BD86">
        <w:fldChar w:fldCharType="begin" w:fldLock="1"/>
      </w:r>
      <w:r w:rsidR="009241D8">
        <w:rPr>
          <w:noProof/>
        </w:rPr>
        <w:instrText>ADDIN CSL_CITATION { "citationItems" : [ { "id" : "ITEM-1", "itemData" : { "author" : [ { "dropping-particle" : "", "family" : "Dwyer", "given" : "Johanna T.", "non-dropping-particle" : "", "parse-names" : false, "suffix" : "" }, { "dropping-particle" : "", "family" : "Costello", "given" : "Rebecca B.", "non-dropping-particle" : "", "parse-names" : false, "suffix" : "" } ], "chapter-number" : "Assessment", "container-title" : "Nutrition in the prevention and treatment of disease", "edition" : "3rd", "editor" : [ { "dropping-particle" : "", "family" : "Coulston", "given" : "Ann M", "non-dropping-particle" : "", "parse-names" : false, "suffix" : "" }, { "dropping-particle" : "", "family" : "Boushey", "given" : "Carol J", "non-dropping-particle" : "", "parse-names" : false, "suffix" : "" }, { "dropping-particle" : "", "family" : "Ferruzzi", "given" : "Mario G", "non-dropping-particle" : "", "parse-names" : false, "suffix" : "" } ], "id" : "ITEM-1", "issued" : { "date-parts" : [ [ "2013" ] ] }, "page" : "47-64", "publisher" : "Academic Press (AP)", "title" : "Assessment of dietary supplement use", "type" : "chapter" }, "uris" : [ "http://www.mendeley.com/documents/?uuid=6f65e7e4-b48f-4d9a-8aac-1f90157f7357" ] } ], "mendeley" : { "formattedCitation" : "&lt;sup&gt;(110)&lt;/sup&gt;", "plainTextFormattedCitation" : "(110)", "previouslyFormattedCitation" : "&lt;sup&gt;(110)&lt;/sup&gt;" }, "properties" : { "noteIndex" : 0 }, "schema" : "https://github.com/citation-style-language/schema/raw/master/csl-citation.json" }</w:instrText>
      </w:r>
      <w:r w:rsidRPr="7AF5BD86">
        <w:rPr>
          <w:noProof/>
        </w:rPr>
        <w:fldChar w:fldCharType="separate"/>
      </w:r>
      <w:r w:rsidR="00C40694" w:rsidRPr="00C40694">
        <w:rPr>
          <w:b w:val="0"/>
          <w:bCs w:val="0"/>
          <w:noProof/>
          <w:vertAlign w:val="superscript"/>
        </w:rPr>
        <w:t>(110)</w:t>
      </w:r>
      <w:r w:rsidRPr="7AF5BD86">
        <w:fldChar w:fldCharType="end"/>
      </w:r>
    </w:p>
    <w:tbl>
      <w:tblPr>
        <w:tblStyle w:val="TableDissertation"/>
        <w:tblW w:w="0" w:type="auto"/>
        <w:tblLook w:val="04A0" w:firstRow="1" w:lastRow="0" w:firstColumn="1" w:lastColumn="0" w:noHBand="0" w:noVBand="1"/>
      </w:tblPr>
      <w:tblGrid>
        <w:gridCol w:w="2294"/>
        <w:gridCol w:w="1890"/>
        <w:gridCol w:w="1803"/>
        <w:gridCol w:w="1694"/>
        <w:gridCol w:w="1165"/>
        <w:gridCol w:w="1008"/>
      </w:tblGrid>
      <w:tr w:rsidR="00DA6C65" w14:paraId="50EA0BD3" w14:textId="77777777" w:rsidTr="7AF5BD86">
        <w:trPr>
          <w:cnfStyle w:val="100000000000" w:firstRow="1" w:lastRow="0" w:firstColumn="0" w:lastColumn="0" w:oddVBand="0" w:evenVBand="0" w:oddHBand="0" w:evenHBand="0" w:firstRowFirstColumn="0" w:firstRowLastColumn="0" w:lastRowFirstColumn="0" w:lastRowLastColumn="0"/>
        </w:trPr>
        <w:tc>
          <w:tcPr>
            <w:tcW w:w="0" w:type="auto"/>
          </w:tcPr>
          <w:p w14:paraId="049F31CB" w14:textId="77777777" w:rsidR="00DA6C65" w:rsidRDefault="00DA6C65" w:rsidP="007E6002">
            <w:pPr>
              <w:pStyle w:val="Tablecontent"/>
            </w:pPr>
          </w:p>
        </w:tc>
        <w:tc>
          <w:tcPr>
            <w:tcW w:w="0" w:type="auto"/>
          </w:tcPr>
          <w:p w14:paraId="11F6FC44" w14:textId="77777777" w:rsidR="00DA6C65" w:rsidRDefault="7AF5BD86" w:rsidP="00EF7657">
            <w:pPr>
              <w:pStyle w:val="Tablecontent"/>
            </w:pPr>
            <w:r>
              <w:t>Retrospective/ Memory</w:t>
            </w:r>
          </w:p>
        </w:tc>
        <w:tc>
          <w:tcPr>
            <w:tcW w:w="0" w:type="auto"/>
          </w:tcPr>
          <w:p w14:paraId="1B1417B8" w14:textId="77777777" w:rsidR="00DA6C65" w:rsidRDefault="7AF5BD86" w:rsidP="007E6002">
            <w:pPr>
              <w:pStyle w:val="Tablecontent"/>
            </w:pPr>
            <w:r>
              <w:t>Time/burden participant</w:t>
            </w:r>
          </w:p>
        </w:tc>
        <w:tc>
          <w:tcPr>
            <w:tcW w:w="1694" w:type="dxa"/>
          </w:tcPr>
          <w:p w14:paraId="4A74B2BD" w14:textId="77777777" w:rsidR="00DA6C65" w:rsidRDefault="7AF5BD86" w:rsidP="007E6002">
            <w:pPr>
              <w:pStyle w:val="Tablecontent"/>
            </w:pPr>
            <w:r>
              <w:t>Supplement composition database</w:t>
            </w:r>
          </w:p>
        </w:tc>
        <w:tc>
          <w:tcPr>
            <w:tcW w:w="1165" w:type="dxa"/>
          </w:tcPr>
          <w:p w14:paraId="397A5311" w14:textId="77777777" w:rsidR="00DA6C65" w:rsidRDefault="7AF5BD86" w:rsidP="007E6002">
            <w:pPr>
              <w:pStyle w:val="Tablecontent"/>
            </w:pPr>
            <w:r>
              <w:t>Short term</w:t>
            </w:r>
          </w:p>
        </w:tc>
        <w:tc>
          <w:tcPr>
            <w:tcW w:w="0" w:type="auto"/>
          </w:tcPr>
          <w:p w14:paraId="4DBD06A5" w14:textId="77777777" w:rsidR="00DA6C65" w:rsidRDefault="7AF5BD86" w:rsidP="007E6002">
            <w:pPr>
              <w:pStyle w:val="Tablecontent"/>
            </w:pPr>
            <w:r>
              <w:t>Open ended</w:t>
            </w:r>
          </w:p>
        </w:tc>
      </w:tr>
      <w:tr w:rsidR="00DA6C65" w14:paraId="67417988" w14:textId="77777777" w:rsidTr="7AF5BD86">
        <w:tc>
          <w:tcPr>
            <w:tcW w:w="0" w:type="auto"/>
            <w:tcBorders>
              <w:top w:val="single" w:sz="4" w:space="0" w:color="auto"/>
              <w:bottom w:val="dotted" w:sz="4" w:space="0" w:color="auto"/>
            </w:tcBorders>
          </w:tcPr>
          <w:p w14:paraId="457A39CF" w14:textId="77777777" w:rsidR="00DA6C65" w:rsidRDefault="7AF5BD86" w:rsidP="007E6002">
            <w:pPr>
              <w:pStyle w:val="Tablecontent"/>
            </w:pPr>
            <w:r>
              <w:t>Supplement inventory</w:t>
            </w:r>
          </w:p>
        </w:tc>
        <w:tc>
          <w:tcPr>
            <w:tcW w:w="0" w:type="auto"/>
            <w:tcBorders>
              <w:top w:val="single" w:sz="4" w:space="0" w:color="auto"/>
              <w:bottom w:val="dotted" w:sz="4" w:space="0" w:color="auto"/>
            </w:tcBorders>
          </w:tcPr>
          <w:p w14:paraId="53128261" w14:textId="77777777" w:rsidR="00DA6C65" w:rsidRDefault="00DA6C65" w:rsidP="007E6002">
            <w:pPr>
              <w:pStyle w:val="Tablecontent"/>
            </w:pPr>
          </w:p>
        </w:tc>
        <w:tc>
          <w:tcPr>
            <w:tcW w:w="0" w:type="auto"/>
            <w:tcBorders>
              <w:top w:val="single" w:sz="4" w:space="0" w:color="auto"/>
              <w:bottom w:val="dotted" w:sz="4" w:space="0" w:color="auto"/>
            </w:tcBorders>
          </w:tcPr>
          <w:p w14:paraId="62486C05" w14:textId="77777777" w:rsidR="00DA6C65" w:rsidRDefault="00DA6C65" w:rsidP="007E6002">
            <w:pPr>
              <w:pStyle w:val="Tablecontent"/>
            </w:pPr>
            <w:r>
              <w:sym w:font="Wingdings" w:char="F0FC"/>
            </w:r>
          </w:p>
        </w:tc>
        <w:tc>
          <w:tcPr>
            <w:tcW w:w="1694" w:type="dxa"/>
            <w:tcBorders>
              <w:top w:val="single" w:sz="4" w:space="0" w:color="auto"/>
              <w:bottom w:val="dotted" w:sz="4" w:space="0" w:color="auto"/>
            </w:tcBorders>
          </w:tcPr>
          <w:p w14:paraId="4101652C" w14:textId="77777777" w:rsidR="00DA6C65" w:rsidRDefault="00DA6C65" w:rsidP="007E6002">
            <w:pPr>
              <w:pStyle w:val="Tablecontent"/>
            </w:pPr>
            <w:r>
              <w:sym w:font="Wingdings" w:char="F0FC"/>
            </w:r>
          </w:p>
        </w:tc>
        <w:tc>
          <w:tcPr>
            <w:tcW w:w="1165" w:type="dxa"/>
            <w:tcBorders>
              <w:top w:val="single" w:sz="4" w:space="0" w:color="auto"/>
              <w:bottom w:val="dotted" w:sz="4" w:space="0" w:color="auto"/>
            </w:tcBorders>
          </w:tcPr>
          <w:p w14:paraId="4B99056E" w14:textId="77777777" w:rsidR="00DA6C65" w:rsidRDefault="00DA6C65" w:rsidP="007E6002">
            <w:pPr>
              <w:pStyle w:val="Tablecontent"/>
            </w:pPr>
            <w:r>
              <w:sym w:font="Wingdings" w:char="F0FC"/>
            </w:r>
          </w:p>
        </w:tc>
        <w:tc>
          <w:tcPr>
            <w:tcW w:w="0" w:type="auto"/>
            <w:tcBorders>
              <w:top w:val="single" w:sz="4" w:space="0" w:color="auto"/>
              <w:bottom w:val="dotted" w:sz="4" w:space="0" w:color="auto"/>
            </w:tcBorders>
          </w:tcPr>
          <w:p w14:paraId="1299C43A" w14:textId="77777777" w:rsidR="00DA6C65" w:rsidRDefault="00DA6C65" w:rsidP="007E6002">
            <w:pPr>
              <w:pStyle w:val="Tablecontent"/>
            </w:pPr>
            <w:r>
              <w:sym w:font="Wingdings" w:char="F0FC"/>
            </w:r>
          </w:p>
        </w:tc>
      </w:tr>
      <w:tr w:rsidR="00DA6C65" w14:paraId="1E468A77" w14:textId="77777777" w:rsidTr="7AF5BD86">
        <w:tc>
          <w:tcPr>
            <w:tcW w:w="0" w:type="auto"/>
            <w:tcBorders>
              <w:top w:val="dotted" w:sz="4" w:space="0" w:color="auto"/>
              <w:bottom w:val="dotted" w:sz="4" w:space="0" w:color="auto"/>
            </w:tcBorders>
          </w:tcPr>
          <w:p w14:paraId="4AB45607" w14:textId="77777777" w:rsidR="00DA6C65" w:rsidRDefault="7AF5BD86" w:rsidP="007E6002">
            <w:pPr>
              <w:pStyle w:val="Tablecontent"/>
            </w:pPr>
            <w:r>
              <w:t>Diet record (diary)</w:t>
            </w:r>
          </w:p>
        </w:tc>
        <w:tc>
          <w:tcPr>
            <w:tcW w:w="0" w:type="auto"/>
            <w:tcBorders>
              <w:top w:val="dotted" w:sz="4" w:space="0" w:color="auto"/>
              <w:bottom w:val="dotted" w:sz="4" w:space="0" w:color="auto"/>
            </w:tcBorders>
          </w:tcPr>
          <w:p w14:paraId="4DDBEF00" w14:textId="77777777" w:rsidR="00DA6C65" w:rsidRDefault="00DA6C65" w:rsidP="007E6002">
            <w:pPr>
              <w:pStyle w:val="Tablecontent"/>
            </w:pPr>
          </w:p>
        </w:tc>
        <w:tc>
          <w:tcPr>
            <w:tcW w:w="0" w:type="auto"/>
            <w:tcBorders>
              <w:top w:val="dotted" w:sz="4" w:space="0" w:color="auto"/>
              <w:bottom w:val="dotted" w:sz="4" w:space="0" w:color="auto"/>
            </w:tcBorders>
          </w:tcPr>
          <w:p w14:paraId="3461D779" w14:textId="77777777" w:rsidR="00DA6C65" w:rsidRDefault="00DA6C65" w:rsidP="007E6002">
            <w:pPr>
              <w:pStyle w:val="Tablecontent"/>
            </w:pPr>
            <w:r>
              <w:sym w:font="Wingdings" w:char="F0FC"/>
            </w:r>
          </w:p>
        </w:tc>
        <w:tc>
          <w:tcPr>
            <w:tcW w:w="1694" w:type="dxa"/>
            <w:tcBorders>
              <w:top w:val="dotted" w:sz="4" w:space="0" w:color="auto"/>
              <w:bottom w:val="dotted" w:sz="4" w:space="0" w:color="auto"/>
            </w:tcBorders>
          </w:tcPr>
          <w:p w14:paraId="3CF2D8B6" w14:textId="77777777" w:rsidR="00DA6C65" w:rsidRDefault="00DA6C65" w:rsidP="007E6002">
            <w:pPr>
              <w:pStyle w:val="Tablecontent"/>
            </w:pPr>
            <w:r>
              <w:sym w:font="Wingdings" w:char="F0FC"/>
            </w:r>
          </w:p>
        </w:tc>
        <w:tc>
          <w:tcPr>
            <w:tcW w:w="1165" w:type="dxa"/>
            <w:tcBorders>
              <w:top w:val="dotted" w:sz="4" w:space="0" w:color="auto"/>
              <w:bottom w:val="dotted" w:sz="4" w:space="0" w:color="auto"/>
            </w:tcBorders>
          </w:tcPr>
          <w:p w14:paraId="0FB78278" w14:textId="77777777" w:rsidR="00DA6C65" w:rsidRDefault="00DA6C65" w:rsidP="007E6002">
            <w:pPr>
              <w:pStyle w:val="Tablecontent"/>
            </w:pPr>
            <w:r>
              <w:sym w:font="Wingdings" w:char="F0FC"/>
            </w:r>
          </w:p>
        </w:tc>
        <w:tc>
          <w:tcPr>
            <w:tcW w:w="0" w:type="auto"/>
            <w:tcBorders>
              <w:top w:val="dotted" w:sz="4" w:space="0" w:color="auto"/>
              <w:bottom w:val="dotted" w:sz="4" w:space="0" w:color="auto"/>
            </w:tcBorders>
          </w:tcPr>
          <w:p w14:paraId="1FC39945" w14:textId="77777777" w:rsidR="00DA6C65" w:rsidRDefault="00DA6C65" w:rsidP="007E6002">
            <w:pPr>
              <w:pStyle w:val="Tablecontent"/>
            </w:pPr>
            <w:r>
              <w:sym w:font="Wingdings" w:char="F0FC"/>
            </w:r>
          </w:p>
        </w:tc>
      </w:tr>
      <w:tr w:rsidR="00DA6C65" w14:paraId="64EADC09" w14:textId="77777777" w:rsidTr="7AF5BD86">
        <w:tc>
          <w:tcPr>
            <w:tcW w:w="0" w:type="auto"/>
            <w:tcBorders>
              <w:top w:val="dotted" w:sz="4" w:space="0" w:color="auto"/>
              <w:bottom w:val="dotted" w:sz="4" w:space="0" w:color="auto"/>
            </w:tcBorders>
          </w:tcPr>
          <w:p w14:paraId="0269AC55" w14:textId="21BC651C" w:rsidR="00DA6C65" w:rsidRDefault="7AF5BD86" w:rsidP="007E6002">
            <w:pPr>
              <w:pStyle w:val="Tablecontent"/>
            </w:pPr>
            <w:r>
              <w:t>Supplement Frequency Questionnaire</w:t>
            </w:r>
          </w:p>
        </w:tc>
        <w:tc>
          <w:tcPr>
            <w:tcW w:w="0" w:type="auto"/>
            <w:tcBorders>
              <w:top w:val="dotted" w:sz="4" w:space="0" w:color="auto"/>
              <w:bottom w:val="dotted" w:sz="4" w:space="0" w:color="auto"/>
            </w:tcBorders>
          </w:tcPr>
          <w:p w14:paraId="0562CB0E" w14:textId="77777777" w:rsidR="00DA6C65" w:rsidRDefault="00DA6C65" w:rsidP="007E6002">
            <w:pPr>
              <w:pStyle w:val="Tablecontent"/>
            </w:pPr>
            <w:r>
              <w:sym w:font="Wingdings" w:char="F0FC"/>
            </w:r>
          </w:p>
        </w:tc>
        <w:tc>
          <w:tcPr>
            <w:tcW w:w="0" w:type="auto"/>
            <w:tcBorders>
              <w:top w:val="dotted" w:sz="4" w:space="0" w:color="auto"/>
              <w:bottom w:val="dotted" w:sz="4" w:space="0" w:color="auto"/>
            </w:tcBorders>
          </w:tcPr>
          <w:p w14:paraId="34CE0A41" w14:textId="77777777" w:rsidR="00DA6C65" w:rsidRDefault="00DA6C65" w:rsidP="007E6002">
            <w:pPr>
              <w:pStyle w:val="Tablecontent"/>
            </w:pPr>
          </w:p>
        </w:tc>
        <w:tc>
          <w:tcPr>
            <w:tcW w:w="1694" w:type="dxa"/>
            <w:tcBorders>
              <w:top w:val="dotted" w:sz="4" w:space="0" w:color="auto"/>
              <w:bottom w:val="dotted" w:sz="4" w:space="0" w:color="auto"/>
            </w:tcBorders>
          </w:tcPr>
          <w:p w14:paraId="62EBF3C5" w14:textId="77777777" w:rsidR="00DA6C65" w:rsidRDefault="00DA6C65" w:rsidP="007E6002">
            <w:pPr>
              <w:pStyle w:val="Tablecontent"/>
            </w:pPr>
            <w:r>
              <w:sym w:font="Wingdings" w:char="F0FC"/>
            </w:r>
          </w:p>
        </w:tc>
        <w:tc>
          <w:tcPr>
            <w:tcW w:w="1165" w:type="dxa"/>
            <w:tcBorders>
              <w:top w:val="dotted" w:sz="4" w:space="0" w:color="auto"/>
              <w:bottom w:val="dotted" w:sz="4" w:space="0" w:color="auto"/>
            </w:tcBorders>
          </w:tcPr>
          <w:p w14:paraId="6D98A12B" w14:textId="77777777" w:rsidR="00DA6C65" w:rsidRDefault="00DA6C65" w:rsidP="007E6002">
            <w:pPr>
              <w:pStyle w:val="Tablecontent"/>
            </w:pPr>
          </w:p>
        </w:tc>
        <w:tc>
          <w:tcPr>
            <w:tcW w:w="0" w:type="auto"/>
            <w:tcBorders>
              <w:top w:val="dotted" w:sz="4" w:space="0" w:color="auto"/>
              <w:bottom w:val="dotted" w:sz="4" w:space="0" w:color="auto"/>
            </w:tcBorders>
          </w:tcPr>
          <w:p w14:paraId="2946DB82" w14:textId="77777777" w:rsidR="00DA6C65" w:rsidRDefault="00DA6C65" w:rsidP="007E6002">
            <w:pPr>
              <w:pStyle w:val="Tablecontent"/>
            </w:pPr>
          </w:p>
        </w:tc>
      </w:tr>
      <w:tr w:rsidR="00DA6C65" w14:paraId="5A623498" w14:textId="77777777" w:rsidTr="7AF5BD86">
        <w:tc>
          <w:tcPr>
            <w:tcW w:w="0" w:type="auto"/>
            <w:tcBorders>
              <w:top w:val="dotted" w:sz="4" w:space="0" w:color="auto"/>
              <w:bottom w:val="dotted" w:sz="4" w:space="0" w:color="auto"/>
            </w:tcBorders>
          </w:tcPr>
          <w:p w14:paraId="3C3B816E" w14:textId="77777777" w:rsidR="00DA6C65" w:rsidRDefault="7AF5BD86" w:rsidP="007E6002">
            <w:pPr>
              <w:pStyle w:val="Tablecontent"/>
            </w:pPr>
            <w:r>
              <w:t>24-hour Diet Recall*</w:t>
            </w:r>
          </w:p>
        </w:tc>
        <w:tc>
          <w:tcPr>
            <w:tcW w:w="0" w:type="auto"/>
            <w:tcBorders>
              <w:top w:val="dotted" w:sz="4" w:space="0" w:color="auto"/>
              <w:bottom w:val="dotted" w:sz="4" w:space="0" w:color="auto"/>
            </w:tcBorders>
          </w:tcPr>
          <w:p w14:paraId="5997CC1D" w14:textId="77777777" w:rsidR="00DA6C65" w:rsidRDefault="00DA6C65" w:rsidP="007E6002">
            <w:pPr>
              <w:pStyle w:val="Tablecontent"/>
            </w:pPr>
            <w:r>
              <w:sym w:font="Wingdings" w:char="F0FC"/>
            </w:r>
          </w:p>
        </w:tc>
        <w:tc>
          <w:tcPr>
            <w:tcW w:w="0" w:type="auto"/>
            <w:tcBorders>
              <w:top w:val="dotted" w:sz="4" w:space="0" w:color="auto"/>
              <w:bottom w:val="dotted" w:sz="4" w:space="0" w:color="auto"/>
            </w:tcBorders>
          </w:tcPr>
          <w:p w14:paraId="110FFD37" w14:textId="77777777" w:rsidR="00DA6C65" w:rsidRDefault="00DA6C65" w:rsidP="007E6002">
            <w:pPr>
              <w:pStyle w:val="Tablecontent"/>
            </w:pPr>
          </w:p>
        </w:tc>
        <w:tc>
          <w:tcPr>
            <w:tcW w:w="1694" w:type="dxa"/>
            <w:tcBorders>
              <w:top w:val="dotted" w:sz="4" w:space="0" w:color="auto"/>
              <w:bottom w:val="dotted" w:sz="4" w:space="0" w:color="auto"/>
            </w:tcBorders>
          </w:tcPr>
          <w:p w14:paraId="6B699379" w14:textId="77777777" w:rsidR="00DA6C65" w:rsidRDefault="00DA6C65" w:rsidP="007E6002">
            <w:pPr>
              <w:pStyle w:val="Tablecontent"/>
            </w:pPr>
            <w:r>
              <w:sym w:font="Wingdings" w:char="F0FC"/>
            </w:r>
          </w:p>
        </w:tc>
        <w:tc>
          <w:tcPr>
            <w:tcW w:w="1165" w:type="dxa"/>
            <w:tcBorders>
              <w:top w:val="dotted" w:sz="4" w:space="0" w:color="auto"/>
              <w:bottom w:val="dotted" w:sz="4" w:space="0" w:color="auto"/>
            </w:tcBorders>
          </w:tcPr>
          <w:p w14:paraId="3FE9F23F" w14:textId="77777777" w:rsidR="00DA6C65" w:rsidRDefault="00DA6C65" w:rsidP="007E6002">
            <w:pPr>
              <w:pStyle w:val="Tablecontent"/>
            </w:pPr>
            <w:r>
              <w:sym w:font="Wingdings" w:char="F0FC"/>
            </w:r>
          </w:p>
        </w:tc>
        <w:tc>
          <w:tcPr>
            <w:tcW w:w="0" w:type="auto"/>
            <w:tcBorders>
              <w:top w:val="dotted" w:sz="4" w:space="0" w:color="auto"/>
              <w:bottom w:val="dotted" w:sz="4" w:space="0" w:color="auto"/>
            </w:tcBorders>
          </w:tcPr>
          <w:p w14:paraId="1F72F646" w14:textId="77777777" w:rsidR="00DA6C65" w:rsidRDefault="00DA6C65" w:rsidP="007E6002">
            <w:pPr>
              <w:pStyle w:val="Tablecontent"/>
            </w:pPr>
            <w:r>
              <w:sym w:font="Wingdings" w:char="F0FC"/>
            </w:r>
          </w:p>
        </w:tc>
      </w:tr>
      <w:tr w:rsidR="00DA6C65" w14:paraId="0A9AB3F0" w14:textId="77777777" w:rsidTr="7AF5BD86">
        <w:tc>
          <w:tcPr>
            <w:tcW w:w="0" w:type="auto"/>
            <w:tcBorders>
              <w:top w:val="dotted" w:sz="4" w:space="0" w:color="auto"/>
              <w:bottom w:val="dotted" w:sz="4" w:space="0" w:color="auto"/>
            </w:tcBorders>
          </w:tcPr>
          <w:p w14:paraId="3A744B4E" w14:textId="77777777" w:rsidR="00DA6C65" w:rsidRDefault="7AF5BD86" w:rsidP="007E6002">
            <w:pPr>
              <w:pStyle w:val="Tablecontent"/>
            </w:pPr>
            <w:r>
              <w:t>Screeners/brief questionnaires</w:t>
            </w:r>
          </w:p>
        </w:tc>
        <w:tc>
          <w:tcPr>
            <w:tcW w:w="0" w:type="auto"/>
            <w:tcBorders>
              <w:top w:val="dotted" w:sz="4" w:space="0" w:color="auto"/>
              <w:bottom w:val="dotted" w:sz="4" w:space="0" w:color="auto"/>
            </w:tcBorders>
          </w:tcPr>
          <w:p w14:paraId="08CE6F91" w14:textId="77777777" w:rsidR="00DA6C65" w:rsidRDefault="00DA6C65" w:rsidP="007E6002">
            <w:pPr>
              <w:pStyle w:val="Tablecontent"/>
            </w:pPr>
            <w:r>
              <w:sym w:font="Wingdings" w:char="F0FC"/>
            </w:r>
          </w:p>
        </w:tc>
        <w:tc>
          <w:tcPr>
            <w:tcW w:w="0" w:type="auto"/>
            <w:tcBorders>
              <w:top w:val="dotted" w:sz="4" w:space="0" w:color="auto"/>
              <w:bottom w:val="dotted" w:sz="4" w:space="0" w:color="auto"/>
            </w:tcBorders>
          </w:tcPr>
          <w:p w14:paraId="61CDCEAD" w14:textId="77777777" w:rsidR="00DA6C65" w:rsidRDefault="00DA6C65" w:rsidP="007E6002">
            <w:pPr>
              <w:pStyle w:val="Tablecontent"/>
            </w:pPr>
          </w:p>
        </w:tc>
        <w:tc>
          <w:tcPr>
            <w:tcW w:w="1694" w:type="dxa"/>
            <w:tcBorders>
              <w:top w:val="dotted" w:sz="4" w:space="0" w:color="auto"/>
              <w:bottom w:val="dotted" w:sz="4" w:space="0" w:color="auto"/>
            </w:tcBorders>
          </w:tcPr>
          <w:p w14:paraId="6BB9E253" w14:textId="77777777" w:rsidR="00DA6C65" w:rsidRDefault="00DA6C65" w:rsidP="007E6002">
            <w:pPr>
              <w:pStyle w:val="Tablecontent"/>
            </w:pPr>
          </w:p>
        </w:tc>
        <w:tc>
          <w:tcPr>
            <w:tcW w:w="1165" w:type="dxa"/>
            <w:tcBorders>
              <w:top w:val="dotted" w:sz="4" w:space="0" w:color="auto"/>
              <w:bottom w:val="dotted" w:sz="4" w:space="0" w:color="auto"/>
            </w:tcBorders>
          </w:tcPr>
          <w:p w14:paraId="23DE523C" w14:textId="77777777" w:rsidR="00DA6C65" w:rsidRDefault="00DA6C65" w:rsidP="007E6002">
            <w:pPr>
              <w:pStyle w:val="Tablecontent"/>
            </w:pPr>
          </w:p>
        </w:tc>
        <w:tc>
          <w:tcPr>
            <w:tcW w:w="0" w:type="auto"/>
            <w:tcBorders>
              <w:top w:val="dotted" w:sz="4" w:space="0" w:color="auto"/>
              <w:bottom w:val="dotted" w:sz="4" w:space="0" w:color="auto"/>
            </w:tcBorders>
          </w:tcPr>
          <w:p w14:paraId="52E56223" w14:textId="77777777" w:rsidR="00DA6C65" w:rsidRDefault="00DA6C65" w:rsidP="007E6002">
            <w:pPr>
              <w:pStyle w:val="Tablecontent"/>
            </w:pPr>
          </w:p>
        </w:tc>
      </w:tr>
      <w:tr w:rsidR="00DA6C65" w14:paraId="560E536E" w14:textId="77777777" w:rsidTr="7AF5BD86">
        <w:tc>
          <w:tcPr>
            <w:tcW w:w="0" w:type="auto"/>
            <w:tcBorders>
              <w:top w:val="dotted" w:sz="4" w:space="0" w:color="auto"/>
            </w:tcBorders>
          </w:tcPr>
          <w:p w14:paraId="489ED697" w14:textId="77777777" w:rsidR="00DA6C65" w:rsidRDefault="7AF5BD86" w:rsidP="007E6002">
            <w:pPr>
              <w:pStyle w:val="Tablecontent"/>
            </w:pPr>
            <w:r>
              <w:t>Biomarker</w:t>
            </w:r>
          </w:p>
        </w:tc>
        <w:tc>
          <w:tcPr>
            <w:tcW w:w="0" w:type="auto"/>
            <w:tcBorders>
              <w:top w:val="dotted" w:sz="4" w:space="0" w:color="auto"/>
            </w:tcBorders>
          </w:tcPr>
          <w:p w14:paraId="07547A01" w14:textId="77777777" w:rsidR="00DA6C65" w:rsidRDefault="00DA6C65" w:rsidP="007E6002">
            <w:pPr>
              <w:pStyle w:val="Tablecontent"/>
            </w:pPr>
          </w:p>
        </w:tc>
        <w:tc>
          <w:tcPr>
            <w:tcW w:w="0" w:type="auto"/>
            <w:tcBorders>
              <w:top w:val="dotted" w:sz="4" w:space="0" w:color="auto"/>
            </w:tcBorders>
          </w:tcPr>
          <w:p w14:paraId="5043CB0F" w14:textId="77777777" w:rsidR="00DA6C65" w:rsidRDefault="00DA6C65" w:rsidP="007E6002">
            <w:pPr>
              <w:pStyle w:val="Tablecontent"/>
            </w:pPr>
            <w:r>
              <w:sym w:font="Wingdings" w:char="F0FC"/>
            </w:r>
          </w:p>
        </w:tc>
        <w:tc>
          <w:tcPr>
            <w:tcW w:w="1694" w:type="dxa"/>
            <w:tcBorders>
              <w:top w:val="dotted" w:sz="4" w:space="0" w:color="auto"/>
            </w:tcBorders>
          </w:tcPr>
          <w:p w14:paraId="07459315" w14:textId="77777777" w:rsidR="00DA6C65" w:rsidRDefault="00DA6C65" w:rsidP="007E6002">
            <w:pPr>
              <w:pStyle w:val="Tablecontent"/>
            </w:pPr>
          </w:p>
        </w:tc>
        <w:tc>
          <w:tcPr>
            <w:tcW w:w="1165" w:type="dxa"/>
            <w:tcBorders>
              <w:top w:val="dotted" w:sz="4" w:space="0" w:color="auto"/>
            </w:tcBorders>
          </w:tcPr>
          <w:p w14:paraId="7F1512B9" w14:textId="77777777" w:rsidR="00DA6C65" w:rsidRDefault="00DA6C65" w:rsidP="007E6002">
            <w:pPr>
              <w:pStyle w:val="Tablecontent"/>
            </w:pPr>
            <w:r>
              <w:t>(</w:t>
            </w:r>
            <w:r>
              <w:sym w:font="Wingdings" w:char="F0FC"/>
            </w:r>
            <w:r>
              <w:t>)</w:t>
            </w:r>
          </w:p>
        </w:tc>
        <w:tc>
          <w:tcPr>
            <w:tcW w:w="0" w:type="auto"/>
            <w:tcBorders>
              <w:top w:val="dotted" w:sz="4" w:space="0" w:color="auto"/>
            </w:tcBorders>
          </w:tcPr>
          <w:p w14:paraId="6537F28F" w14:textId="77777777" w:rsidR="00DA6C65" w:rsidRDefault="00DA6C65" w:rsidP="007E6002">
            <w:pPr>
              <w:pStyle w:val="Tablecontent"/>
            </w:pPr>
          </w:p>
        </w:tc>
      </w:tr>
    </w:tbl>
    <w:p w14:paraId="747D6281" w14:textId="77777777" w:rsidR="00DA6C65" w:rsidRDefault="7AF5BD86" w:rsidP="00DA6C65">
      <w:pPr>
        <w:pStyle w:val="NoSpacing"/>
      </w:pPr>
      <w:r>
        <w:t>* When repeated measures are taken, the time/burden approaches that of the diet record method.</w:t>
      </w:r>
    </w:p>
    <w:p w14:paraId="639149B5" w14:textId="77777777" w:rsidR="00DC75FD" w:rsidRDefault="00DA6C65" w:rsidP="00EE0E3C">
      <w:pPr>
        <w:pStyle w:val="NoSpacing"/>
      </w:pPr>
      <w:r>
        <w:t>Bracketed ticks (</w:t>
      </w:r>
      <w:r>
        <w:sym w:font="Wingdings" w:char="F0FC"/>
      </w:r>
      <w:r>
        <w:t>) indicate that the measure is not uniform in its characteristic/use, see examples in text.</w:t>
      </w:r>
    </w:p>
    <w:p w14:paraId="6DFB9E20" w14:textId="77777777" w:rsidR="00DA6C65" w:rsidRDefault="00DA6C65" w:rsidP="000B3BA9"/>
    <w:p w14:paraId="70DF9E56" w14:textId="77777777" w:rsidR="00757203" w:rsidRDefault="00757203">
      <w:pPr>
        <w:spacing w:line="259" w:lineRule="auto"/>
        <w:sectPr w:rsidR="00757203" w:rsidSect="00272BC4">
          <w:pgSz w:w="11906" w:h="16838"/>
          <w:pgMar w:top="1134" w:right="1134" w:bottom="1134" w:left="1134" w:header="709" w:footer="709" w:gutter="0"/>
          <w:cols w:space="708"/>
          <w:docGrid w:linePitch="360"/>
        </w:sectPr>
      </w:pPr>
    </w:p>
    <w:p w14:paraId="7582F004" w14:textId="6A9227E7" w:rsidR="008B362B" w:rsidRDefault="008A1BAF" w:rsidP="008B362B">
      <w:pPr>
        <w:pStyle w:val="Caption"/>
        <w:keepNext/>
      </w:pPr>
      <w:bookmarkStart w:id="15" w:name="_Ref504511051"/>
      <w:r>
        <w:lastRenderedPageBreak/>
        <w:t>SUPP-</w:t>
      </w:r>
      <w:r w:rsidR="008B362B">
        <w:t xml:space="preserve">Table </w:t>
      </w:r>
      <w:r w:rsidR="0060253E">
        <w:rPr>
          <w:noProof/>
        </w:rPr>
        <w:fldChar w:fldCharType="begin"/>
      </w:r>
      <w:r w:rsidR="0060253E">
        <w:rPr>
          <w:noProof/>
        </w:rPr>
        <w:instrText xml:space="preserve"> SEQ Table \* ARABIC </w:instrText>
      </w:r>
      <w:r w:rsidR="0060253E">
        <w:rPr>
          <w:noProof/>
        </w:rPr>
        <w:fldChar w:fldCharType="separate"/>
      </w:r>
      <w:r w:rsidR="00D34A30">
        <w:rPr>
          <w:noProof/>
        </w:rPr>
        <w:t>2</w:t>
      </w:r>
      <w:r w:rsidR="0060253E">
        <w:rPr>
          <w:noProof/>
        </w:rPr>
        <w:fldChar w:fldCharType="end"/>
      </w:r>
      <w:bookmarkEnd w:id="15"/>
      <w:r w:rsidR="008B362B">
        <w:t xml:space="preserve">: Vitamin C </w:t>
      </w:r>
      <w:r w:rsidR="00841DE6">
        <w:t xml:space="preserve">intake from food and supplement sources by supplement user subgroups and the prevalence of meeting/exceeding of dietary reference values using </w:t>
      </w:r>
      <w:r w:rsidR="008031FB">
        <w:t xml:space="preserve">UK-weighted </w:t>
      </w:r>
      <w:r w:rsidR="00841DE6">
        <w:t xml:space="preserve">NDNS </w:t>
      </w:r>
      <w:r w:rsidR="008031FB">
        <w:t>data from the rolling programme</w:t>
      </w:r>
      <w:r w:rsidR="00841DE6">
        <w:t xml:space="preserve"> years 1-4</w:t>
      </w:r>
      <w:r w:rsidR="006E37E7">
        <w:t xml:space="preserve"> </w:t>
      </w:r>
      <w:r w:rsidR="005F5E75">
        <w:fldChar w:fldCharType="begin" w:fldLock="1"/>
      </w:r>
      <w:r w:rsidR="00C1396B">
        <w:instrText>ADDIN CSL_CITATION { "citationItems" : [ { "id" : "ITEM-1", "itemData" : { "author" : [ { "dropping-particle" : "", "family" : "NatCen", "given" : "Social Research", "non-dropping-particle" : "", "parse-names" : false, "suffix" : "" }, { "dropping-particle" : "", "family" : "MRC", "given" : "Elsie Widdowson Laboratory", "non-dropping-particle" : "", "parse-names" : false, "suffix" : "" }, { "dropping-particle" : "", "family" : "University College London", "given" : "Medical School", "non-dropping-particle" : "", "parse-names" : false, "suffix" : "" } ], "edition" : "8", "id" : "ITEM-1", "issued" : { "date-parts" : [ [ "2017" ] ] }, "publisher" : "UK Data Archive", "publisher-place" : "Colchester, Essex", "title" : "National Diet and Nutrition Survey Years 1-6, 2008/09-2013/14 [computer file]", "type" : "book" }, "uris" : [ "http://www.mendeley.com/documents/?uuid=f5989500-db3a-42f2-9d81-7bc57349ed79" ] } ], "mendeley" : { "formattedCitation" : "&lt;sup&gt;(26)&lt;/sup&gt;", "plainTextFormattedCitation" : "(26)", "previouslyFormattedCitation" : "&lt;sup&gt;(26)&lt;/sup&gt;" }, "properties" : { "noteIndex" : 0 }, "schema" : "https://github.com/citation-style-language/schema/raw/master/csl-citation.json" }</w:instrText>
      </w:r>
      <w:r w:rsidR="005F5E75">
        <w:fldChar w:fldCharType="separate"/>
      </w:r>
      <w:r w:rsidR="00975B94" w:rsidRPr="00975B94">
        <w:rPr>
          <w:b w:val="0"/>
          <w:bCs w:val="0"/>
          <w:noProof/>
          <w:vertAlign w:val="superscript"/>
        </w:rPr>
        <w:t>(26)</w:t>
      </w:r>
      <w:r w:rsidR="005F5E75">
        <w:fldChar w:fldCharType="end"/>
      </w:r>
      <w:r w:rsidR="00E90DDB">
        <w:t>.</w:t>
      </w:r>
    </w:p>
    <w:tbl>
      <w:tblPr>
        <w:tblStyle w:val="TableDissertation"/>
        <w:tblW w:w="0" w:type="auto"/>
        <w:tblLook w:val="04A0" w:firstRow="1" w:lastRow="0" w:firstColumn="1" w:lastColumn="0" w:noHBand="0" w:noVBand="1"/>
      </w:tblPr>
      <w:tblGrid>
        <w:gridCol w:w="906"/>
        <w:gridCol w:w="836"/>
        <w:gridCol w:w="1882"/>
        <w:gridCol w:w="834"/>
        <w:gridCol w:w="2078"/>
        <w:gridCol w:w="1585"/>
        <w:gridCol w:w="1568"/>
        <w:gridCol w:w="1944"/>
        <w:gridCol w:w="1585"/>
        <w:gridCol w:w="1568"/>
      </w:tblGrid>
      <w:tr w:rsidR="00407DD1" w:rsidRPr="002448B0" w14:paraId="2826A982" w14:textId="77777777" w:rsidTr="589C4AF9">
        <w:trPr>
          <w:cnfStyle w:val="100000000000" w:firstRow="1" w:lastRow="0" w:firstColumn="0" w:lastColumn="0" w:oddVBand="0" w:evenVBand="0" w:oddHBand="0" w:evenHBand="0" w:firstRowFirstColumn="0" w:firstRowLastColumn="0" w:lastRowFirstColumn="0" w:lastRowLastColumn="0"/>
        </w:trPr>
        <w:tc>
          <w:tcPr>
            <w:tcW w:w="0" w:type="auto"/>
          </w:tcPr>
          <w:p w14:paraId="1A7FF3C2" w14:textId="77777777" w:rsidR="002448B0" w:rsidRPr="002448B0" w:rsidRDefault="7AF5BD86" w:rsidP="002448B0">
            <w:pPr>
              <w:pStyle w:val="Tablecontent"/>
            </w:pPr>
            <w:r>
              <w:t>Sex</w:t>
            </w:r>
          </w:p>
        </w:tc>
        <w:tc>
          <w:tcPr>
            <w:tcW w:w="0" w:type="auto"/>
          </w:tcPr>
          <w:p w14:paraId="2DB1BF02" w14:textId="5287056D" w:rsidR="002448B0" w:rsidRPr="002448B0" w:rsidRDefault="7AF5BD86" w:rsidP="002448B0">
            <w:pPr>
              <w:pStyle w:val="Tablecontent"/>
            </w:pPr>
            <w:r>
              <w:t>Age</w:t>
            </w:r>
            <w:r w:rsidR="002B0D51">
              <w:t xml:space="preserve"> (y)</w:t>
            </w:r>
          </w:p>
        </w:tc>
        <w:tc>
          <w:tcPr>
            <w:tcW w:w="0" w:type="auto"/>
          </w:tcPr>
          <w:p w14:paraId="01AEF260" w14:textId="77777777" w:rsidR="002448B0" w:rsidRPr="002448B0" w:rsidRDefault="7AF5BD86" w:rsidP="002448B0">
            <w:pPr>
              <w:pStyle w:val="Tablecontent"/>
            </w:pPr>
            <w:r>
              <w:t>Supplement status</w:t>
            </w:r>
          </w:p>
        </w:tc>
        <w:tc>
          <w:tcPr>
            <w:tcW w:w="0" w:type="auto"/>
          </w:tcPr>
          <w:p w14:paraId="666CD62D" w14:textId="77777777" w:rsidR="002448B0" w:rsidRPr="002448B0" w:rsidRDefault="7AF5BD86" w:rsidP="002448B0">
            <w:pPr>
              <w:pStyle w:val="Tablecontent"/>
              <w:jc w:val="right"/>
            </w:pPr>
            <w:r>
              <w:t>N base</w:t>
            </w:r>
          </w:p>
        </w:tc>
        <w:tc>
          <w:tcPr>
            <w:tcW w:w="0" w:type="auto"/>
          </w:tcPr>
          <w:p w14:paraId="2E836890" w14:textId="77777777" w:rsidR="002448B0" w:rsidRDefault="7AF5BD86" w:rsidP="002448B0">
            <w:pPr>
              <w:pStyle w:val="Tablecontent"/>
              <w:jc w:val="right"/>
              <w:rPr>
                <w:b w:val="0"/>
              </w:rPr>
            </w:pPr>
            <w:r>
              <w:t>Food Vitamin C (mg/d)</w:t>
            </w:r>
          </w:p>
          <w:p w14:paraId="6EA5A610" w14:textId="77777777" w:rsidR="00407DD1" w:rsidRPr="002448B0" w:rsidRDefault="7AF5BD86" w:rsidP="002448B0">
            <w:pPr>
              <w:pStyle w:val="Tablecontent"/>
              <w:jc w:val="right"/>
            </w:pPr>
            <w:r>
              <w:t>Median (IQR)</w:t>
            </w:r>
          </w:p>
        </w:tc>
        <w:tc>
          <w:tcPr>
            <w:tcW w:w="0" w:type="auto"/>
          </w:tcPr>
          <w:p w14:paraId="094F6855" w14:textId="77777777" w:rsidR="009241D8" w:rsidRDefault="009241D8" w:rsidP="002448B0">
            <w:pPr>
              <w:pStyle w:val="Tablecontent"/>
              <w:jc w:val="right"/>
              <w:rPr>
                <w:b w:val="0"/>
              </w:rPr>
            </w:pPr>
          </w:p>
          <w:p w14:paraId="464A24B0" w14:textId="3EEC463D" w:rsidR="002448B0" w:rsidRPr="002448B0" w:rsidRDefault="7AF5BD86" w:rsidP="002448B0">
            <w:pPr>
              <w:pStyle w:val="Tablecontent"/>
              <w:jc w:val="right"/>
            </w:pPr>
            <w:r>
              <w:t>&lt; EAR 25 mg (%)</w:t>
            </w:r>
          </w:p>
        </w:tc>
        <w:tc>
          <w:tcPr>
            <w:tcW w:w="0" w:type="auto"/>
          </w:tcPr>
          <w:p w14:paraId="4072143B" w14:textId="77777777" w:rsidR="009241D8" w:rsidRDefault="009241D8" w:rsidP="002448B0">
            <w:pPr>
              <w:pStyle w:val="Tablecontent"/>
              <w:jc w:val="right"/>
              <w:rPr>
                <w:b w:val="0"/>
              </w:rPr>
            </w:pPr>
          </w:p>
          <w:p w14:paraId="6B96C61C" w14:textId="46623402" w:rsidR="002448B0" w:rsidRPr="002448B0" w:rsidRDefault="7AF5BD86" w:rsidP="002448B0">
            <w:pPr>
              <w:pStyle w:val="Tablecontent"/>
              <w:jc w:val="right"/>
            </w:pPr>
            <w:r>
              <w:t>&gt;1000 mg/d (%)*</w:t>
            </w:r>
          </w:p>
        </w:tc>
        <w:tc>
          <w:tcPr>
            <w:tcW w:w="0" w:type="auto"/>
          </w:tcPr>
          <w:p w14:paraId="2A978008" w14:textId="77777777" w:rsidR="002448B0" w:rsidRPr="00407DD1" w:rsidRDefault="7AF5BD86" w:rsidP="7AF5BD86">
            <w:pPr>
              <w:pStyle w:val="Tablecontent"/>
              <w:jc w:val="right"/>
              <w:rPr>
                <w:b w:val="0"/>
                <w:lang w:val="sv-SE"/>
              </w:rPr>
            </w:pPr>
            <w:r w:rsidRPr="7AF5BD86">
              <w:rPr>
                <w:lang w:val="sv-SE"/>
              </w:rPr>
              <w:t>TNI Vitamin C (mg/d)</w:t>
            </w:r>
          </w:p>
          <w:p w14:paraId="3819B8DB" w14:textId="77777777" w:rsidR="00407DD1" w:rsidRPr="00407DD1" w:rsidRDefault="7AF5BD86" w:rsidP="7AF5BD86">
            <w:pPr>
              <w:pStyle w:val="Tablecontent"/>
              <w:jc w:val="right"/>
              <w:rPr>
                <w:lang w:val="sv-SE"/>
              </w:rPr>
            </w:pPr>
            <w:r w:rsidRPr="7AF5BD86">
              <w:rPr>
                <w:lang w:val="sv-SE"/>
              </w:rPr>
              <w:t>Median (IQR)</w:t>
            </w:r>
          </w:p>
        </w:tc>
        <w:tc>
          <w:tcPr>
            <w:tcW w:w="0" w:type="auto"/>
          </w:tcPr>
          <w:p w14:paraId="69D6419D" w14:textId="77777777" w:rsidR="009241D8" w:rsidRDefault="009241D8" w:rsidP="002448B0">
            <w:pPr>
              <w:pStyle w:val="Tablecontent"/>
              <w:jc w:val="right"/>
              <w:rPr>
                <w:b w:val="0"/>
              </w:rPr>
            </w:pPr>
          </w:p>
          <w:p w14:paraId="6C3F92D3" w14:textId="737EFDA9" w:rsidR="002448B0" w:rsidRPr="002448B0" w:rsidRDefault="7AF5BD86" w:rsidP="002448B0">
            <w:pPr>
              <w:pStyle w:val="Tablecontent"/>
              <w:jc w:val="right"/>
            </w:pPr>
            <w:r>
              <w:t>&lt; EAR 25 mg (%)</w:t>
            </w:r>
          </w:p>
        </w:tc>
        <w:tc>
          <w:tcPr>
            <w:tcW w:w="0" w:type="auto"/>
          </w:tcPr>
          <w:p w14:paraId="29618C6C" w14:textId="77777777" w:rsidR="009241D8" w:rsidRDefault="009241D8" w:rsidP="002448B0">
            <w:pPr>
              <w:pStyle w:val="Tablecontent"/>
              <w:jc w:val="right"/>
              <w:rPr>
                <w:b w:val="0"/>
              </w:rPr>
            </w:pPr>
          </w:p>
          <w:p w14:paraId="4AD13D99" w14:textId="5BA022BD" w:rsidR="002448B0" w:rsidRPr="002448B0" w:rsidRDefault="7AF5BD86" w:rsidP="002448B0">
            <w:pPr>
              <w:pStyle w:val="Tablecontent"/>
              <w:jc w:val="right"/>
            </w:pPr>
            <w:r>
              <w:t>&gt;1000 mg/d (%)*</w:t>
            </w:r>
          </w:p>
        </w:tc>
      </w:tr>
      <w:tr w:rsidR="00407DD1" w14:paraId="44E871BC" w14:textId="77777777" w:rsidTr="589C4AF9">
        <w:tc>
          <w:tcPr>
            <w:tcW w:w="0" w:type="auto"/>
          </w:tcPr>
          <w:p w14:paraId="144A5D23" w14:textId="77777777" w:rsidR="007B78C5" w:rsidRDefault="007B78C5" w:rsidP="002249D4">
            <w:pPr>
              <w:pStyle w:val="Tablecontent"/>
            </w:pPr>
          </w:p>
        </w:tc>
        <w:tc>
          <w:tcPr>
            <w:tcW w:w="0" w:type="auto"/>
          </w:tcPr>
          <w:p w14:paraId="738610EB" w14:textId="77777777" w:rsidR="007B78C5" w:rsidRDefault="007B78C5" w:rsidP="002249D4">
            <w:pPr>
              <w:pStyle w:val="Tablecontent"/>
            </w:pPr>
          </w:p>
        </w:tc>
        <w:tc>
          <w:tcPr>
            <w:tcW w:w="0" w:type="auto"/>
          </w:tcPr>
          <w:p w14:paraId="637805D2" w14:textId="77777777" w:rsidR="007B78C5" w:rsidRDefault="007B78C5" w:rsidP="002249D4">
            <w:pPr>
              <w:pStyle w:val="Tablecontent"/>
            </w:pPr>
          </w:p>
        </w:tc>
        <w:tc>
          <w:tcPr>
            <w:tcW w:w="0" w:type="auto"/>
          </w:tcPr>
          <w:p w14:paraId="463F29E8" w14:textId="77777777" w:rsidR="007B78C5" w:rsidRDefault="007B78C5" w:rsidP="002448B0">
            <w:pPr>
              <w:pStyle w:val="Tablecontent"/>
              <w:jc w:val="right"/>
            </w:pPr>
          </w:p>
        </w:tc>
        <w:tc>
          <w:tcPr>
            <w:tcW w:w="0" w:type="auto"/>
          </w:tcPr>
          <w:p w14:paraId="3B7B4B86" w14:textId="77777777" w:rsidR="007B78C5" w:rsidRPr="00757203" w:rsidRDefault="007B78C5" w:rsidP="002448B0">
            <w:pPr>
              <w:pStyle w:val="Tablecontent"/>
              <w:jc w:val="right"/>
            </w:pPr>
          </w:p>
        </w:tc>
        <w:tc>
          <w:tcPr>
            <w:tcW w:w="0" w:type="auto"/>
          </w:tcPr>
          <w:p w14:paraId="3A0FF5F2" w14:textId="77777777" w:rsidR="007B78C5" w:rsidRDefault="007B78C5" w:rsidP="002448B0">
            <w:pPr>
              <w:pStyle w:val="Tablecontent"/>
              <w:jc w:val="right"/>
            </w:pPr>
          </w:p>
        </w:tc>
        <w:tc>
          <w:tcPr>
            <w:tcW w:w="0" w:type="auto"/>
          </w:tcPr>
          <w:p w14:paraId="5630AD66" w14:textId="77777777" w:rsidR="007B78C5" w:rsidRDefault="007B78C5" w:rsidP="002448B0">
            <w:pPr>
              <w:pStyle w:val="Tablecontent"/>
              <w:jc w:val="right"/>
            </w:pPr>
          </w:p>
        </w:tc>
        <w:tc>
          <w:tcPr>
            <w:tcW w:w="0" w:type="auto"/>
          </w:tcPr>
          <w:p w14:paraId="61829076" w14:textId="77777777" w:rsidR="007B78C5" w:rsidRDefault="007B78C5" w:rsidP="002448B0">
            <w:pPr>
              <w:pStyle w:val="Tablecontent"/>
              <w:jc w:val="right"/>
              <w:rPr>
                <w:lang w:val="sv-SE"/>
              </w:rPr>
            </w:pPr>
          </w:p>
        </w:tc>
        <w:tc>
          <w:tcPr>
            <w:tcW w:w="0" w:type="auto"/>
          </w:tcPr>
          <w:p w14:paraId="2BA226A1" w14:textId="77777777" w:rsidR="007B78C5" w:rsidRDefault="007B78C5" w:rsidP="002448B0">
            <w:pPr>
              <w:pStyle w:val="Tablecontent"/>
              <w:jc w:val="right"/>
            </w:pPr>
          </w:p>
        </w:tc>
        <w:tc>
          <w:tcPr>
            <w:tcW w:w="0" w:type="auto"/>
          </w:tcPr>
          <w:p w14:paraId="17AD93B2" w14:textId="77777777" w:rsidR="007B78C5" w:rsidRDefault="007B78C5" w:rsidP="002448B0">
            <w:pPr>
              <w:pStyle w:val="Tablecontent"/>
              <w:jc w:val="right"/>
            </w:pPr>
          </w:p>
        </w:tc>
      </w:tr>
      <w:tr w:rsidR="00407DD1" w14:paraId="506336ED" w14:textId="77777777" w:rsidTr="589C4AF9">
        <w:tc>
          <w:tcPr>
            <w:tcW w:w="0" w:type="auto"/>
          </w:tcPr>
          <w:p w14:paraId="71DB796B" w14:textId="77777777" w:rsidR="007B78C5" w:rsidRDefault="7AF5BD86" w:rsidP="002249D4">
            <w:pPr>
              <w:pStyle w:val="Tablecontent"/>
            </w:pPr>
            <w:r>
              <w:t>Men</w:t>
            </w:r>
          </w:p>
        </w:tc>
        <w:tc>
          <w:tcPr>
            <w:tcW w:w="0" w:type="auto"/>
          </w:tcPr>
          <w:p w14:paraId="7458AFAA" w14:textId="5B63870C" w:rsidR="007B78C5" w:rsidRDefault="589C4AF9" w:rsidP="002249D4">
            <w:pPr>
              <w:pStyle w:val="Tablecontent"/>
            </w:pPr>
            <w:r>
              <w:t>19</w:t>
            </w:r>
            <w:r w:rsidR="002B0D51">
              <w:t>-</w:t>
            </w:r>
            <w:r>
              <w:t>64</w:t>
            </w:r>
          </w:p>
        </w:tc>
        <w:tc>
          <w:tcPr>
            <w:tcW w:w="0" w:type="auto"/>
          </w:tcPr>
          <w:p w14:paraId="65D1129B" w14:textId="77777777" w:rsidR="007B78C5" w:rsidRDefault="7AF5BD86" w:rsidP="002249D4">
            <w:pPr>
              <w:pStyle w:val="Tablecontent"/>
            </w:pPr>
            <w:r>
              <w:t>ALL</w:t>
            </w:r>
          </w:p>
        </w:tc>
        <w:tc>
          <w:tcPr>
            <w:tcW w:w="0" w:type="auto"/>
          </w:tcPr>
          <w:p w14:paraId="62F1EA59" w14:textId="77777777" w:rsidR="007B78C5" w:rsidRPr="00C91DAD" w:rsidRDefault="589C4AF9" w:rsidP="002448B0">
            <w:pPr>
              <w:pStyle w:val="Tablecontent"/>
              <w:jc w:val="right"/>
            </w:pPr>
            <w:r>
              <w:t>1126</w:t>
            </w:r>
          </w:p>
        </w:tc>
        <w:tc>
          <w:tcPr>
            <w:tcW w:w="0" w:type="auto"/>
          </w:tcPr>
          <w:p w14:paraId="18335F44" w14:textId="77777777" w:rsidR="007B78C5" w:rsidRDefault="7AF5BD86" w:rsidP="002448B0">
            <w:pPr>
              <w:pStyle w:val="Tablecontent"/>
              <w:jc w:val="right"/>
            </w:pPr>
            <w:r>
              <w:t>71 (41, 109)</w:t>
            </w:r>
          </w:p>
        </w:tc>
        <w:tc>
          <w:tcPr>
            <w:tcW w:w="0" w:type="auto"/>
          </w:tcPr>
          <w:p w14:paraId="696F1D09" w14:textId="77777777" w:rsidR="007B78C5" w:rsidRDefault="589C4AF9" w:rsidP="002448B0">
            <w:pPr>
              <w:pStyle w:val="Tablecontent"/>
              <w:jc w:val="right"/>
            </w:pPr>
            <w:r>
              <w:t>10.6</w:t>
            </w:r>
          </w:p>
        </w:tc>
        <w:tc>
          <w:tcPr>
            <w:tcW w:w="0" w:type="auto"/>
          </w:tcPr>
          <w:p w14:paraId="4B584315" w14:textId="77777777" w:rsidR="007B78C5" w:rsidRDefault="589C4AF9" w:rsidP="002448B0">
            <w:pPr>
              <w:pStyle w:val="Tablecontent"/>
              <w:jc w:val="right"/>
            </w:pPr>
            <w:r>
              <w:t>0</w:t>
            </w:r>
          </w:p>
        </w:tc>
        <w:tc>
          <w:tcPr>
            <w:tcW w:w="0" w:type="auto"/>
          </w:tcPr>
          <w:p w14:paraId="46A5C699" w14:textId="77777777" w:rsidR="007B78C5" w:rsidRDefault="7AF5BD86" w:rsidP="002448B0">
            <w:pPr>
              <w:pStyle w:val="Tablecontent"/>
              <w:jc w:val="right"/>
            </w:pPr>
            <w:r>
              <w:t>74 (44, 116)</w:t>
            </w:r>
          </w:p>
        </w:tc>
        <w:tc>
          <w:tcPr>
            <w:tcW w:w="0" w:type="auto"/>
          </w:tcPr>
          <w:p w14:paraId="02FFD8C0" w14:textId="77777777" w:rsidR="007B78C5" w:rsidRDefault="589C4AF9" w:rsidP="002448B0">
            <w:pPr>
              <w:pStyle w:val="Tablecontent"/>
              <w:jc w:val="right"/>
            </w:pPr>
            <w:r>
              <w:t>9.5</w:t>
            </w:r>
          </w:p>
        </w:tc>
        <w:tc>
          <w:tcPr>
            <w:tcW w:w="0" w:type="auto"/>
          </w:tcPr>
          <w:p w14:paraId="45C6D218" w14:textId="77777777" w:rsidR="007B78C5" w:rsidRDefault="589C4AF9" w:rsidP="002448B0">
            <w:pPr>
              <w:pStyle w:val="Tablecontent"/>
              <w:jc w:val="right"/>
            </w:pPr>
            <w:r>
              <w:t>0.4</w:t>
            </w:r>
          </w:p>
        </w:tc>
      </w:tr>
      <w:tr w:rsidR="00407DD1" w14:paraId="4E57903F" w14:textId="77777777" w:rsidTr="589C4AF9">
        <w:tc>
          <w:tcPr>
            <w:tcW w:w="0" w:type="auto"/>
          </w:tcPr>
          <w:p w14:paraId="0DE4B5B7" w14:textId="77777777" w:rsidR="007B78C5" w:rsidRDefault="007B78C5" w:rsidP="008E68DA">
            <w:pPr>
              <w:pStyle w:val="Tablecontent"/>
            </w:pPr>
          </w:p>
        </w:tc>
        <w:tc>
          <w:tcPr>
            <w:tcW w:w="0" w:type="auto"/>
          </w:tcPr>
          <w:p w14:paraId="66204FF1" w14:textId="77777777" w:rsidR="007B78C5" w:rsidRDefault="007B78C5" w:rsidP="008E68DA">
            <w:pPr>
              <w:pStyle w:val="Tablecontent"/>
            </w:pPr>
          </w:p>
        </w:tc>
        <w:tc>
          <w:tcPr>
            <w:tcW w:w="0" w:type="auto"/>
          </w:tcPr>
          <w:p w14:paraId="3633821B" w14:textId="77777777" w:rsidR="007B78C5" w:rsidRDefault="7AF5BD86" w:rsidP="008E68DA">
            <w:pPr>
              <w:pStyle w:val="Tablecontent"/>
              <w:ind w:left="104"/>
            </w:pPr>
            <w:r>
              <w:t>NSU</w:t>
            </w:r>
          </w:p>
        </w:tc>
        <w:tc>
          <w:tcPr>
            <w:tcW w:w="0" w:type="auto"/>
          </w:tcPr>
          <w:p w14:paraId="4F94EF60" w14:textId="77777777" w:rsidR="007B78C5" w:rsidRDefault="589C4AF9" w:rsidP="002448B0">
            <w:pPr>
              <w:pStyle w:val="Tablecontent"/>
              <w:jc w:val="right"/>
            </w:pPr>
            <w:r>
              <w:t>925</w:t>
            </w:r>
          </w:p>
        </w:tc>
        <w:tc>
          <w:tcPr>
            <w:tcW w:w="0" w:type="auto"/>
          </w:tcPr>
          <w:p w14:paraId="7390DB51" w14:textId="77777777" w:rsidR="007B78C5" w:rsidRDefault="7AF5BD86" w:rsidP="002448B0">
            <w:pPr>
              <w:pStyle w:val="Tablecontent"/>
              <w:jc w:val="right"/>
            </w:pPr>
            <w:r>
              <w:t>69 (41, 105)</w:t>
            </w:r>
          </w:p>
        </w:tc>
        <w:tc>
          <w:tcPr>
            <w:tcW w:w="0" w:type="auto"/>
          </w:tcPr>
          <w:p w14:paraId="1CFFF400" w14:textId="77777777" w:rsidR="007B78C5" w:rsidRDefault="589C4AF9" w:rsidP="002448B0">
            <w:pPr>
              <w:pStyle w:val="Tablecontent"/>
              <w:jc w:val="right"/>
            </w:pPr>
            <w:r>
              <w:t>10.7</w:t>
            </w:r>
          </w:p>
        </w:tc>
        <w:tc>
          <w:tcPr>
            <w:tcW w:w="0" w:type="auto"/>
          </w:tcPr>
          <w:p w14:paraId="2322F001" w14:textId="77777777" w:rsidR="007B78C5" w:rsidRDefault="589C4AF9" w:rsidP="002448B0">
            <w:pPr>
              <w:pStyle w:val="Tablecontent"/>
              <w:jc w:val="right"/>
            </w:pPr>
            <w:r>
              <w:t>0</w:t>
            </w:r>
          </w:p>
        </w:tc>
        <w:tc>
          <w:tcPr>
            <w:tcW w:w="0" w:type="auto"/>
          </w:tcPr>
          <w:p w14:paraId="60588452" w14:textId="77777777" w:rsidR="007B78C5" w:rsidRDefault="7AF5BD86" w:rsidP="002448B0">
            <w:pPr>
              <w:pStyle w:val="Tablecontent"/>
              <w:jc w:val="right"/>
            </w:pPr>
            <w:r>
              <w:t>69 (41, 105)</w:t>
            </w:r>
          </w:p>
        </w:tc>
        <w:tc>
          <w:tcPr>
            <w:tcW w:w="0" w:type="auto"/>
          </w:tcPr>
          <w:p w14:paraId="536CA80C" w14:textId="77777777" w:rsidR="007B78C5" w:rsidRDefault="589C4AF9" w:rsidP="002448B0">
            <w:pPr>
              <w:pStyle w:val="Tablecontent"/>
              <w:jc w:val="right"/>
            </w:pPr>
            <w:r>
              <w:t>10.7</w:t>
            </w:r>
          </w:p>
        </w:tc>
        <w:tc>
          <w:tcPr>
            <w:tcW w:w="0" w:type="auto"/>
          </w:tcPr>
          <w:p w14:paraId="7B7EFE02" w14:textId="77777777" w:rsidR="007B78C5" w:rsidRDefault="589C4AF9" w:rsidP="002448B0">
            <w:pPr>
              <w:pStyle w:val="Tablecontent"/>
              <w:jc w:val="right"/>
            </w:pPr>
            <w:r>
              <w:t>0</w:t>
            </w:r>
          </w:p>
        </w:tc>
      </w:tr>
      <w:tr w:rsidR="00407DD1" w14:paraId="34B244A6" w14:textId="77777777" w:rsidTr="589C4AF9">
        <w:tc>
          <w:tcPr>
            <w:tcW w:w="0" w:type="auto"/>
          </w:tcPr>
          <w:p w14:paraId="2DBF0D7D" w14:textId="77777777" w:rsidR="007B78C5" w:rsidRDefault="007B78C5" w:rsidP="008E68DA">
            <w:pPr>
              <w:pStyle w:val="Tablecontent"/>
            </w:pPr>
          </w:p>
        </w:tc>
        <w:tc>
          <w:tcPr>
            <w:tcW w:w="0" w:type="auto"/>
          </w:tcPr>
          <w:p w14:paraId="6B62F1B3" w14:textId="77777777" w:rsidR="007B78C5" w:rsidRDefault="007B78C5" w:rsidP="008E68DA">
            <w:pPr>
              <w:pStyle w:val="Tablecontent"/>
            </w:pPr>
          </w:p>
        </w:tc>
        <w:tc>
          <w:tcPr>
            <w:tcW w:w="0" w:type="auto"/>
          </w:tcPr>
          <w:p w14:paraId="03DF2D12" w14:textId="77777777" w:rsidR="007B78C5" w:rsidRDefault="7AF5BD86" w:rsidP="008E68DA">
            <w:pPr>
              <w:pStyle w:val="Tablecontent"/>
              <w:ind w:left="104"/>
            </w:pPr>
            <w:r>
              <w:t>SU</w:t>
            </w:r>
          </w:p>
        </w:tc>
        <w:tc>
          <w:tcPr>
            <w:tcW w:w="0" w:type="auto"/>
          </w:tcPr>
          <w:p w14:paraId="550F3E87" w14:textId="77777777" w:rsidR="007B78C5" w:rsidRDefault="589C4AF9" w:rsidP="002448B0">
            <w:pPr>
              <w:pStyle w:val="Tablecontent"/>
              <w:jc w:val="right"/>
            </w:pPr>
            <w:r>
              <w:t>201</w:t>
            </w:r>
          </w:p>
        </w:tc>
        <w:tc>
          <w:tcPr>
            <w:tcW w:w="0" w:type="auto"/>
          </w:tcPr>
          <w:p w14:paraId="39C6EC93" w14:textId="77777777" w:rsidR="007B78C5" w:rsidRDefault="7AF5BD86" w:rsidP="002448B0">
            <w:pPr>
              <w:pStyle w:val="Tablecontent"/>
              <w:jc w:val="right"/>
            </w:pPr>
            <w:r>
              <w:t>82 (42, 133)</w:t>
            </w:r>
          </w:p>
        </w:tc>
        <w:tc>
          <w:tcPr>
            <w:tcW w:w="0" w:type="auto"/>
          </w:tcPr>
          <w:p w14:paraId="49F96D95" w14:textId="77777777" w:rsidR="007B78C5" w:rsidRDefault="589C4AF9" w:rsidP="002448B0">
            <w:pPr>
              <w:pStyle w:val="Tablecontent"/>
              <w:jc w:val="right"/>
            </w:pPr>
            <w:r>
              <w:t>9.9</w:t>
            </w:r>
          </w:p>
        </w:tc>
        <w:tc>
          <w:tcPr>
            <w:tcW w:w="0" w:type="auto"/>
          </w:tcPr>
          <w:p w14:paraId="33113584" w14:textId="77777777" w:rsidR="007B78C5" w:rsidRDefault="589C4AF9" w:rsidP="002448B0">
            <w:pPr>
              <w:pStyle w:val="Tablecontent"/>
              <w:jc w:val="right"/>
            </w:pPr>
            <w:r>
              <w:t>0</w:t>
            </w:r>
          </w:p>
        </w:tc>
        <w:tc>
          <w:tcPr>
            <w:tcW w:w="0" w:type="auto"/>
          </w:tcPr>
          <w:p w14:paraId="56077BDB" w14:textId="77777777" w:rsidR="007B78C5" w:rsidRDefault="7AF5BD86" w:rsidP="002448B0">
            <w:pPr>
              <w:pStyle w:val="Tablecontent"/>
              <w:jc w:val="right"/>
            </w:pPr>
            <w:r>
              <w:t>123 (75, 194)</w:t>
            </w:r>
          </w:p>
        </w:tc>
        <w:tc>
          <w:tcPr>
            <w:tcW w:w="0" w:type="auto"/>
          </w:tcPr>
          <w:p w14:paraId="0E03A3D7" w14:textId="77777777" w:rsidR="007B78C5" w:rsidRDefault="589C4AF9" w:rsidP="002448B0">
            <w:pPr>
              <w:pStyle w:val="Tablecontent"/>
              <w:jc w:val="right"/>
            </w:pPr>
            <w:r>
              <w:t>3.9</w:t>
            </w:r>
          </w:p>
        </w:tc>
        <w:tc>
          <w:tcPr>
            <w:tcW w:w="0" w:type="auto"/>
          </w:tcPr>
          <w:p w14:paraId="1A508AC1" w14:textId="77777777" w:rsidR="007B78C5" w:rsidRDefault="589C4AF9" w:rsidP="002448B0">
            <w:pPr>
              <w:pStyle w:val="Tablecontent"/>
              <w:jc w:val="right"/>
            </w:pPr>
            <w:r>
              <w:t>2.5</w:t>
            </w:r>
          </w:p>
        </w:tc>
      </w:tr>
      <w:tr w:rsidR="00407DD1" w14:paraId="6A5B3FE9" w14:textId="77777777" w:rsidTr="589C4AF9">
        <w:tc>
          <w:tcPr>
            <w:tcW w:w="0" w:type="auto"/>
          </w:tcPr>
          <w:p w14:paraId="02F2C34E" w14:textId="77777777" w:rsidR="007B78C5" w:rsidRDefault="007B78C5" w:rsidP="008E68DA">
            <w:pPr>
              <w:pStyle w:val="Tablecontent"/>
            </w:pPr>
          </w:p>
        </w:tc>
        <w:tc>
          <w:tcPr>
            <w:tcW w:w="0" w:type="auto"/>
          </w:tcPr>
          <w:p w14:paraId="680A4E5D" w14:textId="77777777" w:rsidR="007B78C5" w:rsidRDefault="007B78C5" w:rsidP="008E68DA">
            <w:pPr>
              <w:pStyle w:val="Tablecontent"/>
            </w:pPr>
          </w:p>
        </w:tc>
        <w:tc>
          <w:tcPr>
            <w:tcW w:w="0" w:type="auto"/>
          </w:tcPr>
          <w:p w14:paraId="7329D058" w14:textId="742667AC" w:rsidR="007B78C5" w:rsidRDefault="7AF5BD86" w:rsidP="008E68DA">
            <w:pPr>
              <w:pStyle w:val="Tablecontent"/>
              <w:ind w:left="246"/>
            </w:pPr>
            <w:r>
              <w:t>SU</w:t>
            </w:r>
            <w:r w:rsidR="000A79AE">
              <w:t>-</w:t>
            </w:r>
            <w:r>
              <w:t>C</w:t>
            </w:r>
          </w:p>
        </w:tc>
        <w:tc>
          <w:tcPr>
            <w:tcW w:w="0" w:type="auto"/>
          </w:tcPr>
          <w:p w14:paraId="7E57E621" w14:textId="77777777" w:rsidR="007B78C5" w:rsidRDefault="589C4AF9" w:rsidP="002448B0">
            <w:pPr>
              <w:pStyle w:val="Tablecontent"/>
              <w:jc w:val="right"/>
            </w:pPr>
            <w:r>
              <w:t>91</w:t>
            </w:r>
          </w:p>
        </w:tc>
        <w:tc>
          <w:tcPr>
            <w:tcW w:w="0" w:type="auto"/>
          </w:tcPr>
          <w:p w14:paraId="455F1A6C" w14:textId="77777777" w:rsidR="007B78C5" w:rsidRDefault="7AF5BD86" w:rsidP="002448B0">
            <w:pPr>
              <w:pStyle w:val="Tablecontent"/>
              <w:jc w:val="right"/>
            </w:pPr>
            <w:r>
              <w:t>83 (42, 148)</w:t>
            </w:r>
          </w:p>
        </w:tc>
        <w:tc>
          <w:tcPr>
            <w:tcW w:w="0" w:type="auto"/>
          </w:tcPr>
          <w:p w14:paraId="18203F73" w14:textId="77777777" w:rsidR="007B78C5" w:rsidRDefault="589C4AF9" w:rsidP="002448B0">
            <w:pPr>
              <w:pStyle w:val="Tablecontent"/>
              <w:jc w:val="right"/>
            </w:pPr>
            <w:r>
              <w:t>8.4</w:t>
            </w:r>
          </w:p>
        </w:tc>
        <w:tc>
          <w:tcPr>
            <w:tcW w:w="0" w:type="auto"/>
          </w:tcPr>
          <w:p w14:paraId="5531F93F" w14:textId="77777777" w:rsidR="007B78C5" w:rsidRDefault="589C4AF9" w:rsidP="002448B0">
            <w:pPr>
              <w:pStyle w:val="Tablecontent"/>
              <w:jc w:val="right"/>
            </w:pPr>
            <w:r>
              <w:t>0</w:t>
            </w:r>
          </w:p>
        </w:tc>
        <w:tc>
          <w:tcPr>
            <w:tcW w:w="0" w:type="auto"/>
          </w:tcPr>
          <w:p w14:paraId="1AA2E5A8" w14:textId="77777777" w:rsidR="007B78C5" w:rsidRDefault="7AF5BD86" w:rsidP="002448B0">
            <w:pPr>
              <w:pStyle w:val="Tablecontent"/>
              <w:jc w:val="right"/>
            </w:pPr>
            <w:r>
              <w:t>83 (42, 148)</w:t>
            </w:r>
          </w:p>
        </w:tc>
        <w:tc>
          <w:tcPr>
            <w:tcW w:w="0" w:type="auto"/>
          </w:tcPr>
          <w:p w14:paraId="2AE63CB9" w14:textId="77777777" w:rsidR="007B78C5" w:rsidRDefault="589C4AF9" w:rsidP="002448B0">
            <w:pPr>
              <w:pStyle w:val="Tablecontent"/>
              <w:jc w:val="right"/>
            </w:pPr>
            <w:r>
              <w:t>8.4</w:t>
            </w:r>
          </w:p>
        </w:tc>
        <w:tc>
          <w:tcPr>
            <w:tcW w:w="0" w:type="auto"/>
          </w:tcPr>
          <w:p w14:paraId="0213FF8E" w14:textId="77777777" w:rsidR="007B78C5" w:rsidRDefault="589C4AF9" w:rsidP="002448B0">
            <w:pPr>
              <w:pStyle w:val="Tablecontent"/>
              <w:jc w:val="right"/>
            </w:pPr>
            <w:r>
              <w:t>0</w:t>
            </w:r>
          </w:p>
        </w:tc>
      </w:tr>
      <w:tr w:rsidR="00407DD1" w14:paraId="2AA1E5F5" w14:textId="77777777" w:rsidTr="589C4AF9">
        <w:tc>
          <w:tcPr>
            <w:tcW w:w="0" w:type="auto"/>
          </w:tcPr>
          <w:p w14:paraId="19219836" w14:textId="77777777" w:rsidR="007B78C5" w:rsidRDefault="007B78C5" w:rsidP="008E68DA">
            <w:pPr>
              <w:pStyle w:val="Tablecontent"/>
            </w:pPr>
          </w:p>
        </w:tc>
        <w:tc>
          <w:tcPr>
            <w:tcW w:w="0" w:type="auto"/>
          </w:tcPr>
          <w:p w14:paraId="296FEF7D" w14:textId="77777777" w:rsidR="007B78C5" w:rsidRDefault="007B78C5" w:rsidP="008E68DA">
            <w:pPr>
              <w:pStyle w:val="Tablecontent"/>
            </w:pPr>
          </w:p>
        </w:tc>
        <w:tc>
          <w:tcPr>
            <w:tcW w:w="0" w:type="auto"/>
          </w:tcPr>
          <w:p w14:paraId="3855E368" w14:textId="77777777" w:rsidR="007B78C5" w:rsidRDefault="7AF5BD86" w:rsidP="008E68DA">
            <w:pPr>
              <w:pStyle w:val="Tablecontent"/>
              <w:ind w:left="246"/>
            </w:pPr>
            <w:r>
              <w:t>SU+C</w:t>
            </w:r>
          </w:p>
        </w:tc>
        <w:tc>
          <w:tcPr>
            <w:tcW w:w="0" w:type="auto"/>
          </w:tcPr>
          <w:p w14:paraId="1C213BED" w14:textId="77777777" w:rsidR="007B78C5" w:rsidRDefault="589C4AF9" w:rsidP="002448B0">
            <w:pPr>
              <w:pStyle w:val="Tablecontent"/>
              <w:jc w:val="right"/>
            </w:pPr>
            <w:r>
              <w:t>110</w:t>
            </w:r>
          </w:p>
        </w:tc>
        <w:tc>
          <w:tcPr>
            <w:tcW w:w="0" w:type="auto"/>
          </w:tcPr>
          <w:p w14:paraId="78DBB1FB" w14:textId="77777777" w:rsidR="007B78C5" w:rsidRDefault="7AF5BD86" w:rsidP="002448B0">
            <w:pPr>
              <w:pStyle w:val="Tablecontent"/>
              <w:jc w:val="right"/>
            </w:pPr>
            <w:r>
              <w:t>77 (42, 117)</w:t>
            </w:r>
          </w:p>
        </w:tc>
        <w:tc>
          <w:tcPr>
            <w:tcW w:w="0" w:type="auto"/>
          </w:tcPr>
          <w:p w14:paraId="7A2EF082" w14:textId="77777777" w:rsidR="007B78C5" w:rsidRDefault="589C4AF9" w:rsidP="002448B0">
            <w:pPr>
              <w:pStyle w:val="Tablecontent"/>
              <w:jc w:val="right"/>
            </w:pPr>
            <w:r>
              <w:t>11.7</w:t>
            </w:r>
          </w:p>
        </w:tc>
        <w:tc>
          <w:tcPr>
            <w:tcW w:w="0" w:type="auto"/>
          </w:tcPr>
          <w:p w14:paraId="370D6AA5" w14:textId="77777777" w:rsidR="007B78C5" w:rsidRDefault="589C4AF9" w:rsidP="002448B0">
            <w:pPr>
              <w:pStyle w:val="Tablecontent"/>
              <w:jc w:val="right"/>
            </w:pPr>
            <w:r>
              <w:t>0</w:t>
            </w:r>
          </w:p>
        </w:tc>
        <w:tc>
          <w:tcPr>
            <w:tcW w:w="0" w:type="auto"/>
          </w:tcPr>
          <w:p w14:paraId="1589E9F6" w14:textId="77777777" w:rsidR="007B78C5" w:rsidRDefault="7AF5BD86" w:rsidP="002448B0">
            <w:pPr>
              <w:pStyle w:val="Tablecontent"/>
              <w:jc w:val="right"/>
            </w:pPr>
            <w:r>
              <w:t>173 (105, 278)</w:t>
            </w:r>
          </w:p>
        </w:tc>
        <w:tc>
          <w:tcPr>
            <w:tcW w:w="0" w:type="auto"/>
          </w:tcPr>
          <w:p w14:paraId="05F7728E" w14:textId="77777777" w:rsidR="007B78C5" w:rsidRDefault="589C4AF9" w:rsidP="002448B0">
            <w:pPr>
              <w:pStyle w:val="Tablecontent"/>
              <w:jc w:val="right"/>
            </w:pPr>
            <w:r>
              <w:t>0</w:t>
            </w:r>
          </w:p>
        </w:tc>
        <w:tc>
          <w:tcPr>
            <w:tcW w:w="0" w:type="auto"/>
          </w:tcPr>
          <w:p w14:paraId="2B439FDB" w14:textId="77777777" w:rsidR="007B78C5" w:rsidRDefault="589C4AF9" w:rsidP="002448B0">
            <w:pPr>
              <w:pStyle w:val="Tablecontent"/>
              <w:jc w:val="right"/>
            </w:pPr>
            <w:r>
              <w:t>4.6</w:t>
            </w:r>
          </w:p>
        </w:tc>
      </w:tr>
      <w:tr w:rsidR="00407DD1" w14:paraId="7194DBDC" w14:textId="77777777" w:rsidTr="589C4AF9">
        <w:tc>
          <w:tcPr>
            <w:tcW w:w="0" w:type="auto"/>
          </w:tcPr>
          <w:p w14:paraId="769D0D3C" w14:textId="77777777" w:rsidR="007B78C5" w:rsidRDefault="007B78C5" w:rsidP="008E68DA">
            <w:pPr>
              <w:pStyle w:val="Tablecontent"/>
            </w:pPr>
          </w:p>
        </w:tc>
        <w:tc>
          <w:tcPr>
            <w:tcW w:w="0" w:type="auto"/>
          </w:tcPr>
          <w:p w14:paraId="54CD245A" w14:textId="77777777" w:rsidR="007B78C5" w:rsidRDefault="007B78C5" w:rsidP="008E68DA">
            <w:pPr>
              <w:pStyle w:val="Tablecontent"/>
            </w:pPr>
          </w:p>
        </w:tc>
        <w:tc>
          <w:tcPr>
            <w:tcW w:w="0" w:type="auto"/>
          </w:tcPr>
          <w:p w14:paraId="1231BE67" w14:textId="77777777" w:rsidR="007B78C5" w:rsidRDefault="007B78C5" w:rsidP="008E68DA">
            <w:pPr>
              <w:pStyle w:val="Tablecontent"/>
            </w:pPr>
          </w:p>
        </w:tc>
        <w:tc>
          <w:tcPr>
            <w:tcW w:w="0" w:type="auto"/>
          </w:tcPr>
          <w:p w14:paraId="36FEB5B0" w14:textId="77777777" w:rsidR="007B78C5" w:rsidRDefault="007B78C5" w:rsidP="002448B0">
            <w:pPr>
              <w:pStyle w:val="Tablecontent"/>
              <w:jc w:val="right"/>
            </w:pPr>
          </w:p>
        </w:tc>
        <w:tc>
          <w:tcPr>
            <w:tcW w:w="0" w:type="auto"/>
          </w:tcPr>
          <w:p w14:paraId="30D7AA69" w14:textId="77777777" w:rsidR="007B78C5" w:rsidRDefault="007B78C5" w:rsidP="002448B0">
            <w:pPr>
              <w:pStyle w:val="Tablecontent"/>
              <w:jc w:val="right"/>
            </w:pPr>
          </w:p>
        </w:tc>
        <w:tc>
          <w:tcPr>
            <w:tcW w:w="0" w:type="auto"/>
          </w:tcPr>
          <w:p w14:paraId="7196D064" w14:textId="77777777" w:rsidR="007B78C5" w:rsidRDefault="007B78C5" w:rsidP="002448B0">
            <w:pPr>
              <w:pStyle w:val="Tablecontent"/>
              <w:jc w:val="right"/>
            </w:pPr>
          </w:p>
        </w:tc>
        <w:tc>
          <w:tcPr>
            <w:tcW w:w="0" w:type="auto"/>
          </w:tcPr>
          <w:p w14:paraId="34FF1C98" w14:textId="77777777" w:rsidR="007B78C5" w:rsidRDefault="007B78C5" w:rsidP="002448B0">
            <w:pPr>
              <w:pStyle w:val="Tablecontent"/>
              <w:jc w:val="right"/>
            </w:pPr>
          </w:p>
        </w:tc>
        <w:tc>
          <w:tcPr>
            <w:tcW w:w="0" w:type="auto"/>
          </w:tcPr>
          <w:p w14:paraId="6D072C0D" w14:textId="77777777" w:rsidR="007B78C5" w:rsidRDefault="007B78C5" w:rsidP="002448B0">
            <w:pPr>
              <w:pStyle w:val="Tablecontent"/>
              <w:jc w:val="right"/>
            </w:pPr>
          </w:p>
        </w:tc>
        <w:tc>
          <w:tcPr>
            <w:tcW w:w="0" w:type="auto"/>
          </w:tcPr>
          <w:p w14:paraId="48A21919" w14:textId="77777777" w:rsidR="007B78C5" w:rsidRDefault="007B78C5" w:rsidP="002448B0">
            <w:pPr>
              <w:pStyle w:val="Tablecontent"/>
              <w:jc w:val="right"/>
            </w:pPr>
          </w:p>
        </w:tc>
        <w:tc>
          <w:tcPr>
            <w:tcW w:w="0" w:type="auto"/>
          </w:tcPr>
          <w:p w14:paraId="6BD18F9B" w14:textId="77777777" w:rsidR="007B78C5" w:rsidRDefault="007B78C5" w:rsidP="002448B0">
            <w:pPr>
              <w:pStyle w:val="Tablecontent"/>
              <w:jc w:val="right"/>
            </w:pPr>
          </w:p>
        </w:tc>
      </w:tr>
      <w:tr w:rsidR="00407DD1" w14:paraId="545E3B39" w14:textId="77777777" w:rsidTr="589C4AF9">
        <w:tc>
          <w:tcPr>
            <w:tcW w:w="0" w:type="auto"/>
          </w:tcPr>
          <w:p w14:paraId="238601FE" w14:textId="77777777" w:rsidR="007B78C5" w:rsidRDefault="007B78C5" w:rsidP="008E68DA">
            <w:pPr>
              <w:pStyle w:val="Tablecontent"/>
            </w:pPr>
          </w:p>
        </w:tc>
        <w:tc>
          <w:tcPr>
            <w:tcW w:w="0" w:type="auto"/>
          </w:tcPr>
          <w:p w14:paraId="772BA9AB" w14:textId="77777777" w:rsidR="007B78C5" w:rsidRDefault="589C4AF9" w:rsidP="008E68DA">
            <w:pPr>
              <w:pStyle w:val="Tablecontent"/>
            </w:pPr>
            <w:r>
              <w:t>65+</w:t>
            </w:r>
          </w:p>
        </w:tc>
        <w:tc>
          <w:tcPr>
            <w:tcW w:w="0" w:type="auto"/>
          </w:tcPr>
          <w:p w14:paraId="4F0F93D3" w14:textId="77777777" w:rsidR="007B78C5" w:rsidRDefault="7AF5BD86" w:rsidP="008E68DA">
            <w:pPr>
              <w:pStyle w:val="Tablecontent"/>
            </w:pPr>
            <w:r>
              <w:t>ALL</w:t>
            </w:r>
          </w:p>
        </w:tc>
        <w:tc>
          <w:tcPr>
            <w:tcW w:w="0" w:type="auto"/>
          </w:tcPr>
          <w:p w14:paraId="19194BFF" w14:textId="77777777" w:rsidR="007B78C5" w:rsidRDefault="589C4AF9" w:rsidP="002448B0">
            <w:pPr>
              <w:pStyle w:val="Tablecontent"/>
              <w:jc w:val="right"/>
            </w:pPr>
            <w:r>
              <w:t>317</w:t>
            </w:r>
          </w:p>
        </w:tc>
        <w:tc>
          <w:tcPr>
            <w:tcW w:w="0" w:type="auto"/>
          </w:tcPr>
          <w:p w14:paraId="3C4784CC" w14:textId="77777777" w:rsidR="007B78C5" w:rsidRDefault="7AF5BD86" w:rsidP="002448B0">
            <w:pPr>
              <w:pStyle w:val="Tablecontent"/>
              <w:jc w:val="right"/>
            </w:pPr>
            <w:r>
              <w:t>75 (43, 114)</w:t>
            </w:r>
          </w:p>
        </w:tc>
        <w:tc>
          <w:tcPr>
            <w:tcW w:w="0" w:type="auto"/>
          </w:tcPr>
          <w:p w14:paraId="2CB70498" w14:textId="77777777" w:rsidR="007B78C5" w:rsidRPr="0060652D" w:rsidRDefault="589C4AF9" w:rsidP="0060652D">
            <w:pPr>
              <w:pStyle w:val="Tablecontent"/>
              <w:jc w:val="right"/>
            </w:pPr>
            <w:r>
              <w:t>9.3</w:t>
            </w:r>
          </w:p>
        </w:tc>
        <w:tc>
          <w:tcPr>
            <w:tcW w:w="0" w:type="auto"/>
          </w:tcPr>
          <w:p w14:paraId="3D22F59A" w14:textId="77777777" w:rsidR="007B78C5" w:rsidRDefault="589C4AF9" w:rsidP="002448B0">
            <w:pPr>
              <w:pStyle w:val="Tablecontent"/>
              <w:jc w:val="right"/>
            </w:pPr>
            <w:r>
              <w:t>0</w:t>
            </w:r>
          </w:p>
        </w:tc>
        <w:tc>
          <w:tcPr>
            <w:tcW w:w="0" w:type="auto"/>
          </w:tcPr>
          <w:p w14:paraId="62311793" w14:textId="77777777" w:rsidR="007B78C5" w:rsidRDefault="7AF5BD86" w:rsidP="002448B0">
            <w:pPr>
              <w:pStyle w:val="Tablecontent"/>
              <w:jc w:val="right"/>
            </w:pPr>
            <w:r>
              <w:t>79 (44, 120)</w:t>
            </w:r>
          </w:p>
        </w:tc>
        <w:tc>
          <w:tcPr>
            <w:tcW w:w="0" w:type="auto"/>
          </w:tcPr>
          <w:p w14:paraId="4409D096" w14:textId="77777777" w:rsidR="007B78C5" w:rsidRDefault="589C4AF9" w:rsidP="002448B0">
            <w:pPr>
              <w:pStyle w:val="Tablecontent"/>
              <w:jc w:val="right"/>
            </w:pPr>
            <w:r>
              <w:t>9.3</w:t>
            </w:r>
          </w:p>
        </w:tc>
        <w:tc>
          <w:tcPr>
            <w:tcW w:w="0" w:type="auto"/>
          </w:tcPr>
          <w:p w14:paraId="6F54A5A7" w14:textId="77777777" w:rsidR="007B78C5" w:rsidRDefault="589C4AF9" w:rsidP="002448B0">
            <w:pPr>
              <w:pStyle w:val="Tablecontent"/>
              <w:jc w:val="right"/>
            </w:pPr>
            <w:r>
              <w:t>0.1</w:t>
            </w:r>
          </w:p>
        </w:tc>
      </w:tr>
      <w:tr w:rsidR="00407DD1" w14:paraId="042B1BF3" w14:textId="77777777" w:rsidTr="589C4AF9">
        <w:tc>
          <w:tcPr>
            <w:tcW w:w="0" w:type="auto"/>
          </w:tcPr>
          <w:p w14:paraId="0F3CABC7" w14:textId="77777777" w:rsidR="007B78C5" w:rsidRDefault="007B78C5" w:rsidP="008E68DA">
            <w:pPr>
              <w:pStyle w:val="Tablecontent"/>
            </w:pPr>
          </w:p>
        </w:tc>
        <w:tc>
          <w:tcPr>
            <w:tcW w:w="0" w:type="auto"/>
          </w:tcPr>
          <w:p w14:paraId="5B08B5D1" w14:textId="77777777" w:rsidR="007B78C5" w:rsidRDefault="007B78C5" w:rsidP="008E68DA">
            <w:pPr>
              <w:pStyle w:val="Tablecontent"/>
            </w:pPr>
          </w:p>
        </w:tc>
        <w:tc>
          <w:tcPr>
            <w:tcW w:w="0" w:type="auto"/>
          </w:tcPr>
          <w:p w14:paraId="3DDC92EC" w14:textId="77777777" w:rsidR="007B78C5" w:rsidRDefault="7AF5BD86" w:rsidP="008E68DA">
            <w:pPr>
              <w:pStyle w:val="Tablecontent"/>
              <w:ind w:left="104"/>
            </w:pPr>
            <w:r>
              <w:t>NSU</w:t>
            </w:r>
          </w:p>
        </w:tc>
        <w:tc>
          <w:tcPr>
            <w:tcW w:w="0" w:type="auto"/>
          </w:tcPr>
          <w:p w14:paraId="43BC5005" w14:textId="77777777" w:rsidR="007B78C5" w:rsidRDefault="589C4AF9" w:rsidP="002448B0">
            <w:pPr>
              <w:pStyle w:val="Tablecontent"/>
              <w:jc w:val="right"/>
            </w:pPr>
            <w:r>
              <w:t>211</w:t>
            </w:r>
          </w:p>
        </w:tc>
        <w:tc>
          <w:tcPr>
            <w:tcW w:w="0" w:type="auto"/>
          </w:tcPr>
          <w:p w14:paraId="37548FBD" w14:textId="77777777" w:rsidR="007B78C5" w:rsidRDefault="7AF5BD86" w:rsidP="002448B0">
            <w:pPr>
              <w:pStyle w:val="Tablecontent"/>
              <w:jc w:val="right"/>
            </w:pPr>
            <w:r>
              <w:t>65 (39, 104)</w:t>
            </w:r>
          </w:p>
        </w:tc>
        <w:tc>
          <w:tcPr>
            <w:tcW w:w="0" w:type="auto"/>
          </w:tcPr>
          <w:p w14:paraId="3DB19CE7" w14:textId="77777777" w:rsidR="007B78C5" w:rsidRPr="0060652D" w:rsidRDefault="589C4AF9" w:rsidP="0060652D">
            <w:pPr>
              <w:pStyle w:val="Tablecontent"/>
              <w:jc w:val="right"/>
            </w:pPr>
            <w:r>
              <w:t>12.8</w:t>
            </w:r>
          </w:p>
        </w:tc>
        <w:tc>
          <w:tcPr>
            <w:tcW w:w="0" w:type="auto"/>
          </w:tcPr>
          <w:p w14:paraId="56C62623" w14:textId="77777777" w:rsidR="007B78C5" w:rsidRDefault="589C4AF9" w:rsidP="002448B0">
            <w:pPr>
              <w:pStyle w:val="Tablecontent"/>
              <w:jc w:val="right"/>
            </w:pPr>
            <w:r>
              <w:t>0</w:t>
            </w:r>
          </w:p>
        </w:tc>
        <w:tc>
          <w:tcPr>
            <w:tcW w:w="0" w:type="auto"/>
          </w:tcPr>
          <w:p w14:paraId="6E5A2560" w14:textId="77777777" w:rsidR="007B78C5" w:rsidRDefault="7AF5BD86" w:rsidP="002448B0">
            <w:pPr>
              <w:pStyle w:val="Tablecontent"/>
              <w:jc w:val="right"/>
            </w:pPr>
            <w:r>
              <w:t>65 (39, 104)</w:t>
            </w:r>
          </w:p>
        </w:tc>
        <w:tc>
          <w:tcPr>
            <w:tcW w:w="0" w:type="auto"/>
          </w:tcPr>
          <w:p w14:paraId="2546C79E" w14:textId="77777777" w:rsidR="007B78C5" w:rsidRDefault="589C4AF9" w:rsidP="002448B0">
            <w:pPr>
              <w:pStyle w:val="Tablecontent"/>
              <w:jc w:val="right"/>
            </w:pPr>
            <w:r>
              <w:t>12.8</w:t>
            </w:r>
          </w:p>
        </w:tc>
        <w:tc>
          <w:tcPr>
            <w:tcW w:w="0" w:type="auto"/>
          </w:tcPr>
          <w:p w14:paraId="7A06C686" w14:textId="77777777" w:rsidR="007B78C5" w:rsidRDefault="589C4AF9" w:rsidP="002448B0">
            <w:pPr>
              <w:pStyle w:val="Tablecontent"/>
              <w:jc w:val="right"/>
            </w:pPr>
            <w:r>
              <w:t>0</w:t>
            </w:r>
          </w:p>
        </w:tc>
      </w:tr>
      <w:tr w:rsidR="00407DD1" w14:paraId="18AB0B40" w14:textId="77777777" w:rsidTr="589C4AF9">
        <w:tc>
          <w:tcPr>
            <w:tcW w:w="0" w:type="auto"/>
          </w:tcPr>
          <w:p w14:paraId="16DEB4AB" w14:textId="77777777" w:rsidR="007B78C5" w:rsidRDefault="007B78C5" w:rsidP="008E68DA">
            <w:pPr>
              <w:pStyle w:val="Tablecontent"/>
            </w:pPr>
          </w:p>
        </w:tc>
        <w:tc>
          <w:tcPr>
            <w:tcW w:w="0" w:type="auto"/>
          </w:tcPr>
          <w:p w14:paraId="0AD9C6F4" w14:textId="77777777" w:rsidR="007B78C5" w:rsidRDefault="007B78C5" w:rsidP="008E68DA">
            <w:pPr>
              <w:pStyle w:val="Tablecontent"/>
            </w:pPr>
          </w:p>
        </w:tc>
        <w:tc>
          <w:tcPr>
            <w:tcW w:w="0" w:type="auto"/>
          </w:tcPr>
          <w:p w14:paraId="592B9CAA" w14:textId="77777777" w:rsidR="007B78C5" w:rsidRDefault="7AF5BD86" w:rsidP="008E68DA">
            <w:pPr>
              <w:pStyle w:val="Tablecontent"/>
              <w:ind w:left="104"/>
            </w:pPr>
            <w:r>
              <w:t>SU</w:t>
            </w:r>
          </w:p>
        </w:tc>
        <w:tc>
          <w:tcPr>
            <w:tcW w:w="0" w:type="auto"/>
          </w:tcPr>
          <w:p w14:paraId="30CBA9E8" w14:textId="77777777" w:rsidR="007B78C5" w:rsidRDefault="589C4AF9" w:rsidP="002448B0">
            <w:pPr>
              <w:pStyle w:val="Tablecontent"/>
              <w:jc w:val="right"/>
            </w:pPr>
            <w:r>
              <w:t>106</w:t>
            </w:r>
          </w:p>
        </w:tc>
        <w:tc>
          <w:tcPr>
            <w:tcW w:w="0" w:type="auto"/>
          </w:tcPr>
          <w:p w14:paraId="4744E525" w14:textId="77777777" w:rsidR="007B78C5" w:rsidRDefault="7AF5BD86" w:rsidP="002448B0">
            <w:pPr>
              <w:pStyle w:val="Tablecontent"/>
              <w:jc w:val="right"/>
            </w:pPr>
            <w:r>
              <w:t>88 (55, 119)</w:t>
            </w:r>
          </w:p>
        </w:tc>
        <w:tc>
          <w:tcPr>
            <w:tcW w:w="0" w:type="auto"/>
          </w:tcPr>
          <w:p w14:paraId="06D8C0FA" w14:textId="77777777" w:rsidR="007B78C5" w:rsidRPr="0060652D" w:rsidRDefault="589C4AF9" w:rsidP="0060652D">
            <w:pPr>
              <w:pStyle w:val="Tablecontent"/>
              <w:jc w:val="right"/>
            </w:pPr>
            <w:r>
              <w:t>2.9</w:t>
            </w:r>
          </w:p>
        </w:tc>
        <w:tc>
          <w:tcPr>
            <w:tcW w:w="0" w:type="auto"/>
          </w:tcPr>
          <w:p w14:paraId="1574AF32" w14:textId="77777777" w:rsidR="007B78C5" w:rsidRDefault="589C4AF9" w:rsidP="002448B0">
            <w:pPr>
              <w:pStyle w:val="Tablecontent"/>
              <w:jc w:val="right"/>
            </w:pPr>
            <w:r>
              <w:t>0</w:t>
            </w:r>
          </w:p>
        </w:tc>
        <w:tc>
          <w:tcPr>
            <w:tcW w:w="0" w:type="auto"/>
          </w:tcPr>
          <w:p w14:paraId="3D5B4EDF" w14:textId="77777777" w:rsidR="007B78C5" w:rsidRDefault="7AF5BD86" w:rsidP="002448B0">
            <w:pPr>
              <w:pStyle w:val="Tablecontent"/>
              <w:jc w:val="right"/>
            </w:pPr>
            <w:r>
              <w:t>115 (69, 157)</w:t>
            </w:r>
          </w:p>
        </w:tc>
        <w:tc>
          <w:tcPr>
            <w:tcW w:w="0" w:type="auto"/>
          </w:tcPr>
          <w:p w14:paraId="1C93486C" w14:textId="77777777" w:rsidR="007B78C5" w:rsidRDefault="589C4AF9" w:rsidP="002448B0">
            <w:pPr>
              <w:pStyle w:val="Tablecontent"/>
              <w:jc w:val="right"/>
            </w:pPr>
            <w:r>
              <w:t>2.3</w:t>
            </w:r>
          </w:p>
        </w:tc>
        <w:tc>
          <w:tcPr>
            <w:tcW w:w="0" w:type="auto"/>
          </w:tcPr>
          <w:p w14:paraId="04545F12" w14:textId="77777777" w:rsidR="007B78C5" w:rsidRDefault="589C4AF9" w:rsidP="002448B0">
            <w:pPr>
              <w:pStyle w:val="Tablecontent"/>
              <w:jc w:val="right"/>
            </w:pPr>
            <w:r>
              <w:t>0.6</w:t>
            </w:r>
          </w:p>
        </w:tc>
      </w:tr>
      <w:tr w:rsidR="00407DD1" w14:paraId="3D11C35B" w14:textId="77777777" w:rsidTr="589C4AF9">
        <w:tc>
          <w:tcPr>
            <w:tcW w:w="0" w:type="auto"/>
          </w:tcPr>
          <w:p w14:paraId="4B1F511A" w14:textId="77777777" w:rsidR="007B78C5" w:rsidRDefault="007B78C5" w:rsidP="008E68DA">
            <w:pPr>
              <w:pStyle w:val="Tablecontent"/>
            </w:pPr>
          </w:p>
        </w:tc>
        <w:tc>
          <w:tcPr>
            <w:tcW w:w="0" w:type="auto"/>
          </w:tcPr>
          <w:p w14:paraId="65F9C3DC" w14:textId="77777777" w:rsidR="007B78C5" w:rsidRDefault="007B78C5" w:rsidP="008E68DA">
            <w:pPr>
              <w:pStyle w:val="Tablecontent"/>
            </w:pPr>
          </w:p>
        </w:tc>
        <w:tc>
          <w:tcPr>
            <w:tcW w:w="0" w:type="auto"/>
          </w:tcPr>
          <w:p w14:paraId="0319A6A4" w14:textId="006418F7" w:rsidR="007B78C5" w:rsidRDefault="7AF5BD86" w:rsidP="008E68DA">
            <w:pPr>
              <w:pStyle w:val="Tablecontent"/>
              <w:ind w:left="246"/>
            </w:pPr>
            <w:r>
              <w:t>SU</w:t>
            </w:r>
            <w:r w:rsidR="000A79AE">
              <w:t>-</w:t>
            </w:r>
            <w:r>
              <w:t>C</w:t>
            </w:r>
          </w:p>
        </w:tc>
        <w:tc>
          <w:tcPr>
            <w:tcW w:w="0" w:type="auto"/>
          </w:tcPr>
          <w:p w14:paraId="169B972E" w14:textId="77777777" w:rsidR="007B78C5" w:rsidRDefault="589C4AF9" w:rsidP="002448B0">
            <w:pPr>
              <w:pStyle w:val="Tablecontent"/>
              <w:jc w:val="right"/>
            </w:pPr>
            <w:r>
              <w:t>73</w:t>
            </w:r>
          </w:p>
        </w:tc>
        <w:tc>
          <w:tcPr>
            <w:tcW w:w="0" w:type="auto"/>
          </w:tcPr>
          <w:p w14:paraId="14D8D9F4" w14:textId="77777777" w:rsidR="007B78C5" w:rsidRDefault="7AF5BD86" w:rsidP="002448B0">
            <w:pPr>
              <w:pStyle w:val="Tablecontent"/>
              <w:jc w:val="right"/>
            </w:pPr>
            <w:r>
              <w:t>87 (54, 116)</w:t>
            </w:r>
          </w:p>
        </w:tc>
        <w:tc>
          <w:tcPr>
            <w:tcW w:w="0" w:type="auto"/>
          </w:tcPr>
          <w:p w14:paraId="269EBE80" w14:textId="77777777" w:rsidR="007B78C5" w:rsidRDefault="589C4AF9" w:rsidP="002448B0">
            <w:pPr>
              <w:pStyle w:val="Tablecontent"/>
              <w:jc w:val="right"/>
            </w:pPr>
            <w:r>
              <w:t>3.4</w:t>
            </w:r>
          </w:p>
        </w:tc>
        <w:tc>
          <w:tcPr>
            <w:tcW w:w="0" w:type="auto"/>
          </w:tcPr>
          <w:p w14:paraId="0CF44D54" w14:textId="77777777" w:rsidR="007B78C5" w:rsidRDefault="589C4AF9" w:rsidP="002448B0">
            <w:pPr>
              <w:pStyle w:val="Tablecontent"/>
              <w:jc w:val="right"/>
            </w:pPr>
            <w:r>
              <w:t>0</w:t>
            </w:r>
          </w:p>
        </w:tc>
        <w:tc>
          <w:tcPr>
            <w:tcW w:w="0" w:type="auto"/>
          </w:tcPr>
          <w:p w14:paraId="27BA71F1" w14:textId="77777777" w:rsidR="007B78C5" w:rsidRDefault="7AF5BD86" w:rsidP="002448B0">
            <w:pPr>
              <w:pStyle w:val="Tablecontent"/>
              <w:jc w:val="right"/>
            </w:pPr>
            <w:r>
              <w:t>87 (54, 116)</w:t>
            </w:r>
          </w:p>
        </w:tc>
        <w:tc>
          <w:tcPr>
            <w:tcW w:w="0" w:type="auto"/>
          </w:tcPr>
          <w:p w14:paraId="3CA4433B" w14:textId="77777777" w:rsidR="007B78C5" w:rsidRDefault="589C4AF9" w:rsidP="002448B0">
            <w:pPr>
              <w:pStyle w:val="Tablecontent"/>
              <w:jc w:val="right"/>
            </w:pPr>
            <w:r>
              <w:t>3.4</w:t>
            </w:r>
          </w:p>
        </w:tc>
        <w:tc>
          <w:tcPr>
            <w:tcW w:w="0" w:type="auto"/>
          </w:tcPr>
          <w:p w14:paraId="165DCE8A" w14:textId="77777777" w:rsidR="007B78C5" w:rsidRDefault="589C4AF9" w:rsidP="002448B0">
            <w:pPr>
              <w:pStyle w:val="Tablecontent"/>
              <w:jc w:val="right"/>
            </w:pPr>
            <w:r>
              <w:t>0</w:t>
            </w:r>
          </w:p>
        </w:tc>
      </w:tr>
      <w:tr w:rsidR="00407DD1" w14:paraId="74850637" w14:textId="77777777" w:rsidTr="589C4AF9">
        <w:tc>
          <w:tcPr>
            <w:tcW w:w="0" w:type="auto"/>
          </w:tcPr>
          <w:p w14:paraId="5023141B" w14:textId="77777777" w:rsidR="007B78C5" w:rsidRDefault="007B78C5" w:rsidP="008E68DA">
            <w:pPr>
              <w:pStyle w:val="Tablecontent"/>
            </w:pPr>
          </w:p>
        </w:tc>
        <w:tc>
          <w:tcPr>
            <w:tcW w:w="0" w:type="auto"/>
          </w:tcPr>
          <w:p w14:paraId="1F3B1409" w14:textId="77777777" w:rsidR="007B78C5" w:rsidRDefault="007B78C5" w:rsidP="008E68DA">
            <w:pPr>
              <w:pStyle w:val="Tablecontent"/>
            </w:pPr>
          </w:p>
        </w:tc>
        <w:tc>
          <w:tcPr>
            <w:tcW w:w="0" w:type="auto"/>
          </w:tcPr>
          <w:p w14:paraId="2B37821E" w14:textId="77777777" w:rsidR="007B78C5" w:rsidRDefault="7AF5BD86" w:rsidP="008E68DA">
            <w:pPr>
              <w:pStyle w:val="Tablecontent"/>
              <w:ind w:left="246"/>
            </w:pPr>
            <w:r>
              <w:t>SU+C</w:t>
            </w:r>
          </w:p>
        </w:tc>
        <w:tc>
          <w:tcPr>
            <w:tcW w:w="0" w:type="auto"/>
          </w:tcPr>
          <w:p w14:paraId="7CE58F48" w14:textId="77777777" w:rsidR="007B78C5" w:rsidRDefault="589C4AF9" w:rsidP="002448B0">
            <w:pPr>
              <w:pStyle w:val="Tablecontent"/>
              <w:jc w:val="right"/>
            </w:pPr>
            <w:r>
              <w:t>33</w:t>
            </w:r>
          </w:p>
        </w:tc>
        <w:tc>
          <w:tcPr>
            <w:tcW w:w="0" w:type="auto"/>
          </w:tcPr>
          <w:p w14:paraId="4BF5962E" w14:textId="77777777" w:rsidR="007B78C5" w:rsidRDefault="7AF5BD86" w:rsidP="002448B0">
            <w:pPr>
              <w:pStyle w:val="Tablecontent"/>
              <w:jc w:val="right"/>
            </w:pPr>
            <w:r>
              <w:t>107 (55, 130)</w:t>
            </w:r>
          </w:p>
        </w:tc>
        <w:tc>
          <w:tcPr>
            <w:tcW w:w="0" w:type="auto"/>
          </w:tcPr>
          <w:p w14:paraId="7BD0726E" w14:textId="77777777" w:rsidR="007B78C5" w:rsidRDefault="589C4AF9" w:rsidP="002448B0">
            <w:pPr>
              <w:pStyle w:val="Tablecontent"/>
              <w:jc w:val="right"/>
            </w:pPr>
            <w:r>
              <w:t>0</w:t>
            </w:r>
          </w:p>
        </w:tc>
        <w:tc>
          <w:tcPr>
            <w:tcW w:w="0" w:type="auto"/>
          </w:tcPr>
          <w:p w14:paraId="47F30171" w14:textId="77777777" w:rsidR="007B78C5" w:rsidRDefault="589C4AF9" w:rsidP="002448B0">
            <w:pPr>
              <w:pStyle w:val="Tablecontent"/>
              <w:jc w:val="right"/>
            </w:pPr>
            <w:r>
              <w:t>0</w:t>
            </w:r>
          </w:p>
        </w:tc>
        <w:tc>
          <w:tcPr>
            <w:tcW w:w="0" w:type="auto"/>
          </w:tcPr>
          <w:p w14:paraId="501F28E5" w14:textId="77777777" w:rsidR="007B78C5" w:rsidRDefault="7AF5BD86" w:rsidP="002448B0">
            <w:pPr>
              <w:pStyle w:val="Tablecontent"/>
              <w:jc w:val="right"/>
            </w:pPr>
            <w:r>
              <w:t>174 (130, 263)</w:t>
            </w:r>
          </w:p>
        </w:tc>
        <w:tc>
          <w:tcPr>
            <w:tcW w:w="0" w:type="auto"/>
          </w:tcPr>
          <w:p w14:paraId="132FFD68" w14:textId="77777777" w:rsidR="007B78C5" w:rsidRDefault="589C4AF9" w:rsidP="002448B0">
            <w:pPr>
              <w:pStyle w:val="Tablecontent"/>
              <w:jc w:val="right"/>
            </w:pPr>
            <w:r>
              <w:t>0</w:t>
            </w:r>
          </w:p>
        </w:tc>
        <w:tc>
          <w:tcPr>
            <w:tcW w:w="0" w:type="auto"/>
          </w:tcPr>
          <w:p w14:paraId="451AB481" w14:textId="77777777" w:rsidR="007B78C5" w:rsidRDefault="589C4AF9" w:rsidP="002448B0">
            <w:pPr>
              <w:pStyle w:val="Tablecontent"/>
              <w:jc w:val="right"/>
            </w:pPr>
            <w:r>
              <w:t>1.8</w:t>
            </w:r>
          </w:p>
        </w:tc>
      </w:tr>
      <w:tr w:rsidR="00407DD1" w14:paraId="562C75D1" w14:textId="77777777" w:rsidTr="589C4AF9">
        <w:tc>
          <w:tcPr>
            <w:tcW w:w="0" w:type="auto"/>
          </w:tcPr>
          <w:p w14:paraId="664355AD" w14:textId="77777777" w:rsidR="007B78C5" w:rsidRDefault="007B78C5" w:rsidP="008E68DA">
            <w:pPr>
              <w:pStyle w:val="Tablecontent"/>
            </w:pPr>
          </w:p>
        </w:tc>
        <w:tc>
          <w:tcPr>
            <w:tcW w:w="0" w:type="auto"/>
          </w:tcPr>
          <w:p w14:paraId="1A965116" w14:textId="77777777" w:rsidR="007B78C5" w:rsidRDefault="007B78C5" w:rsidP="008E68DA">
            <w:pPr>
              <w:pStyle w:val="Tablecontent"/>
            </w:pPr>
          </w:p>
        </w:tc>
        <w:tc>
          <w:tcPr>
            <w:tcW w:w="0" w:type="auto"/>
          </w:tcPr>
          <w:p w14:paraId="7DF4E37C" w14:textId="77777777" w:rsidR="007B78C5" w:rsidRDefault="007B78C5" w:rsidP="008E68DA">
            <w:pPr>
              <w:pStyle w:val="Tablecontent"/>
            </w:pPr>
          </w:p>
        </w:tc>
        <w:tc>
          <w:tcPr>
            <w:tcW w:w="0" w:type="auto"/>
          </w:tcPr>
          <w:p w14:paraId="44FB30F8" w14:textId="77777777" w:rsidR="007B78C5" w:rsidRDefault="007B78C5" w:rsidP="002448B0">
            <w:pPr>
              <w:pStyle w:val="Tablecontent"/>
              <w:jc w:val="right"/>
            </w:pPr>
          </w:p>
        </w:tc>
        <w:tc>
          <w:tcPr>
            <w:tcW w:w="0" w:type="auto"/>
          </w:tcPr>
          <w:p w14:paraId="1DA6542E" w14:textId="77777777" w:rsidR="007B78C5" w:rsidRDefault="007B78C5" w:rsidP="002448B0">
            <w:pPr>
              <w:pStyle w:val="Tablecontent"/>
              <w:jc w:val="right"/>
            </w:pPr>
          </w:p>
        </w:tc>
        <w:tc>
          <w:tcPr>
            <w:tcW w:w="0" w:type="auto"/>
          </w:tcPr>
          <w:p w14:paraId="3041E394" w14:textId="77777777" w:rsidR="007B78C5" w:rsidRDefault="007B78C5" w:rsidP="002448B0">
            <w:pPr>
              <w:pStyle w:val="Tablecontent"/>
              <w:jc w:val="right"/>
            </w:pPr>
          </w:p>
        </w:tc>
        <w:tc>
          <w:tcPr>
            <w:tcW w:w="0" w:type="auto"/>
          </w:tcPr>
          <w:p w14:paraId="722B00AE" w14:textId="77777777" w:rsidR="007B78C5" w:rsidRDefault="007B78C5" w:rsidP="002448B0">
            <w:pPr>
              <w:pStyle w:val="Tablecontent"/>
              <w:jc w:val="right"/>
            </w:pPr>
          </w:p>
        </w:tc>
        <w:tc>
          <w:tcPr>
            <w:tcW w:w="0" w:type="auto"/>
          </w:tcPr>
          <w:p w14:paraId="42C6D796" w14:textId="77777777" w:rsidR="007B78C5" w:rsidRDefault="007B78C5" w:rsidP="002448B0">
            <w:pPr>
              <w:pStyle w:val="Tablecontent"/>
              <w:jc w:val="right"/>
            </w:pPr>
          </w:p>
        </w:tc>
        <w:tc>
          <w:tcPr>
            <w:tcW w:w="0" w:type="auto"/>
          </w:tcPr>
          <w:p w14:paraId="6E1831B3" w14:textId="77777777" w:rsidR="007B78C5" w:rsidRDefault="007B78C5" w:rsidP="002448B0">
            <w:pPr>
              <w:pStyle w:val="Tablecontent"/>
              <w:jc w:val="right"/>
            </w:pPr>
          </w:p>
        </w:tc>
        <w:tc>
          <w:tcPr>
            <w:tcW w:w="0" w:type="auto"/>
          </w:tcPr>
          <w:p w14:paraId="54E11D2A" w14:textId="77777777" w:rsidR="007B78C5" w:rsidRDefault="007B78C5" w:rsidP="002448B0">
            <w:pPr>
              <w:pStyle w:val="Tablecontent"/>
              <w:jc w:val="right"/>
            </w:pPr>
          </w:p>
        </w:tc>
      </w:tr>
      <w:tr w:rsidR="00407DD1" w14:paraId="72777558" w14:textId="77777777" w:rsidTr="589C4AF9">
        <w:tc>
          <w:tcPr>
            <w:tcW w:w="0" w:type="auto"/>
          </w:tcPr>
          <w:p w14:paraId="259F82C8" w14:textId="77777777" w:rsidR="007B78C5" w:rsidRDefault="7AF5BD86" w:rsidP="008E68DA">
            <w:pPr>
              <w:pStyle w:val="Tablecontent"/>
            </w:pPr>
            <w:r>
              <w:t>Women</w:t>
            </w:r>
          </w:p>
        </w:tc>
        <w:tc>
          <w:tcPr>
            <w:tcW w:w="0" w:type="auto"/>
          </w:tcPr>
          <w:p w14:paraId="122874BD" w14:textId="1440C44F" w:rsidR="007B78C5" w:rsidRDefault="589C4AF9" w:rsidP="008E68DA">
            <w:pPr>
              <w:pStyle w:val="Tablecontent"/>
            </w:pPr>
            <w:r>
              <w:t>19</w:t>
            </w:r>
            <w:r w:rsidR="002B0D51">
              <w:t>-</w:t>
            </w:r>
            <w:r>
              <w:t>64</w:t>
            </w:r>
          </w:p>
        </w:tc>
        <w:tc>
          <w:tcPr>
            <w:tcW w:w="0" w:type="auto"/>
          </w:tcPr>
          <w:p w14:paraId="597C1EE5" w14:textId="77777777" w:rsidR="007B78C5" w:rsidRDefault="7AF5BD86" w:rsidP="008E68DA">
            <w:pPr>
              <w:pStyle w:val="Tablecontent"/>
            </w:pPr>
            <w:r>
              <w:t>ALL</w:t>
            </w:r>
          </w:p>
        </w:tc>
        <w:tc>
          <w:tcPr>
            <w:tcW w:w="0" w:type="auto"/>
          </w:tcPr>
          <w:p w14:paraId="0ED8B97C" w14:textId="77777777" w:rsidR="007B78C5" w:rsidRDefault="589C4AF9" w:rsidP="002448B0">
            <w:pPr>
              <w:pStyle w:val="Tablecontent"/>
              <w:jc w:val="right"/>
            </w:pPr>
            <w:r>
              <w:t>1571</w:t>
            </w:r>
          </w:p>
        </w:tc>
        <w:tc>
          <w:tcPr>
            <w:tcW w:w="0" w:type="auto"/>
          </w:tcPr>
          <w:p w14:paraId="28A9D90E" w14:textId="77777777" w:rsidR="007B78C5" w:rsidRDefault="7AF5BD86" w:rsidP="002448B0">
            <w:pPr>
              <w:pStyle w:val="Tablecontent"/>
              <w:jc w:val="right"/>
            </w:pPr>
            <w:r>
              <w:t>68 (42, 104)</w:t>
            </w:r>
          </w:p>
        </w:tc>
        <w:tc>
          <w:tcPr>
            <w:tcW w:w="0" w:type="auto"/>
          </w:tcPr>
          <w:p w14:paraId="72D5177F" w14:textId="77777777" w:rsidR="007B78C5" w:rsidRDefault="589C4AF9" w:rsidP="002448B0">
            <w:pPr>
              <w:pStyle w:val="Tablecontent"/>
              <w:jc w:val="right"/>
            </w:pPr>
            <w:r>
              <w:t>8.3</w:t>
            </w:r>
          </w:p>
        </w:tc>
        <w:tc>
          <w:tcPr>
            <w:tcW w:w="0" w:type="auto"/>
          </w:tcPr>
          <w:p w14:paraId="6F6BB521" w14:textId="77777777" w:rsidR="007B78C5" w:rsidRDefault="589C4AF9" w:rsidP="002448B0">
            <w:pPr>
              <w:pStyle w:val="Tablecontent"/>
              <w:jc w:val="right"/>
            </w:pPr>
            <w:r>
              <w:t>0</w:t>
            </w:r>
          </w:p>
        </w:tc>
        <w:tc>
          <w:tcPr>
            <w:tcW w:w="0" w:type="auto"/>
          </w:tcPr>
          <w:p w14:paraId="3208759A" w14:textId="77777777" w:rsidR="007B78C5" w:rsidRDefault="7AF5BD86" w:rsidP="002448B0">
            <w:pPr>
              <w:pStyle w:val="Tablecontent"/>
              <w:jc w:val="right"/>
            </w:pPr>
            <w:r>
              <w:t>77 (44, 120)</w:t>
            </w:r>
          </w:p>
        </w:tc>
        <w:tc>
          <w:tcPr>
            <w:tcW w:w="0" w:type="auto"/>
          </w:tcPr>
          <w:p w14:paraId="77EB7D87" w14:textId="77777777" w:rsidR="007B78C5" w:rsidRDefault="589C4AF9" w:rsidP="002448B0">
            <w:pPr>
              <w:pStyle w:val="Tablecontent"/>
              <w:jc w:val="right"/>
            </w:pPr>
            <w:r>
              <w:t>7.6</w:t>
            </w:r>
          </w:p>
        </w:tc>
        <w:tc>
          <w:tcPr>
            <w:tcW w:w="0" w:type="auto"/>
          </w:tcPr>
          <w:p w14:paraId="55D8B3B0" w14:textId="77777777" w:rsidR="007B78C5" w:rsidRDefault="589C4AF9" w:rsidP="002448B0">
            <w:pPr>
              <w:pStyle w:val="Tablecontent"/>
              <w:jc w:val="right"/>
            </w:pPr>
            <w:r>
              <w:t>1.1</w:t>
            </w:r>
          </w:p>
        </w:tc>
      </w:tr>
      <w:tr w:rsidR="00407DD1" w14:paraId="10F916A6" w14:textId="77777777" w:rsidTr="589C4AF9">
        <w:tc>
          <w:tcPr>
            <w:tcW w:w="0" w:type="auto"/>
          </w:tcPr>
          <w:p w14:paraId="31126E5D" w14:textId="77777777" w:rsidR="007B78C5" w:rsidRDefault="007B78C5" w:rsidP="008E68DA">
            <w:pPr>
              <w:pStyle w:val="Tablecontent"/>
            </w:pPr>
          </w:p>
        </w:tc>
        <w:tc>
          <w:tcPr>
            <w:tcW w:w="0" w:type="auto"/>
          </w:tcPr>
          <w:p w14:paraId="2DE403A5" w14:textId="77777777" w:rsidR="007B78C5" w:rsidRDefault="007B78C5" w:rsidP="008E68DA">
            <w:pPr>
              <w:pStyle w:val="Tablecontent"/>
            </w:pPr>
          </w:p>
        </w:tc>
        <w:tc>
          <w:tcPr>
            <w:tcW w:w="0" w:type="auto"/>
          </w:tcPr>
          <w:p w14:paraId="6ABCE741" w14:textId="77777777" w:rsidR="007B78C5" w:rsidRDefault="7AF5BD86" w:rsidP="008E68DA">
            <w:pPr>
              <w:pStyle w:val="Tablecontent"/>
              <w:ind w:left="104"/>
            </w:pPr>
            <w:r>
              <w:t>NSU</w:t>
            </w:r>
          </w:p>
        </w:tc>
        <w:tc>
          <w:tcPr>
            <w:tcW w:w="0" w:type="auto"/>
          </w:tcPr>
          <w:p w14:paraId="0D2BFF76" w14:textId="77777777" w:rsidR="007B78C5" w:rsidRDefault="589C4AF9" w:rsidP="002448B0">
            <w:pPr>
              <w:pStyle w:val="Tablecontent"/>
              <w:jc w:val="right"/>
            </w:pPr>
            <w:r>
              <w:t>1148</w:t>
            </w:r>
          </w:p>
        </w:tc>
        <w:tc>
          <w:tcPr>
            <w:tcW w:w="0" w:type="auto"/>
          </w:tcPr>
          <w:p w14:paraId="45B53F6F" w14:textId="77777777" w:rsidR="007B78C5" w:rsidRDefault="7AF5BD86" w:rsidP="002448B0">
            <w:pPr>
              <w:pStyle w:val="Tablecontent"/>
              <w:jc w:val="right"/>
            </w:pPr>
            <w:r>
              <w:t>62 (40, 99)</w:t>
            </w:r>
          </w:p>
        </w:tc>
        <w:tc>
          <w:tcPr>
            <w:tcW w:w="0" w:type="auto"/>
          </w:tcPr>
          <w:p w14:paraId="20BE0EF1" w14:textId="77777777" w:rsidR="007B78C5" w:rsidRDefault="589C4AF9" w:rsidP="002448B0">
            <w:pPr>
              <w:pStyle w:val="Tablecontent"/>
              <w:jc w:val="right"/>
            </w:pPr>
            <w:r>
              <w:t>9.5</w:t>
            </w:r>
          </w:p>
        </w:tc>
        <w:tc>
          <w:tcPr>
            <w:tcW w:w="0" w:type="auto"/>
          </w:tcPr>
          <w:p w14:paraId="53AF8648" w14:textId="77777777" w:rsidR="007B78C5" w:rsidRDefault="589C4AF9" w:rsidP="002448B0">
            <w:pPr>
              <w:pStyle w:val="Tablecontent"/>
              <w:jc w:val="right"/>
            </w:pPr>
            <w:r>
              <w:t>0</w:t>
            </w:r>
          </w:p>
        </w:tc>
        <w:tc>
          <w:tcPr>
            <w:tcW w:w="0" w:type="auto"/>
          </w:tcPr>
          <w:p w14:paraId="0B08A5F2" w14:textId="77777777" w:rsidR="007B78C5" w:rsidRDefault="7AF5BD86" w:rsidP="002448B0">
            <w:pPr>
              <w:pStyle w:val="Tablecontent"/>
              <w:jc w:val="right"/>
            </w:pPr>
            <w:r>
              <w:t>62 (40, 99)</w:t>
            </w:r>
          </w:p>
        </w:tc>
        <w:tc>
          <w:tcPr>
            <w:tcW w:w="0" w:type="auto"/>
          </w:tcPr>
          <w:p w14:paraId="0060F1AF" w14:textId="77777777" w:rsidR="007B78C5" w:rsidRDefault="589C4AF9" w:rsidP="002448B0">
            <w:pPr>
              <w:pStyle w:val="Tablecontent"/>
              <w:jc w:val="right"/>
            </w:pPr>
            <w:r>
              <w:t>9.5</w:t>
            </w:r>
          </w:p>
        </w:tc>
        <w:tc>
          <w:tcPr>
            <w:tcW w:w="0" w:type="auto"/>
          </w:tcPr>
          <w:p w14:paraId="3A6AE620" w14:textId="77777777" w:rsidR="007B78C5" w:rsidRDefault="589C4AF9" w:rsidP="002448B0">
            <w:pPr>
              <w:pStyle w:val="Tablecontent"/>
              <w:jc w:val="right"/>
            </w:pPr>
            <w:r>
              <w:t>0</w:t>
            </w:r>
          </w:p>
        </w:tc>
      </w:tr>
      <w:tr w:rsidR="00407DD1" w14:paraId="57BA97B0" w14:textId="77777777" w:rsidTr="589C4AF9">
        <w:tc>
          <w:tcPr>
            <w:tcW w:w="0" w:type="auto"/>
          </w:tcPr>
          <w:p w14:paraId="62431CDC" w14:textId="77777777" w:rsidR="007B78C5" w:rsidRDefault="007B78C5" w:rsidP="008E68DA">
            <w:pPr>
              <w:pStyle w:val="Tablecontent"/>
            </w:pPr>
          </w:p>
        </w:tc>
        <w:tc>
          <w:tcPr>
            <w:tcW w:w="0" w:type="auto"/>
          </w:tcPr>
          <w:p w14:paraId="49E398E2" w14:textId="77777777" w:rsidR="007B78C5" w:rsidRDefault="007B78C5" w:rsidP="008E68DA">
            <w:pPr>
              <w:pStyle w:val="Tablecontent"/>
            </w:pPr>
          </w:p>
        </w:tc>
        <w:tc>
          <w:tcPr>
            <w:tcW w:w="0" w:type="auto"/>
          </w:tcPr>
          <w:p w14:paraId="1CD7A2F4" w14:textId="77777777" w:rsidR="007B78C5" w:rsidRDefault="7AF5BD86" w:rsidP="008E68DA">
            <w:pPr>
              <w:pStyle w:val="Tablecontent"/>
              <w:ind w:left="104"/>
            </w:pPr>
            <w:r>
              <w:t>SU</w:t>
            </w:r>
          </w:p>
        </w:tc>
        <w:tc>
          <w:tcPr>
            <w:tcW w:w="0" w:type="auto"/>
          </w:tcPr>
          <w:p w14:paraId="1CF34076" w14:textId="77777777" w:rsidR="007B78C5" w:rsidRDefault="589C4AF9" w:rsidP="002448B0">
            <w:pPr>
              <w:pStyle w:val="Tablecontent"/>
              <w:jc w:val="right"/>
            </w:pPr>
            <w:r>
              <w:t>423</w:t>
            </w:r>
          </w:p>
        </w:tc>
        <w:tc>
          <w:tcPr>
            <w:tcW w:w="0" w:type="auto"/>
          </w:tcPr>
          <w:p w14:paraId="42F0EDFF" w14:textId="77777777" w:rsidR="007B78C5" w:rsidRDefault="7AF5BD86" w:rsidP="002448B0">
            <w:pPr>
              <w:pStyle w:val="Tablecontent"/>
              <w:jc w:val="right"/>
            </w:pPr>
            <w:r>
              <w:t>83 (49, 118)</w:t>
            </w:r>
          </w:p>
        </w:tc>
        <w:tc>
          <w:tcPr>
            <w:tcW w:w="0" w:type="auto"/>
          </w:tcPr>
          <w:p w14:paraId="0FE1CE37" w14:textId="77777777" w:rsidR="007B78C5" w:rsidRDefault="589C4AF9" w:rsidP="002448B0">
            <w:pPr>
              <w:pStyle w:val="Tablecontent"/>
              <w:jc w:val="right"/>
            </w:pPr>
            <w:r>
              <w:t>5.0</w:t>
            </w:r>
          </w:p>
        </w:tc>
        <w:tc>
          <w:tcPr>
            <w:tcW w:w="0" w:type="auto"/>
          </w:tcPr>
          <w:p w14:paraId="5D56E414" w14:textId="77777777" w:rsidR="007B78C5" w:rsidRDefault="589C4AF9" w:rsidP="002448B0">
            <w:pPr>
              <w:pStyle w:val="Tablecontent"/>
              <w:jc w:val="right"/>
            </w:pPr>
            <w:r>
              <w:t>0</w:t>
            </w:r>
          </w:p>
        </w:tc>
        <w:tc>
          <w:tcPr>
            <w:tcW w:w="0" w:type="auto"/>
          </w:tcPr>
          <w:p w14:paraId="66D5E959" w14:textId="77777777" w:rsidR="007B78C5" w:rsidRDefault="7AF5BD86" w:rsidP="002448B0">
            <w:pPr>
              <w:pStyle w:val="Tablecontent"/>
              <w:jc w:val="right"/>
            </w:pPr>
            <w:r>
              <w:t>129 (82, 206)</w:t>
            </w:r>
          </w:p>
        </w:tc>
        <w:tc>
          <w:tcPr>
            <w:tcW w:w="0" w:type="auto"/>
          </w:tcPr>
          <w:p w14:paraId="64C1B599" w14:textId="77777777" w:rsidR="007B78C5" w:rsidRDefault="589C4AF9" w:rsidP="002448B0">
            <w:pPr>
              <w:pStyle w:val="Tablecontent"/>
              <w:jc w:val="right"/>
            </w:pPr>
            <w:r>
              <w:t>2.6</w:t>
            </w:r>
          </w:p>
        </w:tc>
        <w:tc>
          <w:tcPr>
            <w:tcW w:w="0" w:type="auto"/>
          </w:tcPr>
          <w:p w14:paraId="41ADC8E8" w14:textId="77777777" w:rsidR="007B78C5" w:rsidRDefault="589C4AF9" w:rsidP="002448B0">
            <w:pPr>
              <w:pStyle w:val="Tablecontent"/>
              <w:jc w:val="right"/>
            </w:pPr>
            <w:r>
              <w:t>4.1</w:t>
            </w:r>
          </w:p>
        </w:tc>
      </w:tr>
      <w:tr w:rsidR="00407DD1" w14:paraId="480FC77F" w14:textId="77777777" w:rsidTr="589C4AF9">
        <w:tc>
          <w:tcPr>
            <w:tcW w:w="0" w:type="auto"/>
          </w:tcPr>
          <w:p w14:paraId="16287F21" w14:textId="77777777" w:rsidR="007B78C5" w:rsidRDefault="007B78C5" w:rsidP="008E68DA">
            <w:pPr>
              <w:pStyle w:val="Tablecontent"/>
            </w:pPr>
          </w:p>
        </w:tc>
        <w:tc>
          <w:tcPr>
            <w:tcW w:w="0" w:type="auto"/>
          </w:tcPr>
          <w:p w14:paraId="5BE93A62" w14:textId="77777777" w:rsidR="007B78C5" w:rsidRDefault="007B78C5" w:rsidP="008E68DA">
            <w:pPr>
              <w:pStyle w:val="Tablecontent"/>
            </w:pPr>
          </w:p>
        </w:tc>
        <w:tc>
          <w:tcPr>
            <w:tcW w:w="0" w:type="auto"/>
          </w:tcPr>
          <w:p w14:paraId="605FB8A3" w14:textId="1B1E695D" w:rsidR="007B78C5" w:rsidRDefault="7AF5BD86" w:rsidP="008E68DA">
            <w:pPr>
              <w:pStyle w:val="Tablecontent"/>
              <w:ind w:left="246"/>
            </w:pPr>
            <w:r>
              <w:t>SU</w:t>
            </w:r>
            <w:r w:rsidR="000A79AE">
              <w:t>-</w:t>
            </w:r>
            <w:r>
              <w:t>C</w:t>
            </w:r>
          </w:p>
        </w:tc>
        <w:tc>
          <w:tcPr>
            <w:tcW w:w="0" w:type="auto"/>
          </w:tcPr>
          <w:p w14:paraId="3E4741B9" w14:textId="77777777" w:rsidR="007B78C5" w:rsidRDefault="589C4AF9" w:rsidP="002448B0">
            <w:pPr>
              <w:pStyle w:val="Tablecontent"/>
              <w:jc w:val="right"/>
            </w:pPr>
            <w:r>
              <w:t>207</w:t>
            </w:r>
          </w:p>
        </w:tc>
        <w:tc>
          <w:tcPr>
            <w:tcW w:w="0" w:type="auto"/>
          </w:tcPr>
          <w:p w14:paraId="62850258" w14:textId="77777777" w:rsidR="007B78C5" w:rsidRDefault="7AF5BD86" w:rsidP="002448B0">
            <w:pPr>
              <w:pStyle w:val="Tablecontent"/>
              <w:jc w:val="right"/>
            </w:pPr>
            <w:r>
              <w:t>86 (51, 128)</w:t>
            </w:r>
          </w:p>
        </w:tc>
        <w:tc>
          <w:tcPr>
            <w:tcW w:w="0" w:type="auto"/>
          </w:tcPr>
          <w:p w14:paraId="6913425C" w14:textId="77777777" w:rsidR="007B78C5" w:rsidRDefault="589C4AF9" w:rsidP="002448B0">
            <w:pPr>
              <w:pStyle w:val="Tablecontent"/>
              <w:jc w:val="right"/>
            </w:pPr>
            <w:r>
              <w:t>5.5</w:t>
            </w:r>
          </w:p>
        </w:tc>
        <w:tc>
          <w:tcPr>
            <w:tcW w:w="0" w:type="auto"/>
          </w:tcPr>
          <w:p w14:paraId="6BC9F2DD" w14:textId="77777777" w:rsidR="007B78C5" w:rsidRDefault="589C4AF9" w:rsidP="002448B0">
            <w:pPr>
              <w:pStyle w:val="Tablecontent"/>
              <w:jc w:val="right"/>
            </w:pPr>
            <w:r>
              <w:t>0</w:t>
            </w:r>
          </w:p>
        </w:tc>
        <w:tc>
          <w:tcPr>
            <w:tcW w:w="0" w:type="auto"/>
          </w:tcPr>
          <w:p w14:paraId="51C564C8" w14:textId="77777777" w:rsidR="007B78C5" w:rsidRDefault="7AF5BD86" w:rsidP="002448B0">
            <w:pPr>
              <w:pStyle w:val="Tablecontent"/>
              <w:jc w:val="right"/>
            </w:pPr>
            <w:r>
              <w:t>86 (51, 128)</w:t>
            </w:r>
          </w:p>
        </w:tc>
        <w:tc>
          <w:tcPr>
            <w:tcW w:w="0" w:type="auto"/>
          </w:tcPr>
          <w:p w14:paraId="2D71D006" w14:textId="77777777" w:rsidR="007B78C5" w:rsidRDefault="589C4AF9" w:rsidP="002448B0">
            <w:pPr>
              <w:pStyle w:val="Tablecontent"/>
              <w:jc w:val="right"/>
            </w:pPr>
            <w:r>
              <w:t>5.5</w:t>
            </w:r>
          </w:p>
        </w:tc>
        <w:tc>
          <w:tcPr>
            <w:tcW w:w="0" w:type="auto"/>
          </w:tcPr>
          <w:p w14:paraId="24452D0A" w14:textId="77777777" w:rsidR="007B78C5" w:rsidRDefault="589C4AF9" w:rsidP="002448B0">
            <w:pPr>
              <w:pStyle w:val="Tablecontent"/>
              <w:jc w:val="right"/>
            </w:pPr>
            <w:r>
              <w:t>0</w:t>
            </w:r>
          </w:p>
        </w:tc>
      </w:tr>
      <w:tr w:rsidR="00407DD1" w14:paraId="0F8D7351" w14:textId="77777777" w:rsidTr="589C4AF9">
        <w:tc>
          <w:tcPr>
            <w:tcW w:w="0" w:type="auto"/>
          </w:tcPr>
          <w:p w14:paraId="384BA73E" w14:textId="77777777" w:rsidR="007B78C5" w:rsidRDefault="007B78C5" w:rsidP="008E68DA">
            <w:pPr>
              <w:pStyle w:val="Tablecontent"/>
            </w:pPr>
          </w:p>
        </w:tc>
        <w:tc>
          <w:tcPr>
            <w:tcW w:w="0" w:type="auto"/>
          </w:tcPr>
          <w:p w14:paraId="34B3F2EB" w14:textId="77777777" w:rsidR="007B78C5" w:rsidRDefault="007B78C5" w:rsidP="008E68DA">
            <w:pPr>
              <w:pStyle w:val="Tablecontent"/>
            </w:pPr>
          </w:p>
        </w:tc>
        <w:tc>
          <w:tcPr>
            <w:tcW w:w="0" w:type="auto"/>
          </w:tcPr>
          <w:p w14:paraId="11A4BDDD" w14:textId="77777777" w:rsidR="007B78C5" w:rsidRDefault="7AF5BD86" w:rsidP="008E68DA">
            <w:pPr>
              <w:pStyle w:val="Tablecontent"/>
              <w:ind w:left="246"/>
            </w:pPr>
            <w:r>
              <w:t>SU+C</w:t>
            </w:r>
          </w:p>
        </w:tc>
        <w:tc>
          <w:tcPr>
            <w:tcW w:w="0" w:type="auto"/>
          </w:tcPr>
          <w:p w14:paraId="45621186" w14:textId="77777777" w:rsidR="007B78C5" w:rsidRDefault="589C4AF9" w:rsidP="002448B0">
            <w:pPr>
              <w:pStyle w:val="Tablecontent"/>
              <w:jc w:val="right"/>
            </w:pPr>
            <w:r>
              <w:t>216</w:t>
            </w:r>
          </w:p>
        </w:tc>
        <w:tc>
          <w:tcPr>
            <w:tcW w:w="0" w:type="auto"/>
          </w:tcPr>
          <w:p w14:paraId="2430E1A1" w14:textId="77777777" w:rsidR="007B78C5" w:rsidRDefault="7AF5BD86" w:rsidP="002448B0">
            <w:pPr>
              <w:pStyle w:val="Tablecontent"/>
              <w:jc w:val="right"/>
            </w:pPr>
            <w:r>
              <w:t>76 (46, 117)</w:t>
            </w:r>
          </w:p>
        </w:tc>
        <w:tc>
          <w:tcPr>
            <w:tcW w:w="0" w:type="auto"/>
          </w:tcPr>
          <w:p w14:paraId="4A6C6191" w14:textId="77777777" w:rsidR="007B78C5" w:rsidRDefault="589C4AF9" w:rsidP="002448B0">
            <w:pPr>
              <w:pStyle w:val="Tablecontent"/>
              <w:jc w:val="right"/>
            </w:pPr>
            <w:r>
              <w:t>4.6</w:t>
            </w:r>
          </w:p>
        </w:tc>
        <w:tc>
          <w:tcPr>
            <w:tcW w:w="0" w:type="auto"/>
          </w:tcPr>
          <w:p w14:paraId="6A355B75" w14:textId="77777777" w:rsidR="007B78C5" w:rsidRDefault="589C4AF9" w:rsidP="002448B0">
            <w:pPr>
              <w:pStyle w:val="Tablecontent"/>
              <w:jc w:val="right"/>
            </w:pPr>
            <w:r>
              <w:t>0</w:t>
            </w:r>
          </w:p>
        </w:tc>
        <w:tc>
          <w:tcPr>
            <w:tcW w:w="0" w:type="auto"/>
          </w:tcPr>
          <w:p w14:paraId="49CDEDD6" w14:textId="77777777" w:rsidR="007B78C5" w:rsidRDefault="7AF5BD86" w:rsidP="002448B0">
            <w:pPr>
              <w:pStyle w:val="Tablecontent"/>
              <w:jc w:val="right"/>
            </w:pPr>
            <w:r>
              <w:t>181 (124, 365)</w:t>
            </w:r>
          </w:p>
        </w:tc>
        <w:tc>
          <w:tcPr>
            <w:tcW w:w="0" w:type="auto"/>
          </w:tcPr>
          <w:p w14:paraId="579F9DF6" w14:textId="77777777" w:rsidR="007B78C5" w:rsidRDefault="589C4AF9" w:rsidP="002448B0">
            <w:pPr>
              <w:pStyle w:val="Tablecontent"/>
              <w:jc w:val="right"/>
            </w:pPr>
            <w:r>
              <w:t>0</w:t>
            </w:r>
          </w:p>
        </w:tc>
        <w:tc>
          <w:tcPr>
            <w:tcW w:w="0" w:type="auto"/>
          </w:tcPr>
          <w:p w14:paraId="2896C8E0" w14:textId="77777777" w:rsidR="007B78C5" w:rsidRDefault="589C4AF9" w:rsidP="002448B0">
            <w:pPr>
              <w:pStyle w:val="Tablecontent"/>
              <w:jc w:val="right"/>
            </w:pPr>
            <w:r>
              <w:t>7.8</w:t>
            </w:r>
          </w:p>
        </w:tc>
      </w:tr>
      <w:tr w:rsidR="00407DD1" w14:paraId="7D34F5C7" w14:textId="77777777" w:rsidTr="589C4AF9">
        <w:tc>
          <w:tcPr>
            <w:tcW w:w="0" w:type="auto"/>
          </w:tcPr>
          <w:p w14:paraId="0B4020A7" w14:textId="77777777" w:rsidR="007B78C5" w:rsidRDefault="007B78C5" w:rsidP="008E68DA">
            <w:pPr>
              <w:pStyle w:val="Tablecontent"/>
            </w:pPr>
          </w:p>
        </w:tc>
        <w:tc>
          <w:tcPr>
            <w:tcW w:w="0" w:type="auto"/>
          </w:tcPr>
          <w:p w14:paraId="1D7B270A" w14:textId="77777777" w:rsidR="007B78C5" w:rsidRDefault="007B78C5" w:rsidP="008E68DA">
            <w:pPr>
              <w:pStyle w:val="Tablecontent"/>
            </w:pPr>
          </w:p>
        </w:tc>
        <w:tc>
          <w:tcPr>
            <w:tcW w:w="0" w:type="auto"/>
          </w:tcPr>
          <w:p w14:paraId="4F904CB7" w14:textId="77777777" w:rsidR="007B78C5" w:rsidRDefault="007B78C5" w:rsidP="008E68DA">
            <w:pPr>
              <w:pStyle w:val="Tablecontent"/>
            </w:pPr>
          </w:p>
        </w:tc>
        <w:tc>
          <w:tcPr>
            <w:tcW w:w="0" w:type="auto"/>
          </w:tcPr>
          <w:p w14:paraId="06971CD3" w14:textId="77777777" w:rsidR="007B78C5" w:rsidRDefault="007B78C5" w:rsidP="002448B0">
            <w:pPr>
              <w:pStyle w:val="Tablecontent"/>
              <w:jc w:val="right"/>
            </w:pPr>
          </w:p>
        </w:tc>
        <w:tc>
          <w:tcPr>
            <w:tcW w:w="0" w:type="auto"/>
          </w:tcPr>
          <w:p w14:paraId="2A1F701D" w14:textId="77777777" w:rsidR="007B78C5" w:rsidRDefault="007B78C5" w:rsidP="002448B0">
            <w:pPr>
              <w:pStyle w:val="Tablecontent"/>
              <w:jc w:val="right"/>
            </w:pPr>
          </w:p>
        </w:tc>
        <w:tc>
          <w:tcPr>
            <w:tcW w:w="0" w:type="auto"/>
          </w:tcPr>
          <w:p w14:paraId="03EFCA41" w14:textId="77777777" w:rsidR="007B78C5" w:rsidRDefault="007B78C5" w:rsidP="002448B0">
            <w:pPr>
              <w:pStyle w:val="Tablecontent"/>
              <w:jc w:val="right"/>
            </w:pPr>
          </w:p>
        </w:tc>
        <w:tc>
          <w:tcPr>
            <w:tcW w:w="0" w:type="auto"/>
          </w:tcPr>
          <w:p w14:paraId="5F96A722" w14:textId="77777777" w:rsidR="007B78C5" w:rsidRDefault="007B78C5" w:rsidP="002448B0">
            <w:pPr>
              <w:pStyle w:val="Tablecontent"/>
              <w:jc w:val="right"/>
            </w:pPr>
          </w:p>
        </w:tc>
        <w:tc>
          <w:tcPr>
            <w:tcW w:w="0" w:type="auto"/>
          </w:tcPr>
          <w:p w14:paraId="5B95CD12" w14:textId="77777777" w:rsidR="007B78C5" w:rsidRDefault="007B78C5" w:rsidP="002448B0">
            <w:pPr>
              <w:pStyle w:val="Tablecontent"/>
              <w:jc w:val="right"/>
            </w:pPr>
          </w:p>
        </w:tc>
        <w:tc>
          <w:tcPr>
            <w:tcW w:w="0" w:type="auto"/>
          </w:tcPr>
          <w:p w14:paraId="5220BBB2" w14:textId="77777777" w:rsidR="007B78C5" w:rsidRDefault="007B78C5" w:rsidP="002448B0">
            <w:pPr>
              <w:pStyle w:val="Tablecontent"/>
              <w:jc w:val="right"/>
            </w:pPr>
          </w:p>
        </w:tc>
        <w:tc>
          <w:tcPr>
            <w:tcW w:w="0" w:type="auto"/>
          </w:tcPr>
          <w:p w14:paraId="13CB595B" w14:textId="77777777" w:rsidR="007B78C5" w:rsidRDefault="007B78C5" w:rsidP="002448B0">
            <w:pPr>
              <w:pStyle w:val="Tablecontent"/>
              <w:jc w:val="right"/>
            </w:pPr>
          </w:p>
        </w:tc>
      </w:tr>
      <w:tr w:rsidR="00407DD1" w14:paraId="053253FD" w14:textId="77777777" w:rsidTr="589C4AF9">
        <w:tc>
          <w:tcPr>
            <w:tcW w:w="0" w:type="auto"/>
          </w:tcPr>
          <w:p w14:paraId="6D9C8D39" w14:textId="77777777" w:rsidR="007B78C5" w:rsidRDefault="007B78C5" w:rsidP="008E68DA">
            <w:pPr>
              <w:pStyle w:val="Tablecontent"/>
            </w:pPr>
          </w:p>
        </w:tc>
        <w:tc>
          <w:tcPr>
            <w:tcW w:w="0" w:type="auto"/>
          </w:tcPr>
          <w:p w14:paraId="6CB3A54D" w14:textId="77777777" w:rsidR="007B78C5" w:rsidRDefault="589C4AF9" w:rsidP="008E68DA">
            <w:pPr>
              <w:pStyle w:val="Tablecontent"/>
            </w:pPr>
            <w:r>
              <w:t>65+</w:t>
            </w:r>
          </w:p>
        </w:tc>
        <w:tc>
          <w:tcPr>
            <w:tcW w:w="0" w:type="auto"/>
          </w:tcPr>
          <w:p w14:paraId="02045DF1" w14:textId="77777777" w:rsidR="007B78C5" w:rsidRDefault="7AF5BD86" w:rsidP="008E68DA">
            <w:pPr>
              <w:pStyle w:val="Tablecontent"/>
            </w:pPr>
            <w:r>
              <w:t>ALL</w:t>
            </w:r>
          </w:p>
        </w:tc>
        <w:tc>
          <w:tcPr>
            <w:tcW w:w="0" w:type="auto"/>
          </w:tcPr>
          <w:p w14:paraId="47BD43F1" w14:textId="77777777" w:rsidR="007B78C5" w:rsidRDefault="589C4AF9" w:rsidP="002448B0">
            <w:pPr>
              <w:pStyle w:val="Tablecontent"/>
              <w:jc w:val="right"/>
            </w:pPr>
            <w:r>
              <w:t>436</w:t>
            </w:r>
          </w:p>
        </w:tc>
        <w:tc>
          <w:tcPr>
            <w:tcW w:w="0" w:type="auto"/>
          </w:tcPr>
          <w:p w14:paraId="75656C9F" w14:textId="77777777" w:rsidR="007B78C5" w:rsidRDefault="7AF5BD86" w:rsidP="002448B0">
            <w:pPr>
              <w:pStyle w:val="Tablecontent"/>
              <w:jc w:val="right"/>
            </w:pPr>
            <w:r>
              <w:t>78 (47, 115)</w:t>
            </w:r>
          </w:p>
        </w:tc>
        <w:tc>
          <w:tcPr>
            <w:tcW w:w="0" w:type="auto"/>
          </w:tcPr>
          <w:p w14:paraId="12A95B4B" w14:textId="77777777" w:rsidR="007B78C5" w:rsidRDefault="589C4AF9" w:rsidP="002448B0">
            <w:pPr>
              <w:pStyle w:val="Tablecontent"/>
              <w:jc w:val="right"/>
            </w:pPr>
            <w:r>
              <w:t>3.9</w:t>
            </w:r>
          </w:p>
        </w:tc>
        <w:tc>
          <w:tcPr>
            <w:tcW w:w="0" w:type="auto"/>
          </w:tcPr>
          <w:p w14:paraId="0146225B" w14:textId="77777777" w:rsidR="007B78C5" w:rsidRDefault="589C4AF9" w:rsidP="002448B0">
            <w:pPr>
              <w:pStyle w:val="Tablecontent"/>
              <w:jc w:val="right"/>
            </w:pPr>
            <w:r>
              <w:t>0</w:t>
            </w:r>
          </w:p>
        </w:tc>
        <w:tc>
          <w:tcPr>
            <w:tcW w:w="0" w:type="auto"/>
          </w:tcPr>
          <w:p w14:paraId="791DBFF7" w14:textId="77777777" w:rsidR="007B78C5" w:rsidRDefault="7AF5BD86" w:rsidP="002448B0">
            <w:pPr>
              <w:pStyle w:val="Tablecontent"/>
              <w:jc w:val="right"/>
            </w:pPr>
            <w:r>
              <w:t>84 (50, 125)</w:t>
            </w:r>
          </w:p>
        </w:tc>
        <w:tc>
          <w:tcPr>
            <w:tcW w:w="0" w:type="auto"/>
          </w:tcPr>
          <w:p w14:paraId="3DA02F6C" w14:textId="77777777" w:rsidR="007B78C5" w:rsidRDefault="589C4AF9" w:rsidP="002448B0">
            <w:pPr>
              <w:pStyle w:val="Tablecontent"/>
              <w:jc w:val="right"/>
            </w:pPr>
            <w:r>
              <w:t>3.8</w:t>
            </w:r>
          </w:p>
        </w:tc>
        <w:tc>
          <w:tcPr>
            <w:tcW w:w="0" w:type="auto"/>
          </w:tcPr>
          <w:p w14:paraId="4F7F8EC2" w14:textId="77777777" w:rsidR="007B78C5" w:rsidRDefault="589C4AF9" w:rsidP="002448B0">
            <w:pPr>
              <w:pStyle w:val="Tablecontent"/>
              <w:jc w:val="right"/>
            </w:pPr>
            <w:r>
              <w:t>0.8</w:t>
            </w:r>
          </w:p>
        </w:tc>
      </w:tr>
      <w:tr w:rsidR="00407DD1" w14:paraId="212D8B8B" w14:textId="77777777" w:rsidTr="589C4AF9">
        <w:tc>
          <w:tcPr>
            <w:tcW w:w="0" w:type="auto"/>
          </w:tcPr>
          <w:p w14:paraId="675E05EE" w14:textId="77777777" w:rsidR="007B78C5" w:rsidRDefault="007B78C5" w:rsidP="008E68DA">
            <w:pPr>
              <w:pStyle w:val="Tablecontent"/>
            </w:pPr>
          </w:p>
        </w:tc>
        <w:tc>
          <w:tcPr>
            <w:tcW w:w="0" w:type="auto"/>
          </w:tcPr>
          <w:p w14:paraId="2FC17F8B" w14:textId="77777777" w:rsidR="007B78C5" w:rsidRDefault="007B78C5" w:rsidP="008E68DA">
            <w:pPr>
              <w:pStyle w:val="Tablecontent"/>
            </w:pPr>
          </w:p>
        </w:tc>
        <w:tc>
          <w:tcPr>
            <w:tcW w:w="0" w:type="auto"/>
          </w:tcPr>
          <w:p w14:paraId="7E91E4F4" w14:textId="77777777" w:rsidR="007B78C5" w:rsidRDefault="7AF5BD86" w:rsidP="008E68DA">
            <w:pPr>
              <w:pStyle w:val="Tablecontent"/>
              <w:ind w:left="104"/>
            </w:pPr>
            <w:r>
              <w:t>NSU</w:t>
            </w:r>
          </w:p>
        </w:tc>
        <w:tc>
          <w:tcPr>
            <w:tcW w:w="0" w:type="auto"/>
          </w:tcPr>
          <w:p w14:paraId="65DCD18A" w14:textId="77777777" w:rsidR="007B78C5" w:rsidRDefault="589C4AF9" w:rsidP="002448B0">
            <w:pPr>
              <w:pStyle w:val="Tablecontent"/>
              <w:jc w:val="right"/>
            </w:pPr>
            <w:r>
              <w:t>251</w:t>
            </w:r>
          </w:p>
        </w:tc>
        <w:tc>
          <w:tcPr>
            <w:tcW w:w="0" w:type="auto"/>
          </w:tcPr>
          <w:p w14:paraId="5A1572B3" w14:textId="77777777" w:rsidR="007B78C5" w:rsidRDefault="7AF5BD86" w:rsidP="002448B0">
            <w:pPr>
              <w:pStyle w:val="Tablecontent"/>
              <w:jc w:val="right"/>
            </w:pPr>
            <w:r>
              <w:t>69 (43, 106)</w:t>
            </w:r>
          </w:p>
        </w:tc>
        <w:tc>
          <w:tcPr>
            <w:tcW w:w="0" w:type="auto"/>
          </w:tcPr>
          <w:p w14:paraId="5C4ACDD9" w14:textId="77777777" w:rsidR="007B78C5" w:rsidRDefault="589C4AF9" w:rsidP="002448B0">
            <w:pPr>
              <w:pStyle w:val="Tablecontent"/>
              <w:jc w:val="right"/>
            </w:pPr>
            <w:r>
              <w:t>6.4</w:t>
            </w:r>
          </w:p>
        </w:tc>
        <w:tc>
          <w:tcPr>
            <w:tcW w:w="0" w:type="auto"/>
          </w:tcPr>
          <w:p w14:paraId="4207ADCD" w14:textId="77777777" w:rsidR="007B78C5" w:rsidRDefault="589C4AF9" w:rsidP="002448B0">
            <w:pPr>
              <w:pStyle w:val="Tablecontent"/>
              <w:jc w:val="right"/>
            </w:pPr>
            <w:r>
              <w:t>0</w:t>
            </w:r>
          </w:p>
        </w:tc>
        <w:tc>
          <w:tcPr>
            <w:tcW w:w="0" w:type="auto"/>
          </w:tcPr>
          <w:p w14:paraId="04699667" w14:textId="77777777" w:rsidR="007B78C5" w:rsidRDefault="7AF5BD86" w:rsidP="002448B0">
            <w:pPr>
              <w:pStyle w:val="Tablecontent"/>
              <w:jc w:val="right"/>
            </w:pPr>
            <w:r>
              <w:t>69 (43, 106)</w:t>
            </w:r>
          </w:p>
        </w:tc>
        <w:tc>
          <w:tcPr>
            <w:tcW w:w="0" w:type="auto"/>
          </w:tcPr>
          <w:p w14:paraId="3A864353" w14:textId="77777777" w:rsidR="007B78C5" w:rsidRDefault="589C4AF9" w:rsidP="002448B0">
            <w:pPr>
              <w:pStyle w:val="Tablecontent"/>
              <w:jc w:val="right"/>
            </w:pPr>
            <w:r>
              <w:t>6.4</w:t>
            </w:r>
          </w:p>
        </w:tc>
        <w:tc>
          <w:tcPr>
            <w:tcW w:w="0" w:type="auto"/>
          </w:tcPr>
          <w:p w14:paraId="5D64A453" w14:textId="77777777" w:rsidR="007B78C5" w:rsidRDefault="589C4AF9" w:rsidP="002448B0">
            <w:pPr>
              <w:pStyle w:val="Tablecontent"/>
              <w:jc w:val="right"/>
            </w:pPr>
            <w:r>
              <w:t>0</w:t>
            </w:r>
          </w:p>
        </w:tc>
      </w:tr>
      <w:tr w:rsidR="00407DD1" w14:paraId="0ED5A559" w14:textId="77777777" w:rsidTr="589C4AF9">
        <w:tc>
          <w:tcPr>
            <w:tcW w:w="0" w:type="auto"/>
          </w:tcPr>
          <w:p w14:paraId="0A4F7224" w14:textId="77777777" w:rsidR="007B78C5" w:rsidRDefault="007B78C5" w:rsidP="008E68DA">
            <w:pPr>
              <w:pStyle w:val="Tablecontent"/>
            </w:pPr>
          </w:p>
        </w:tc>
        <w:tc>
          <w:tcPr>
            <w:tcW w:w="0" w:type="auto"/>
          </w:tcPr>
          <w:p w14:paraId="5AE48A43" w14:textId="77777777" w:rsidR="007B78C5" w:rsidRDefault="007B78C5" w:rsidP="008E68DA">
            <w:pPr>
              <w:pStyle w:val="Tablecontent"/>
            </w:pPr>
          </w:p>
        </w:tc>
        <w:tc>
          <w:tcPr>
            <w:tcW w:w="0" w:type="auto"/>
          </w:tcPr>
          <w:p w14:paraId="1453D54E" w14:textId="77777777" w:rsidR="007B78C5" w:rsidRDefault="7AF5BD86" w:rsidP="008E68DA">
            <w:pPr>
              <w:pStyle w:val="Tablecontent"/>
              <w:ind w:left="104"/>
            </w:pPr>
            <w:r>
              <w:t>SU</w:t>
            </w:r>
          </w:p>
        </w:tc>
        <w:tc>
          <w:tcPr>
            <w:tcW w:w="0" w:type="auto"/>
          </w:tcPr>
          <w:p w14:paraId="79B6DC27" w14:textId="77777777" w:rsidR="007B78C5" w:rsidRDefault="589C4AF9" w:rsidP="002448B0">
            <w:pPr>
              <w:pStyle w:val="Tablecontent"/>
              <w:jc w:val="right"/>
            </w:pPr>
            <w:r>
              <w:t>185</w:t>
            </w:r>
          </w:p>
        </w:tc>
        <w:tc>
          <w:tcPr>
            <w:tcW w:w="0" w:type="auto"/>
          </w:tcPr>
          <w:p w14:paraId="5CA69189" w14:textId="77777777" w:rsidR="007B78C5" w:rsidRDefault="7AF5BD86" w:rsidP="002448B0">
            <w:pPr>
              <w:pStyle w:val="Tablecontent"/>
              <w:jc w:val="right"/>
            </w:pPr>
            <w:r>
              <w:t>82 (51, 122)</w:t>
            </w:r>
          </w:p>
        </w:tc>
        <w:tc>
          <w:tcPr>
            <w:tcW w:w="0" w:type="auto"/>
          </w:tcPr>
          <w:p w14:paraId="4B3AA50C" w14:textId="77777777" w:rsidR="007B78C5" w:rsidRDefault="589C4AF9" w:rsidP="002448B0">
            <w:pPr>
              <w:pStyle w:val="Tablecontent"/>
              <w:jc w:val="right"/>
            </w:pPr>
            <w:r>
              <w:t>1.0</w:t>
            </w:r>
          </w:p>
        </w:tc>
        <w:tc>
          <w:tcPr>
            <w:tcW w:w="0" w:type="auto"/>
          </w:tcPr>
          <w:p w14:paraId="3081C80F" w14:textId="77777777" w:rsidR="007B78C5" w:rsidRDefault="589C4AF9" w:rsidP="002448B0">
            <w:pPr>
              <w:pStyle w:val="Tablecontent"/>
              <w:jc w:val="right"/>
            </w:pPr>
            <w:r>
              <w:t>0</w:t>
            </w:r>
          </w:p>
        </w:tc>
        <w:tc>
          <w:tcPr>
            <w:tcW w:w="0" w:type="auto"/>
          </w:tcPr>
          <w:p w14:paraId="53786309" w14:textId="77777777" w:rsidR="007B78C5" w:rsidRDefault="7AF5BD86" w:rsidP="002448B0">
            <w:pPr>
              <w:pStyle w:val="Tablecontent"/>
              <w:jc w:val="right"/>
            </w:pPr>
            <w:r>
              <w:t>102 (66, 150)</w:t>
            </w:r>
          </w:p>
        </w:tc>
        <w:tc>
          <w:tcPr>
            <w:tcW w:w="0" w:type="auto"/>
          </w:tcPr>
          <w:p w14:paraId="420168B5" w14:textId="77777777" w:rsidR="007B78C5" w:rsidRDefault="589C4AF9" w:rsidP="002448B0">
            <w:pPr>
              <w:pStyle w:val="Tablecontent"/>
              <w:jc w:val="right"/>
            </w:pPr>
            <w:r>
              <w:t>0.7</w:t>
            </w:r>
          </w:p>
        </w:tc>
        <w:tc>
          <w:tcPr>
            <w:tcW w:w="0" w:type="auto"/>
          </w:tcPr>
          <w:p w14:paraId="58BDF8A7" w14:textId="77777777" w:rsidR="007B78C5" w:rsidRDefault="589C4AF9" w:rsidP="002448B0">
            <w:pPr>
              <w:pStyle w:val="Tablecontent"/>
              <w:jc w:val="right"/>
            </w:pPr>
            <w:r>
              <w:t>1.7</w:t>
            </w:r>
          </w:p>
        </w:tc>
      </w:tr>
      <w:tr w:rsidR="00407DD1" w14:paraId="4D9EC8D4" w14:textId="77777777" w:rsidTr="589C4AF9">
        <w:tc>
          <w:tcPr>
            <w:tcW w:w="0" w:type="auto"/>
          </w:tcPr>
          <w:p w14:paraId="50F40DEB" w14:textId="77777777" w:rsidR="007B78C5" w:rsidRDefault="007B78C5" w:rsidP="008E68DA">
            <w:pPr>
              <w:pStyle w:val="Tablecontent"/>
            </w:pPr>
          </w:p>
        </w:tc>
        <w:tc>
          <w:tcPr>
            <w:tcW w:w="0" w:type="auto"/>
          </w:tcPr>
          <w:p w14:paraId="77A52294" w14:textId="77777777" w:rsidR="007B78C5" w:rsidRDefault="007B78C5" w:rsidP="008E68DA">
            <w:pPr>
              <w:pStyle w:val="Tablecontent"/>
            </w:pPr>
          </w:p>
        </w:tc>
        <w:tc>
          <w:tcPr>
            <w:tcW w:w="0" w:type="auto"/>
          </w:tcPr>
          <w:p w14:paraId="7A99CCD0" w14:textId="78BCE003" w:rsidR="007B78C5" w:rsidRDefault="7AF5BD86" w:rsidP="008E68DA">
            <w:pPr>
              <w:pStyle w:val="Tablecontent"/>
              <w:ind w:left="246"/>
            </w:pPr>
            <w:r>
              <w:t>SU</w:t>
            </w:r>
            <w:r w:rsidR="000A79AE">
              <w:t>-</w:t>
            </w:r>
            <w:r>
              <w:t>C</w:t>
            </w:r>
          </w:p>
        </w:tc>
        <w:tc>
          <w:tcPr>
            <w:tcW w:w="0" w:type="auto"/>
          </w:tcPr>
          <w:p w14:paraId="3D8C1C99" w14:textId="77777777" w:rsidR="007B78C5" w:rsidRDefault="589C4AF9" w:rsidP="002448B0">
            <w:pPr>
              <w:pStyle w:val="Tablecontent"/>
              <w:jc w:val="right"/>
            </w:pPr>
            <w:r>
              <w:t>118</w:t>
            </w:r>
          </w:p>
        </w:tc>
        <w:tc>
          <w:tcPr>
            <w:tcW w:w="0" w:type="auto"/>
          </w:tcPr>
          <w:p w14:paraId="639D831D" w14:textId="77777777" w:rsidR="007B78C5" w:rsidRDefault="7AF5BD86" w:rsidP="002448B0">
            <w:pPr>
              <w:pStyle w:val="Tablecontent"/>
              <w:jc w:val="right"/>
            </w:pPr>
            <w:r>
              <w:t>81 (51, 119)</w:t>
            </w:r>
          </w:p>
        </w:tc>
        <w:tc>
          <w:tcPr>
            <w:tcW w:w="0" w:type="auto"/>
          </w:tcPr>
          <w:p w14:paraId="40475724" w14:textId="77777777" w:rsidR="007B78C5" w:rsidRDefault="589C4AF9" w:rsidP="002448B0">
            <w:pPr>
              <w:pStyle w:val="Tablecontent"/>
              <w:jc w:val="right"/>
            </w:pPr>
            <w:r>
              <w:t>1.1</w:t>
            </w:r>
          </w:p>
        </w:tc>
        <w:tc>
          <w:tcPr>
            <w:tcW w:w="0" w:type="auto"/>
          </w:tcPr>
          <w:p w14:paraId="3209E21E" w14:textId="77777777" w:rsidR="007B78C5" w:rsidRDefault="589C4AF9" w:rsidP="002448B0">
            <w:pPr>
              <w:pStyle w:val="Tablecontent"/>
              <w:jc w:val="right"/>
            </w:pPr>
            <w:r>
              <w:t>0</w:t>
            </w:r>
          </w:p>
        </w:tc>
        <w:tc>
          <w:tcPr>
            <w:tcW w:w="0" w:type="auto"/>
          </w:tcPr>
          <w:p w14:paraId="1AE3AC8A" w14:textId="77777777" w:rsidR="007B78C5" w:rsidRDefault="7AF5BD86" w:rsidP="002448B0">
            <w:pPr>
              <w:pStyle w:val="Tablecontent"/>
              <w:jc w:val="right"/>
            </w:pPr>
            <w:r>
              <w:t>81 (51, 119)</w:t>
            </w:r>
          </w:p>
        </w:tc>
        <w:tc>
          <w:tcPr>
            <w:tcW w:w="0" w:type="auto"/>
          </w:tcPr>
          <w:p w14:paraId="0A7565C2" w14:textId="77777777" w:rsidR="007B78C5" w:rsidRDefault="589C4AF9" w:rsidP="002448B0">
            <w:pPr>
              <w:pStyle w:val="Tablecontent"/>
              <w:jc w:val="right"/>
            </w:pPr>
            <w:r>
              <w:t>1.1</w:t>
            </w:r>
          </w:p>
        </w:tc>
        <w:tc>
          <w:tcPr>
            <w:tcW w:w="0" w:type="auto"/>
          </w:tcPr>
          <w:p w14:paraId="62D7B3BE" w14:textId="77777777" w:rsidR="007B78C5" w:rsidRDefault="589C4AF9" w:rsidP="002448B0">
            <w:pPr>
              <w:pStyle w:val="Tablecontent"/>
              <w:jc w:val="right"/>
            </w:pPr>
            <w:r>
              <w:t>0</w:t>
            </w:r>
          </w:p>
        </w:tc>
      </w:tr>
      <w:tr w:rsidR="00407DD1" w14:paraId="4308DE95" w14:textId="77777777" w:rsidTr="589C4AF9">
        <w:tc>
          <w:tcPr>
            <w:tcW w:w="0" w:type="auto"/>
          </w:tcPr>
          <w:p w14:paraId="007DCDA8" w14:textId="77777777" w:rsidR="007B78C5" w:rsidRDefault="007B78C5" w:rsidP="008E68DA">
            <w:pPr>
              <w:pStyle w:val="Tablecontent"/>
            </w:pPr>
          </w:p>
        </w:tc>
        <w:tc>
          <w:tcPr>
            <w:tcW w:w="0" w:type="auto"/>
          </w:tcPr>
          <w:p w14:paraId="450EA2D7" w14:textId="77777777" w:rsidR="007B78C5" w:rsidRDefault="007B78C5" w:rsidP="008E68DA">
            <w:pPr>
              <w:pStyle w:val="Tablecontent"/>
            </w:pPr>
          </w:p>
        </w:tc>
        <w:tc>
          <w:tcPr>
            <w:tcW w:w="0" w:type="auto"/>
          </w:tcPr>
          <w:p w14:paraId="6B9378F8" w14:textId="77777777" w:rsidR="007B78C5" w:rsidRDefault="7AF5BD86" w:rsidP="008E68DA">
            <w:pPr>
              <w:pStyle w:val="Tablecontent"/>
              <w:ind w:left="246"/>
            </w:pPr>
            <w:r>
              <w:t>SU+C</w:t>
            </w:r>
          </w:p>
        </w:tc>
        <w:tc>
          <w:tcPr>
            <w:tcW w:w="0" w:type="auto"/>
          </w:tcPr>
          <w:p w14:paraId="1CB76B51" w14:textId="77777777" w:rsidR="007B78C5" w:rsidRDefault="589C4AF9" w:rsidP="002448B0">
            <w:pPr>
              <w:pStyle w:val="Tablecontent"/>
              <w:jc w:val="right"/>
            </w:pPr>
            <w:r>
              <w:t>67</w:t>
            </w:r>
          </w:p>
        </w:tc>
        <w:tc>
          <w:tcPr>
            <w:tcW w:w="0" w:type="auto"/>
          </w:tcPr>
          <w:p w14:paraId="30BE7EC7" w14:textId="77777777" w:rsidR="007B78C5" w:rsidRDefault="7AF5BD86" w:rsidP="002448B0">
            <w:pPr>
              <w:pStyle w:val="Tablecontent"/>
              <w:jc w:val="right"/>
            </w:pPr>
            <w:r>
              <w:t>84 (50, 125)</w:t>
            </w:r>
          </w:p>
        </w:tc>
        <w:tc>
          <w:tcPr>
            <w:tcW w:w="0" w:type="auto"/>
          </w:tcPr>
          <w:p w14:paraId="11F9B574" w14:textId="77777777" w:rsidR="007B78C5" w:rsidRDefault="589C4AF9" w:rsidP="002448B0">
            <w:pPr>
              <w:pStyle w:val="Tablecontent"/>
              <w:jc w:val="right"/>
            </w:pPr>
            <w:r>
              <w:t>0.9</w:t>
            </w:r>
          </w:p>
        </w:tc>
        <w:tc>
          <w:tcPr>
            <w:tcW w:w="0" w:type="auto"/>
          </w:tcPr>
          <w:p w14:paraId="1E6EE343" w14:textId="77777777" w:rsidR="007B78C5" w:rsidRDefault="589C4AF9" w:rsidP="002448B0">
            <w:pPr>
              <w:pStyle w:val="Tablecontent"/>
              <w:jc w:val="right"/>
            </w:pPr>
            <w:r>
              <w:t>0</w:t>
            </w:r>
          </w:p>
        </w:tc>
        <w:tc>
          <w:tcPr>
            <w:tcW w:w="0" w:type="auto"/>
          </w:tcPr>
          <w:p w14:paraId="53FAB01D" w14:textId="77777777" w:rsidR="007B78C5" w:rsidRDefault="7AF5BD86" w:rsidP="002448B0">
            <w:pPr>
              <w:pStyle w:val="Tablecontent"/>
              <w:jc w:val="right"/>
            </w:pPr>
            <w:r>
              <w:t>154 (110, 282)</w:t>
            </w:r>
          </w:p>
        </w:tc>
        <w:tc>
          <w:tcPr>
            <w:tcW w:w="0" w:type="auto"/>
          </w:tcPr>
          <w:p w14:paraId="42EFDDCA" w14:textId="77777777" w:rsidR="007B78C5" w:rsidRDefault="589C4AF9" w:rsidP="002448B0">
            <w:pPr>
              <w:pStyle w:val="Tablecontent"/>
              <w:jc w:val="right"/>
            </w:pPr>
            <w:r>
              <w:t>0</w:t>
            </w:r>
          </w:p>
        </w:tc>
        <w:tc>
          <w:tcPr>
            <w:tcW w:w="0" w:type="auto"/>
          </w:tcPr>
          <w:p w14:paraId="1BA39565" w14:textId="77777777" w:rsidR="007B78C5" w:rsidRDefault="589C4AF9" w:rsidP="002448B0">
            <w:pPr>
              <w:pStyle w:val="Tablecontent"/>
              <w:jc w:val="right"/>
            </w:pPr>
            <w:r>
              <w:t>4.4</w:t>
            </w:r>
          </w:p>
        </w:tc>
      </w:tr>
    </w:tbl>
    <w:p w14:paraId="4312FE5F" w14:textId="189C51A4" w:rsidR="00E71106" w:rsidRDefault="589C4AF9" w:rsidP="00E71106">
      <w:pPr>
        <w:pStyle w:val="NoSpacing"/>
      </w:pPr>
      <w:r>
        <w:t>TNI, total nutrient intake (food + supplement); NSU, non-supplement users; SU, supplement users; SU+C, supplement user consumes a vitamin C containing supplement; SU</w:t>
      </w:r>
      <w:r w:rsidR="000A79AE">
        <w:noBreakHyphen/>
      </w:r>
      <w:r>
        <w:t>C, supplement user consumes a supplement without vitamin C; EAR, estimated average requirement;</w:t>
      </w:r>
      <w:r w:rsidR="00187FA6">
        <w:t xml:space="preserve"> NDNS, national diet and nutrition survey;</w:t>
      </w:r>
      <w:r>
        <w:t xml:space="preserve"> </w:t>
      </w:r>
      <w:r w:rsidRPr="00ED6425">
        <w:t xml:space="preserve">IQR, </w:t>
      </w:r>
      <w:r w:rsidR="0094078B" w:rsidRPr="00ED6425">
        <w:t>i</w:t>
      </w:r>
      <w:r w:rsidRPr="00ED6425">
        <w:t>nter</w:t>
      </w:r>
      <w:r w:rsidR="0094078B" w:rsidRPr="00ED6425">
        <w:t>q</w:t>
      </w:r>
      <w:r w:rsidRPr="00ED6425">
        <w:t xml:space="preserve">uartile </w:t>
      </w:r>
      <w:r w:rsidR="0094078B" w:rsidRPr="00ED6425">
        <w:t>r</w:t>
      </w:r>
      <w:r w:rsidRPr="00ED6425">
        <w:t>ange.</w:t>
      </w:r>
    </w:p>
    <w:p w14:paraId="3DD355C9" w14:textId="77777777" w:rsidR="00E71106" w:rsidRDefault="00E71106" w:rsidP="00E71106">
      <w:pPr>
        <w:pStyle w:val="NoSpacing"/>
      </w:pPr>
    </w:p>
    <w:p w14:paraId="4B8C1226" w14:textId="5549D927" w:rsidR="00133359" w:rsidRDefault="00B2733A" w:rsidP="003034AE">
      <w:pPr>
        <w:pStyle w:val="NoSpacing"/>
      </w:pPr>
      <w:r>
        <w:t xml:space="preserve">* No SUL or GL </w:t>
      </w:r>
      <w:r w:rsidR="008A754C">
        <w:t xml:space="preserve">are </w:t>
      </w:r>
      <w:r>
        <w:t>set</w:t>
      </w:r>
      <w:r w:rsidR="008A754C">
        <w:t xml:space="preserve"> by the EVM</w:t>
      </w:r>
      <w:r>
        <w:t>, but intakes &gt;1000 mg have been associated with GI-problems in certain populations</w:t>
      </w:r>
      <w:r w:rsidR="00407DD1" w:rsidRPr="589C4AF9">
        <w:t xml:space="preserve"> </w:t>
      </w:r>
      <w:r w:rsidR="00407DD1">
        <w:fldChar w:fldCharType="begin" w:fldLock="1"/>
      </w:r>
      <w:r w:rsidR="00C1396B">
        <w:instrText>ADDIN CSL_CITATION { "citationItems" : [ { "id" : "ITEM-1", "itemData" : { "abstract" : "The Expert Group on Vitamins and Minerals (EVM) is an independent expert advisory committee which was asked to advise on safe levels of intakes of vitamins and minerals in food supplements and fortified foods. The EVM was asked to consider only vitamins and minerals sold under food law. Review of nutritional or non-nutritional beneficial effects or non nutritional use in medicines was outside the terms of reference of the group. The use of vitamins and minerals in medicines is within the remit of the Medicines and Healthcare products Regulatory Agency (MHRA). The EVM considered a detailed review of the relevant evidence for each substance and then a risk assessment which was based on this evidence. The detailed reviews covered both nutritional and toxicological information. Thirty-four substances were assessed in detail. Safe Upper Levels (SULs) were recommended for eight vitamins and minerals and guidance was issued for twenty-two. Recommendations for SULs made by the EVM depend on the availability of good data on both the nature and the frequency of adverse effects detected at different levels of intake. The database supporting the safety-in-use of vitamins and minerals is generally poor. There is a particular lack of reasonable-sized, well-designed comparative human studies of significant duration at different levels of intake, and with adequate assessment of possible adverse effects. Moreover, there has rarely been adequate consideration of potentially vulnerable population sub-groups such as children or older people. For some nutrients the EVM had to rely on animal data, with the use of empirical uncertainty factors in order to allow the extrapolation of the data to humans. For some vitamins and minerals the animal data were too limited for this purpose. As a consequence, the ability to give clear advice on SULs was often compromised and, in many cases, the EVM considered the evidence base inadequate to set a SUL. In such cases, and where possible, Guidance Levels have been given instead. These are based on very limited data; Guidance Levels must not be confused with, or used as, SULs. The determination of SULs or Guidance Levels entails the determination of doses of vitamins and minerals that potentially susceptible individuals could take daily on a life-long basis, without medical supervision in reasonable safety. The setting of these levels provides a framework within which the consumer can make an informed decision about intake, having confiden\u2026", "author" : [ { "dropping-particle" : "", "family" : "Expert group on vitamins and minerals", "given" : "", "non-dropping-particle" : "", "parse-names" : false, "suffix" : "" } ], "id" : "ITEM-1", "issue" : "May", "issued" : { "date-parts" : [ [ "2003" ] ] }, "publisher" : "Food Standards Agency", "publisher-place" : "London", "title" : "Safe Upper Levels for Vitamins and Minerals", "type" : "report" }, "uris" : [ "http://www.mendeley.com/documents/?uuid=0dbc1101-8251-4b23-b660-4130a89a62b1" ] } ], "mendeley" : { "formattedCitation" : "&lt;sup&gt;(36)&lt;/sup&gt;", "plainTextFormattedCitation" : "(36)", "previouslyFormattedCitation" : "&lt;sup&gt;(36)&lt;/sup&gt;" }, "properties" : { "noteIndex" : 0 }, "schema" : "https://github.com/citation-style-language/schema/raw/master/csl-citation.json" }</w:instrText>
      </w:r>
      <w:r w:rsidR="00407DD1">
        <w:fldChar w:fldCharType="separate"/>
      </w:r>
      <w:r w:rsidR="00975B94" w:rsidRPr="00975B94">
        <w:rPr>
          <w:noProof/>
          <w:vertAlign w:val="superscript"/>
        </w:rPr>
        <w:t>(36)</w:t>
      </w:r>
      <w:r w:rsidR="00407DD1">
        <w:fldChar w:fldCharType="end"/>
      </w:r>
      <w:r>
        <w:t>.  This</w:t>
      </w:r>
      <w:r w:rsidR="00343F43" w:rsidRPr="589C4AF9">
        <w:t xml:space="preserve"> </w:t>
      </w:r>
      <w:proofErr w:type="spellStart"/>
      <w:r w:rsidR="00343F43">
        <w:t>cutoff</w:t>
      </w:r>
      <w:proofErr w:type="spellEnd"/>
      <w:r>
        <w:t xml:space="preserve"> value was taken </w:t>
      </w:r>
      <w:r w:rsidR="00343F43">
        <w:t>as an illustration of high intakes</w:t>
      </w:r>
      <w:r w:rsidRPr="589C4AF9">
        <w:t>.</w:t>
      </w:r>
    </w:p>
    <w:p w14:paraId="1A81F0B1" w14:textId="77777777" w:rsidR="0054744E" w:rsidRDefault="0054744E" w:rsidP="003034AE">
      <w:pPr>
        <w:pStyle w:val="NoSpacing"/>
      </w:pPr>
    </w:p>
    <w:p w14:paraId="2DC154D5" w14:textId="2260C199" w:rsidR="0054744E" w:rsidRDefault="7AF5BD86" w:rsidP="003034AE">
      <w:pPr>
        <w:pStyle w:val="NoSpacing"/>
      </w:pPr>
      <w:r>
        <w:t xml:space="preserve">The inclusion of an additional </w:t>
      </w:r>
      <w:r w:rsidR="00C90995">
        <w:t>stratification</w:t>
      </w:r>
      <w:r>
        <w:t xml:space="preserve"> among the </w:t>
      </w:r>
      <w:r w:rsidR="00C90995">
        <w:t>SU</w:t>
      </w:r>
      <w:r>
        <w:t xml:space="preserve"> (SU-C and SU+C, rather than the combined group of SU) might have made the median</w:t>
      </w:r>
      <w:r w:rsidR="00C90995">
        <w:t>, IQR</w:t>
      </w:r>
      <w:r>
        <w:t xml:space="preserve"> and prevalence estimates unstable.</w:t>
      </w:r>
    </w:p>
    <w:p w14:paraId="717AAFBA" w14:textId="77777777" w:rsidR="0054744E" w:rsidRDefault="0054744E" w:rsidP="003034AE">
      <w:pPr>
        <w:pStyle w:val="NoSpacing"/>
      </w:pPr>
    </w:p>
    <w:p w14:paraId="56EE48EE" w14:textId="77777777" w:rsidR="00EF7657" w:rsidRDefault="00EF7657">
      <w:pPr>
        <w:spacing w:line="259" w:lineRule="auto"/>
        <w:sectPr w:rsidR="00EF7657" w:rsidSect="00757203">
          <w:pgSz w:w="16838" w:h="11906" w:orient="landscape"/>
          <w:pgMar w:top="1134" w:right="1134" w:bottom="1134" w:left="1134" w:header="709" w:footer="709" w:gutter="0"/>
          <w:cols w:space="708"/>
          <w:docGrid w:linePitch="360"/>
        </w:sectPr>
      </w:pPr>
    </w:p>
    <w:p w14:paraId="3CB89C1E" w14:textId="5D844639" w:rsidR="00EF7657" w:rsidRDefault="00EF7657" w:rsidP="00EF7657">
      <w:pPr>
        <w:pStyle w:val="Caption"/>
        <w:keepNext/>
      </w:pPr>
      <w:bookmarkStart w:id="16" w:name="_Ref506660361"/>
      <w:proofErr w:type="gramStart"/>
      <w:r>
        <w:lastRenderedPageBreak/>
        <w:t xml:space="preserve">Table </w:t>
      </w:r>
      <w:r w:rsidR="0060253E">
        <w:rPr>
          <w:noProof/>
        </w:rPr>
        <w:fldChar w:fldCharType="begin"/>
      </w:r>
      <w:r w:rsidR="0060253E">
        <w:rPr>
          <w:noProof/>
        </w:rPr>
        <w:instrText xml:space="preserve"> SEQ Table \* ARABIC </w:instrText>
      </w:r>
      <w:r w:rsidR="0060253E">
        <w:rPr>
          <w:noProof/>
        </w:rPr>
        <w:fldChar w:fldCharType="separate"/>
      </w:r>
      <w:r w:rsidR="00D34A30">
        <w:rPr>
          <w:noProof/>
        </w:rPr>
        <w:t>3</w:t>
      </w:r>
      <w:r w:rsidR="0060253E">
        <w:rPr>
          <w:noProof/>
        </w:rPr>
        <w:fldChar w:fldCharType="end"/>
      </w:r>
      <w:bookmarkEnd w:id="16"/>
      <w:r>
        <w:t xml:space="preserve">: The advantages and disadvantages of using </w:t>
      </w:r>
      <w:r>
        <w:rPr>
          <w:noProof/>
        </w:rPr>
        <w:t>observational or trial data to ascertain efficacy of dietary supplements in disease prevention.</w:t>
      </w:r>
      <w:proofErr w:type="gramEnd"/>
    </w:p>
    <w:tbl>
      <w:tblPr>
        <w:tblStyle w:val="TableDissertation"/>
        <w:tblW w:w="0" w:type="auto"/>
        <w:tblLook w:val="04A0" w:firstRow="1" w:lastRow="0" w:firstColumn="1" w:lastColumn="0" w:noHBand="0" w:noVBand="1"/>
      </w:tblPr>
      <w:tblGrid>
        <w:gridCol w:w="1540"/>
        <w:gridCol w:w="4785"/>
        <w:gridCol w:w="3529"/>
      </w:tblGrid>
      <w:tr w:rsidR="00EF7657" w:rsidRPr="00EF7657" w14:paraId="6C9C0236" w14:textId="77777777" w:rsidTr="589C4AF9">
        <w:trPr>
          <w:cnfStyle w:val="100000000000" w:firstRow="1" w:lastRow="0" w:firstColumn="0" w:lastColumn="0" w:oddVBand="0" w:evenVBand="0" w:oddHBand="0" w:evenHBand="0" w:firstRowFirstColumn="0" w:firstRowLastColumn="0" w:lastRowFirstColumn="0" w:lastRowLastColumn="0"/>
        </w:trPr>
        <w:tc>
          <w:tcPr>
            <w:tcW w:w="0" w:type="auto"/>
            <w:tcBorders>
              <w:right w:val="single" w:sz="4" w:space="0" w:color="auto"/>
            </w:tcBorders>
          </w:tcPr>
          <w:p w14:paraId="2908EB2C" w14:textId="77777777" w:rsidR="00EF7657" w:rsidRPr="00EF7657" w:rsidRDefault="00EF7657" w:rsidP="00EF7657">
            <w:pPr>
              <w:pStyle w:val="Tablecontent"/>
            </w:pPr>
          </w:p>
        </w:tc>
        <w:tc>
          <w:tcPr>
            <w:tcW w:w="0" w:type="auto"/>
            <w:tcBorders>
              <w:left w:val="single" w:sz="4" w:space="0" w:color="auto"/>
              <w:right w:val="single" w:sz="4" w:space="0" w:color="auto"/>
            </w:tcBorders>
          </w:tcPr>
          <w:p w14:paraId="7B3A12B6" w14:textId="77777777" w:rsidR="00EF7657" w:rsidRPr="00EF7657" w:rsidRDefault="7AF5BD86" w:rsidP="00EF7657">
            <w:pPr>
              <w:pStyle w:val="Tablecontent"/>
            </w:pPr>
            <w:r>
              <w:t>Prospective cohort</w:t>
            </w:r>
          </w:p>
        </w:tc>
        <w:tc>
          <w:tcPr>
            <w:tcW w:w="0" w:type="auto"/>
            <w:tcBorders>
              <w:left w:val="single" w:sz="4" w:space="0" w:color="auto"/>
            </w:tcBorders>
          </w:tcPr>
          <w:p w14:paraId="5FEE887B" w14:textId="77777777" w:rsidR="00EF7657" w:rsidRPr="00EF7657" w:rsidRDefault="7AF5BD86" w:rsidP="00EF7657">
            <w:pPr>
              <w:pStyle w:val="Tablecontent"/>
            </w:pPr>
            <w:r>
              <w:t>Trial</w:t>
            </w:r>
          </w:p>
        </w:tc>
      </w:tr>
      <w:tr w:rsidR="00EF7657" w:rsidRPr="00EF7657" w14:paraId="06502DD0" w14:textId="77777777" w:rsidTr="589C4AF9">
        <w:tc>
          <w:tcPr>
            <w:tcW w:w="0" w:type="auto"/>
            <w:tcBorders>
              <w:bottom w:val="single" w:sz="4" w:space="0" w:color="auto"/>
              <w:right w:val="single" w:sz="4" w:space="0" w:color="auto"/>
            </w:tcBorders>
          </w:tcPr>
          <w:p w14:paraId="6688E059" w14:textId="77777777" w:rsidR="00EF7657" w:rsidRPr="00EF7657" w:rsidRDefault="7AF5BD86" w:rsidP="00EF7657">
            <w:pPr>
              <w:pStyle w:val="Tablecontent"/>
            </w:pPr>
            <w:r>
              <w:t>Advantages</w:t>
            </w:r>
          </w:p>
        </w:tc>
        <w:tc>
          <w:tcPr>
            <w:tcW w:w="0" w:type="auto"/>
            <w:tcBorders>
              <w:top w:val="single" w:sz="4" w:space="0" w:color="auto"/>
              <w:left w:val="single" w:sz="4" w:space="0" w:color="auto"/>
              <w:bottom w:val="single" w:sz="4" w:space="0" w:color="auto"/>
              <w:right w:val="single" w:sz="4" w:space="0" w:color="auto"/>
            </w:tcBorders>
          </w:tcPr>
          <w:p w14:paraId="42C4D6CD" w14:textId="77777777" w:rsidR="00EF7657" w:rsidRPr="00EF7657" w:rsidRDefault="7AF5BD86" w:rsidP="00EF7657">
            <w:pPr>
              <w:pStyle w:val="Tablecontent"/>
            </w:pPr>
            <w:r>
              <w:t>Long follow-up time</w:t>
            </w:r>
          </w:p>
          <w:p w14:paraId="2B47E5D0" w14:textId="77777777" w:rsidR="00EF7657" w:rsidRPr="00EF7657" w:rsidRDefault="7AF5BD86" w:rsidP="00EF7657">
            <w:pPr>
              <w:pStyle w:val="Tablecontent"/>
            </w:pPr>
            <w:r>
              <w:t>Data collection/hypothesis can be adjusted based on latest findings</w:t>
            </w:r>
          </w:p>
        </w:tc>
        <w:tc>
          <w:tcPr>
            <w:tcW w:w="0" w:type="auto"/>
            <w:tcBorders>
              <w:top w:val="single" w:sz="4" w:space="0" w:color="auto"/>
              <w:left w:val="single" w:sz="4" w:space="0" w:color="auto"/>
              <w:bottom w:val="single" w:sz="4" w:space="0" w:color="auto"/>
            </w:tcBorders>
          </w:tcPr>
          <w:p w14:paraId="53BE4F93" w14:textId="77777777" w:rsidR="00EF7657" w:rsidRPr="00EF7657" w:rsidRDefault="7AF5BD86" w:rsidP="00EF7657">
            <w:pPr>
              <w:pStyle w:val="Tablecontent"/>
            </w:pPr>
            <w:r>
              <w:t>Confounding minimised</w:t>
            </w:r>
          </w:p>
          <w:p w14:paraId="2AF3A6A8" w14:textId="77777777" w:rsidR="00EF7657" w:rsidRPr="00EF7657" w:rsidRDefault="7AF5BD86" w:rsidP="00EF7657">
            <w:pPr>
              <w:pStyle w:val="Tablecontent"/>
            </w:pPr>
            <w:r>
              <w:t>Clear exposure measure</w:t>
            </w:r>
          </w:p>
        </w:tc>
      </w:tr>
      <w:tr w:rsidR="00EF7657" w:rsidRPr="00EF7657" w14:paraId="05F53AF3" w14:textId="77777777" w:rsidTr="589C4AF9">
        <w:tc>
          <w:tcPr>
            <w:tcW w:w="0" w:type="auto"/>
            <w:tcBorders>
              <w:top w:val="single" w:sz="4" w:space="0" w:color="auto"/>
              <w:bottom w:val="single" w:sz="4" w:space="0" w:color="auto"/>
              <w:right w:val="single" w:sz="4" w:space="0" w:color="auto"/>
            </w:tcBorders>
          </w:tcPr>
          <w:p w14:paraId="4F80FBF5" w14:textId="77777777" w:rsidR="00EF7657" w:rsidRPr="00EF7657" w:rsidRDefault="7AF5BD86" w:rsidP="00EF7657">
            <w:pPr>
              <w:pStyle w:val="Tablecontent"/>
            </w:pPr>
            <w:r>
              <w:t>Disadvantages</w:t>
            </w:r>
          </w:p>
        </w:tc>
        <w:tc>
          <w:tcPr>
            <w:tcW w:w="0" w:type="auto"/>
            <w:tcBorders>
              <w:top w:val="single" w:sz="4" w:space="0" w:color="auto"/>
              <w:left w:val="single" w:sz="4" w:space="0" w:color="auto"/>
              <w:bottom w:val="single" w:sz="4" w:space="0" w:color="auto"/>
              <w:right w:val="single" w:sz="4" w:space="0" w:color="auto"/>
            </w:tcBorders>
          </w:tcPr>
          <w:p w14:paraId="056081BE" w14:textId="77777777" w:rsidR="00EF7657" w:rsidRPr="00EF7657" w:rsidRDefault="7AF5BD86" w:rsidP="00EF7657">
            <w:pPr>
              <w:pStyle w:val="Tablecontent"/>
            </w:pPr>
            <w:r>
              <w:t>Residual/unmeasured confounding</w:t>
            </w:r>
          </w:p>
          <w:p w14:paraId="0EAF5A9A" w14:textId="77777777" w:rsidR="00EF7657" w:rsidRPr="00EF7657" w:rsidRDefault="589C4AF9" w:rsidP="00EF7657">
            <w:pPr>
              <w:pStyle w:val="Tablecontent"/>
            </w:pPr>
            <w:proofErr w:type="spellStart"/>
            <w:r>
              <w:t>Colinearity</w:t>
            </w:r>
            <w:proofErr w:type="spellEnd"/>
            <w:r>
              <w:t xml:space="preserve"> of nutrients</w:t>
            </w:r>
          </w:p>
          <w:p w14:paraId="427AE887" w14:textId="77777777" w:rsidR="00EF7657" w:rsidRPr="00EF7657" w:rsidRDefault="7AF5BD86" w:rsidP="00EF7657">
            <w:pPr>
              <w:pStyle w:val="Tablecontent"/>
            </w:pPr>
            <w:r>
              <w:t>Supplement databases are laborious to maintain</w:t>
            </w:r>
          </w:p>
          <w:p w14:paraId="3F1B8C55" w14:textId="77777777" w:rsidR="00EF7657" w:rsidRPr="00EF7657" w:rsidRDefault="7AF5BD86" w:rsidP="00EF7657">
            <w:pPr>
              <w:pStyle w:val="Tablecontent"/>
            </w:pPr>
            <w:r>
              <w:t>Repeated measures of exposures &amp; confounders necessary</w:t>
            </w:r>
          </w:p>
        </w:tc>
        <w:tc>
          <w:tcPr>
            <w:tcW w:w="0" w:type="auto"/>
            <w:tcBorders>
              <w:top w:val="single" w:sz="4" w:space="0" w:color="auto"/>
              <w:left w:val="single" w:sz="4" w:space="0" w:color="auto"/>
              <w:bottom w:val="single" w:sz="4" w:space="0" w:color="auto"/>
            </w:tcBorders>
          </w:tcPr>
          <w:p w14:paraId="68D43050" w14:textId="77777777" w:rsidR="00EF7657" w:rsidRPr="00EF7657" w:rsidRDefault="7AF5BD86" w:rsidP="00EF7657">
            <w:pPr>
              <w:pStyle w:val="Tablecontent"/>
            </w:pPr>
            <w:r>
              <w:t>Short-medium follow-up</w:t>
            </w:r>
          </w:p>
          <w:p w14:paraId="4D766D73" w14:textId="77777777" w:rsidR="00EF7657" w:rsidRPr="00EF7657" w:rsidRDefault="7AF5BD86" w:rsidP="00EF7657">
            <w:pPr>
              <w:pStyle w:val="Tablecontent"/>
            </w:pPr>
            <w:r>
              <w:t>Testing a specific supplement, component or dose</w:t>
            </w:r>
          </w:p>
          <w:p w14:paraId="571BF0BE" w14:textId="77777777" w:rsidR="00EF7657" w:rsidRPr="00EF7657" w:rsidRDefault="7AF5BD86" w:rsidP="00EF7657">
            <w:pPr>
              <w:pStyle w:val="Tablecontent"/>
            </w:pPr>
            <w:r>
              <w:t>Selective inclusion of participants</w:t>
            </w:r>
          </w:p>
        </w:tc>
      </w:tr>
    </w:tbl>
    <w:p w14:paraId="121FD38A" w14:textId="77777777" w:rsidR="00EF7657" w:rsidRDefault="00EF7657" w:rsidP="00EF7657">
      <w:pPr>
        <w:pStyle w:val="NoSpacing"/>
      </w:pPr>
    </w:p>
    <w:p w14:paraId="1FE2DD96" w14:textId="77777777" w:rsidR="00E90DDB" w:rsidRDefault="00E90DDB">
      <w:pPr>
        <w:spacing w:line="259" w:lineRule="auto"/>
        <w:sectPr w:rsidR="00E90DDB" w:rsidSect="00F4799E">
          <w:pgSz w:w="11906" w:h="16838"/>
          <w:pgMar w:top="1134" w:right="1134" w:bottom="1134" w:left="1134" w:header="709" w:footer="709" w:gutter="0"/>
          <w:cols w:space="708"/>
          <w:docGrid w:linePitch="360"/>
        </w:sectPr>
      </w:pPr>
    </w:p>
    <w:p w14:paraId="338AB7F9" w14:textId="6CBDEE15" w:rsidR="00E90DDB" w:rsidRDefault="00E90DDB" w:rsidP="00E90DDB">
      <w:pPr>
        <w:pStyle w:val="Caption"/>
        <w:keepNext/>
      </w:pPr>
      <w:bookmarkStart w:id="17" w:name="_Ref509934202"/>
      <w:r>
        <w:lastRenderedPageBreak/>
        <w:t xml:space="preserve">Table </w:t>
      </w:r>
      <w:r w:rsidR="0060253E">
        <w:rPr>
          <w:noProof/>
        </w:rPr>
        <w:fldChar w:fldCharType="begin"/>
      </w:r>
      <w:r w:rsidR="0060253E">
        <w:rPr>
          <w:noProof/>
        </w:rPr>
        <w:instrText xml:space="preserve"> SEQ Table \* ARABIC </w:instrText>
      </w:r>
      <w:r w:rsidR="0060253E">
        <w:rPr>
          <w:noProof/>
        </w:rPr>
        <w:fldChar w:fldCharType="separate"/>
      </w:r>
      <w:r w:rsidR="00D34A30">
        <w:rPr>
          <w:noProof/>
        </w:rPr>
        <w:t>4</w:t>
      </w:r>
      <w:r w:rsidR="0060253E">
        <w:rPr>
          <w:noProof/>
        </w:rPr>
        <w:fldChar w:fldCharType="end"/>
      </w:r>
      <w:bookmarkEnd w:id="17"/>
      <w:r>
        <w:t xml:space="preserve">: </w:t>
      </w:r>
      <w:r w:rsidR="00F74F4D">
        <w:t xml:space="preserve">Safe </w:t>
      </w:r>
      <w:r>
        <w:t xml:space="preserve">Upper </w:t>
      </w:r>
      <w:r w:rsidR="00F74F4D">
        <w:t>L</w:t>
      </w:r>
      <w:r>
        <w:t>imits</w:t>
      </w:r>
      <w:r w:rsidR="00F74F4D">
        <w:t xml:space="preserve"> </w:t>
      </w:r>
      <w:r>
        <w:rPr>
          <w:noProof/>
        </w:rPr>
        <w:t xml:space="preserve">as set by EVM </w:t>
      </w:r>
      <w:r w:rsidRPr="7AF5BD86">
        <w:fldChar w:fldCharType="begin" w:fldLock="1"/>
      </w:r>
      <w:r w:rsidR="00C1396B">
        <w:rPr>
          <w:noProof/>
        </w:rPr>
        <w:instrText>ADDIN CSL_CITATION { "citationItems" : [ { "id" : "ITEM-1", "itemData" : { "abstract" : "The Expert Group on Vitamins and Minerals (EVM) is an independent expert advisory committee which was asked to advise on safe levels of intakes of vitamins and minerals in food supplements and fortified foods. The EVM was asked to consider only vitamins and minerals sold under food law. Review of nutritional or non-nutritional beneficial effects or non nutritional use in medicines was outside the terms of reference of the group. The use of vitamins and minerals in medicines is within the remit of the Medicines and Healthcare products Regulatory Agency (MHRA). The EVM considered a detailed review of the relevant evidence for each substance and then a risk assessment which was based on this evidence. The detailed reviews covered both nutritional and toxicological information. Thirty-four substances were assessed in detail. Safe Upper Levels (SULs) were recommended for eight vitamins and minerals and guidance was issued for twenty-two. Recommendations for SULs made by the EVM depend on the availability of good data on both the nature and the frequency of adverse effects detected at different levels of intake. The database supporting the safety-in-use of vitamins and minerals is generally poor. There is a particular lack of reasonable-sized, well-designed comparative human studies of significant duration at different levels of intake, and with adequate assessment of possible adverse effects. Moreover, there has rarely been adequate consideration of potentially vulnerable population sub-groups such as children or older people. For some nutrients the EVM had to rely on animal data, with the use of empirical uncertainty factors in order to allow the extrapolation of the data to humans. For some vitamins and minerals the animal data were too limited for this purpose. As a consequence, the ability to give clear advice on SULs was often compromised and, in many cases, the EVM considered the evidence base inadequate to set a SUL. In such cases, and where possible, Guidance Levels have been given instead. These are based on very limited data; Guidance Levels must not be confused with, or used as, SULs. The determination of SULs or Guidance Levels entails the determination of doses of vitamins and minerals that potentially susceptible individuals could take daily on a life-long basis, without medical supervision in reasonable safety. The setting of these levels provides a framework within which the consumer can make an informed decision about intake, having confiden\u2026", "author" : [ { "dropping-particle" : "", "family" : "Expert group on vitamins and minerals", "given" : "", "non-dropping-particle" : "", "parse-names" : false, "suffix" : "" } ], "id" : "ITEM-1", "issue" : "May", "issued" : { "date-parts" : [ [ "2003" ] ] }, "publisher" : "Food Standards Agency", "publisher-place" : "London", "title" : "Safe Upper Levels for Vitamins and Minerals", "type" : "report" }, "uris" : [ "http://www.mendeley.com/documents/?uuid=0dbc1101-8251-4b23-b660-4130a89a62b1" ] } ], "mendeley" : { "formattedCitation" : "&lt;sup&gt;(36)&lt;/sup&gt;", "plainTextFormattedCitation" : "(36)", "previouslyFormattedCitation" : "&lt;sup&gt;(36)&lt;/sup&gt;" }, "properties" : { "noteIndex" : 0 }, "schema" : "https://github.com/citation-style-language/schema/raw/master/csl-citation.json" }</w:instrText>
      </w:r>
      <w:r w:rsidRPr="7AF5BD86">
        <w:rPr>
          <w:noProof/>
        </w:rPr>
        <w:fldChar w:fldCharType="separate"/>
      </w:r>
      <w:r w:rsidR="00975B94" w:rsidRPr="00975B94">
        <w:rPr>
          <w:b w:val="0"/>
          <w:bCs w:val="0"/>
          <w:noProof/>
          <w:vertAlign w:val="superscript"/>
        </w:rPr>
        <w:t>(36)</w:t>
      </w:r>
      <w:r w:rsidRPr="7AF5BD86">
        <w:fldChar w:fldCharType="end"/>
      </w:r>
      <w:r>
        <w:rPr>
          <w:noProof/>
        </w:rPr>
        <w:t xml:space="preserve">, applied to NDNS </w:t>
      </w:r>
      <w:r w:rsidR="00353734">
        <w:rPr>
          <w:noProof/>
        </w:rPr>
        <w:t>rolling programme</w:t>
      </w:r>
      <w:r>
        <w:rPr>
          <w:noProof/>
        </w:rPr>
        <w:t xml:space="preserve"> years 1-4</w:t>
      </w:r>
      <w:r w:rsidR="00A74ACB">
        <w:rPr>
          <w:noProof/>
        </w:rPr>
        <w:t xml:space="preserve"> where participants were</w:t>
      </w:r>
      <w:r w:rsidR="008C312C">
        <w:rPr>
          <w:noProof/>
        </w:rPr>
        <w:t xml:space="preserve"> 18</w:t>
      </w:r>
      <w:r w:rsidR="00A74ACB">
        <w:rPr>
          <w:noProof/>
        </w:rPr>
        <w:t xml:space="preserve"> years or older</w:t>
      </w:r>
      <w:r>
        <w:t xml:space="preserve"> </w:t>
      </w:r>
      <w:r>
        <w:fldChar w:fldCharType="begin" w:fldLock="1"/>
      </w:r>
      <w:r w:rsidR="00C1396B">
        <w:instrText>ADDIN CSL_CITATION { "citationItems" : [ { "id" : "ITEM-1", "itemData" : { "author" : [ { "dropping-particle" : "", "family" : "NatCen", "given" : "Social Research", "non-dropping-particle" : "", "parse-names" : false, "suffix" : "" }, { "dropping-particle" : "", "family" : "MRC", "given" : "Elsie Widdowson Laboratory", "non-dropping-particle" : "", "parse-names" : false, "suffix" : "" }, { "dropping-particle" : "", "family" : "University College London", "given" : "Medical School", "non-dropping-particle" : "", "parse-names" : false, "suffix" : "" } ], "edition" : "8", "id" : "ITEM-1", "issued" : { "date-parts" : [ [ "2017" ] ] }, "publisher" : "UK Data Archive", "publisher-place" : "Colchester, Essex", "title" : "National Diet and Nutrition Survey Years 1-6, 2008/09-2013/14 [computer file]", "type" : "book" }, "uris" : [ "http://www.mendeley.com/documents/?uuid=f5989500-db3a-42f2-9d81-7bc57349ed79" ] } ], "mendeley" : { "formattedCitation" : "&lt;sup&gt;(26)&lt;/sup&gt;", "plainTextFormattedCitation" : "(26)", "previouslyFormattedCitation" : "&lt;sup&gt;(26)&lt;/sup&gt;" }, "properties" : { "noteIndex" : 0 }, "schema" : "https://github.com/citation-style-language/schema/raw/master/csl-citation.json" }</w:instrText>
      </w:r>
      <w:r>
        <w:fldChar w:fldCharType="separate"/>
      </w:r>
      <w:r w:rsidR="00975B94" w:rsidRPr="00975B94">
        <w:rPr>
          <w:b w:val="0"/>
          <w:bCs w:val="0"/>
          <w:noProof/>
          <w:vertAlign w:val="superscript"/>
        </w:rPr>
        <w:t>(26)</w:t>
      </w:r>
      <w:r>
        <w:fldChar w:fldCharType="end"/>
      </w:r>
      <w:r>
        <w:rPr>
          <w:noProof/>
        </w:rPr>
        <w:t>.</w:t>
      </w:r>
    </w:p>
    <w:tbl>
      <w:tblPr>
        <w:tblStyle w:val="TableDissertation"/>
        <w:tblW w:w="0" w:type="auto"/>
        <w:tblLook w:val="04A0" w:firstRow="1" w:lastRow="0" w:firstColumn="1" w:lastColumn="0" w:noHBand="0" w:noVBand="1"/>
      </w:tblPr>
      <w:tblGrid>
        <w:gridCol w:w="1184"/>
        <w:gridCol w:w="1750"/>
        <w:gridCol w:w="728"/>
        <w:gridCol w:w="640"/>
        <w:gridCol w:w="697"/>
        <w:gridCol w:w="728"/>
        <w:gridCol w:w="640"/>
        <w:gridCol w:w="697"/>
        <w:gridCol w:w="1417"/>
        <w:gridCol w:w="1181"/>
        <w:gridCol w:w="1417"/>
        <w:gridCol w:w="1181"/>
      </w:tblGrid>
      <w:tr w:rsidR="008C312C" w14:paraId="2EB802AE" w14:textId="6D37E45C" w:rsidTr="00A74654">
        <w:trPr>
          <w:cnfStyle w:val="100000000000" w:firstRow="1" w:lastRow="0" w:firstColumn="0" w:lastColumn="0" w:oddVBand="0" w:evenVBand="0" w:oddHBand="0" w:evenHBand="0" w:firstRowFirstColumn="0" w:firstRowLastColumn="0" w:lastRowFirstColumn="0" w:lastRowLastColumn="0"/>
        </w:trPr>
        <w:tc>
          <w:tcPr>
            <w:tcW w:w="0" w:type="auto"/>
          </w:tcPr>
          <w:p w14:paraId="373C25ED" w14:textId="77777777" w:rsidR="008C312C" w:rsidRDefault="008C312C" w:rsidP="009C2EEE">
            <w:pPr>
              <w:pStyle w:val="Tablecontent"/>
            </w:pPr>
            <w:r>
              <w:t>Nutrient</w:t>
            </w:r>
          </w:p>
        </w:tc>
        <w:tc>
          <w:tcPr>
            <w:tcW w:w="0" w:type="auto"/>
          </w:tcPr>
          <w:p w14:paraId="7CAC4BFC" w14:textId="3461C522" w:rsidR="008C312C" w:rsidRDefault="008C312C" w:rsidP="009C2EEE">
            <w:pPr>
              <w:pStyle w:val="Tablecontent"/>
            </w:pPr>
            <w:r>
              <w:t>EVM (SUL)</w:t>
            </w:r>
          </w:p>
        </w:tc>
        <w:tc>
          <w:tcPr>
            <w:tcW w:w="0" w:type="auto"/>
            <w:gridSpan w:val="6"/>
          </w:tcPr>
          <w:p w14:paraId="530B50BD" w14:textId="4E26AB3B" w:rsidR="008C312C" w:rsidRDefault="008C312C" w:rsidP="008C312C">
            <w:pPr>
              <w:pStyle w:val="Tablecontent"/>
            </w:pPr>
            <w:r>
              <w:t>95</w:t>
            </w:r>
            <w:r w:rsidRPr="7AF5BD86">
              <w:rPr>
                <w:vertAlign w:val="superscript"/>
              </w:rPr>
              <w:t>th</w:t>
            </w:r>
            <w:r>
              <w:t xml:space="preserve"> centile of food-sourced intake</w:t>
            </w:r>
            <w:r w:rsidR="002B0D51">
              <w:t xml:space="preserve"> (mg/d)</w:t>
            </w:r>
          </w:p>
        </w:tc>
        <w:tc>
          <w:tcPr>
            <w:tcW w:w="0" w:type="auto"/>
            <w:gridSpan w:val="4"/>
          </w:tcPr>
          <w:p w14:paraId="1440A160" w14:textId="1E2AA9A3" w:rsidR="008C312C" w:rsidRDefault="008C312C" w:rsidP="008C312C">
            <w:pPr>
              <w:pStyle w:val="Tablecontent"/>
            </w:pPr>
            <w:r>
              <w:t>Supplement intake (</w:t>
            </w:r>
            <w:r w:rsidR="00503A96">
              <w:t xml:space="preserve">among </w:t>
            </w:r>
            <w:r>
              <w:t>SU+ only</w:t>
            </w:r>
            <w:r w:rsidR="002B0D51">
              <w:t>, mg/d</w:t>
            </w:r>
            <w:r>
              <w:t>)</w:t>
            </w:r>
          </w:p>
        </w:tc>
      </w:tr>
      <w:tr w:rsidR="008C312C" w14:paraId="08577A5E" w14:textId="0E7B8E69" w:rsidTr="00A74654">
        <w:tc>
          <w:tcPr>
            <w:tcW w:w="0" w:type="auto"/>
          </w:tcPr>
          <w:p w14:paraId="27357532" w14:textId="77777777" w:rsidR="008C312C" w:rsidRDefault="008C312C" w:rsidP="009C2EEE">
            <w:pPr>
              <w:pStyle w:val="Tablecontent"/>
            </w:pPr>
          </w:p>
        </w:tc>
        <w:tc>
          <w:tcPr>
            <w:tcW w:w="0" w:type="auto"/>
          </w:tcPr>
          <w:p w14:paraId="07F023C8" w14:textId="77777777" w:rsidR="008C312C" w:rsidRDefault="008C312C" w:rsidP="009C2EEE">
            <w:pPr>
              <w:pStyle w:val="Tablecontent"/>
            </w:pPr>
          </w:p>
        </w:tc>
        <w:tc>
          <w:tcPr>
            <w:tcW w:w="0" w:type="auto"/>
            <w:gridSpan w:val="3"/>
          </w:tcPr>
          <w:p w14:paraId="12AE487A" w14:textId="64C52C78" w:rsidR="008C312C" w:rsidRDefault="008C312C" w:rsidP="002B0D51">
            <w:pPr>
              <w:pStyle w:val="Tablecontent"/>
              <w:jc w:val="center"/>
            </w:pPr>
            <w:r>
              <w:t>Men</w:t>
            </w:r>
          </w:p>
        </w:tc>
        <w:tc>
          <w:tcPr>
            <w:tcW w:w="0" w:type="auto"/>
            <w:gridSpan w:val="3"/>
          </w:tcPr>
          <w:p w14:paraId="060D1E33" w14:textId="77777777" w:rsidR="008C312C" w:rsidRDefault="008C312C" w:rsidP="002B0D51">
            <w:pPr>
              <w:pStyle w:val="Tablecontent"/>
              <w:jc w:val="center"/>
            </w:pPr>
            <w:r>
              <w:t>Women</w:t>
            </w:r>
          </w:p>
        </w:tc>
        <w:tc>
          <w:tcPr>
            <w:tcW w:w="0" w:type="auto"/>
          </w:tcPr>
          <w:p w14:paraId="5A6C9464" w14:textId="527FB9BD" w:rsidR="008C312C" w:rsidRDefault="008C312C" w:rsidP="008C312C">
            <w:pPr>
              <w:pStyle w:val="Tablecontent"/>
              <w:jc w:val="right"/>
            </w:pPr>
            <w:r>
              <w:t>Men</w:t>
            </w:r>
          </w:p>
        </w:tc>
        <w:tc>
          <w:tcPr>
            <w:tcW w:w="0" w:type="auto"/>
          </w:tcPr>
          <w:p w14:paraId="1196E934" w14:textId="354C9094" w:rsidR="008C312C" w:rsidRDefault="008C312C" w:rsidP="008C312C">
            <w:pPr>
              <w:pStyle w:val="Tablecontent"/>
              <w:jc w:val="right"/>
            </w:pPr>
          </w:p>
        </w:tc>
        <w:tc>
          <w:tcPr>
            <w:tcW w:w="0" w:type="auto"/>
          </w:tcPr>
          <w:p w14:paraId="50D316DC" w14:textId="55533F67" w:rsidR="008C312C" w:rsidRDefault="008C312C" w:rsidP="008C312C">
            <w:pPr>
              <w:pStyle w:val="Tablecontent"/>
              <w:jc w:val="right"/>
            </w:pPr>
            <w:r>
              <w:t>Women</w:t>
            </w:r>
          </w:p>
        </w:tc>
        <w:tc>
          <w:tcPr>
            <w:tcW w:w="0" w:type="auto"/>
          </w:tcPr>
          <w:p w14:paraId="3512FDE7" w14:textId="4A5598C8" w:rsidR="008C312C" w:rsidRDefault="008C312C" w:rsidP="008C312C">
            <w:pPr>
              <w:pStyle w:val="Tablecontent"/>
              <w:jc w:val="right"/>
            </w:pPr>
          </w:p>
        </w:tc>
      </w:tr>
      <w:tr w:rsidR="002B0D51" w14:paraId="6A6EA60B" w14:textId="77777777" w:rsidTr="00A74654">
        <w:tc>
          <w:tcPr>
            <w:tcW w:w="0" w:type="auto"/>
          </w:tcPr>
          <w:p w14:paraId="2E6D4E28" w14:textId="77777777" w:rsidR="002B0D51" w:rsidRDefault="002B0D51" w:rsidP="009C2EEE">
            <w:pPr>
              <w:pStyle w:val="Tablecontent"/>
            </w:pPr>
          </w:p>
        </w:tc>
        <w:tc>
          <w:tcPr>
            <w:tcW w:w="0" w:type="auto"/>
          </w:tcPr>
          <w:p w14:paraId="325C2E85" w14:textId="77777777" w:rsidR="002B0D51" w:rsidRDefault="002B0D51" w:rsidP="009C2EEE">
            <w:pPr>
              <w:pStyle w:val="Tablecontent"/>
            </w:pPr>
          </w:p>
        </w:tc>
        <w:tc>
          <w:tcPr>
            <w:tcW w:w="0" w:type="auto"/>
            <w:gridSpan w:val="3"/>
          </w:tcPr>
          <w:p w14:paraId="157183EE" w14:textId="77777777" w:rsidR="002B0D51" w:rsidRDefault="002B0D51" w:rsidP="002B0D51">
            <w:pPr>
              <w:pStyle w:val="Tablecontent"/>
              <w:jc w:val="center"/>
            </w:pPr>
          </w:p>
        </w:tc>
        <w:tc>
          <w:tcPr>
            <w:tcW w:w="0" w:type="auto"/>
            <w:gridSpan w:val="3"/>
          </w:tcPr>
          <w:p w14:paraId="3EDEEC3F" w14:textId="77777777" w:rsidR="002B0D51" w:rsidRDefault="002B0D51" w:rsidP="002B0D51">
            <w:pPr>
              <w:pStyle w:val="Tablecontent"/>
              <w:jc w:val="center"/>
            </w:pPr>
          </w:p>
        </w:tc>
        <w:tc>
          <w:tcPr>
            <w:tcW w:w="0" w:type="auto"/>
          </w:tcPr>
          <w:p w14:paraId="0919FBDD" w14:textId="77777777" w:rsidR="002B0D51" w:rsidRDefault="002B0D51" w:rsidP="008C312C">
            <w:pPr>
              <w:pStyle w:val="Tablecontent"/>
              <w:jc w:val="right"/>
            </w:pPr>
          </w:p>
        </w:tc>
        <w:tc>
          <w:tcPr>
            <w:tcW w:w="0" w:type="auto"/>
          </w:tcPr>
          <w:p w14:paraId="44E011FF" w14:textId="77777777" w:rsidR="002B0D51" w:rsidRDefault="002B0D51" w:rsidP="008C312C">
            <w:pPr>
              <w:pStyle w:val="Tablecontent"/>
              <w:jc w:val="right"/>
            </w:pPr>
          </w:p>
        </w:tc>
        <w:tc>
          <w:tcPr>
            <w:tcW w:w="0" w:type="auto"/>
          </w:tcPr>
          <w:p w14:paraId="631F2CC4" w14:textId="77777777" w:rsidR="002B0D51" w:rsidRDefault="002B0D51" w:rsidP="008C312C">
            <w:pPr>
              <w:pStyle w:val="Tablecontent"/>
              <w:jc w:val="right"/>
            </w:pPr>
          </w:p>
        </w:tc>
        <w:tc>
          <w:tcPr>
            <w:tcW w:w="0" w:type="auto"/>
          </w:tcPr>
          <w:p w14:paraId="3E053FD5" w14:textId="77777777" w:rsidR="002B0D51" w:rsidRDefault="002B0D51" w:rsidP="008C312C">
            <w:pPr>
              <w:pStyle w:val="Tablecontent"/>
              <w:jc w:val="right"/>
            </w:pPr>
          </w:p>
        </w:tc>
      </w:tr>
      <w:tr w:rsidR="008C312C" w14:paraId="7E2CB83F" w14:textId="34A363C1" w:rsidTr="00A74654">
        <w:tc>
          <w:tcPr>
            <w:tcW w:w="0" w:type="auto"/>
          </w:tcPr>
          <w:p w14:paraId="2916C19D" w14:textId="77777777" w:rsidR="008C312C" w:rsidRDefault="008C312C" w:rsidP="009C2EEE">
            <w:pPr>
              <w:pStyle w:val="Tablecontent"/>
            </w:pPr>
          </w:p>
        </w:tc>
        <w:tc>
          <w:tcPr>
            <w:tcW w:w="0" w:type="auto"/>
          </w:tcPr>
          <w:p w14:paraId="74869460" w14:textId="77777777" w:rsidR="008C312C" w:rsidRDefault="008C312C" w:rsidP="009C2EEE">
            <w:pPr>
              <w:pStyle w:val="Tablecontent"/>
            </w:pPr>
          </w:p>
        </w:tc>
        <w:tc>
          <w:tcPr>
            <w:tcW w:w="0" w:type="auto"/>
          </w:tcPr>
          <w:p w14:paraId="1B501F8E" w14:textId="1122B3FE" w:rsidR="008C312C" w:rsidRDefault="008C312C" w:rsidP="008C312C">
            <w:pPr>
              <w:pStyle w:val="Tablecontent"/>
              <w:jc w:val="right"/>
            </w:pPr>
            <w:r>
              <w:t>NSU</w:t>
            </w:r>
          </w:p>
        </w:tc>
        <w:tc>
          <w:tcPr>
            <w:tcW w:w="0" w:type="auto"/>
          </w:tcPr>
          <w:p w14:paraId="74411DA8" w14:textId="77777777" w:rsidR="008C312C" w:rsidRDefault="008C312C" w:rsidP="008C312C">
            <w:pPr>
              <w:pStyle w:val="Tablecontent"/>
              <w:jc w:val="right"/>
            </w:pPr>
            <w:r>
              <w:t>SU-</w:t>
            </w:r>
          </w:p>
        </w:tc>
        <w:tc>
          <w:tcPr>
            <w:tcW w:w="0" w:type="auto"/>
          </w:tcPr>
          <w:p w14:paraId="324C74DD" w14:textId="77777777" w:rsidR="008C312C" w:rsidRDefault="008C312C" w:rsidP="008C312C">
            <w:pPr>
              <w:pStyle w:val="Tablecontent"/>
              <w:jc w:val="right"/>
            </w:pPr>
            <w:r>
              <w:t>SU+</w:t>
            </w:r>
          </w:p>
        </w:tc>
        <w:tc>
          <w:tcPr>
            <w:tcW w:w="0" w:type="auto"/>
          </w:tcPr>
          <w:p w14:paraId="4DFA6CAD" w14:textId="77777777" w:rsidR="008C312C" w:rsidRDefault="008C312C" w:rsidP="008C312C">
            <w:pPr>
              <w:pStyle w:val="Tablecontent"/>
              <w:jc w:val="right"/>
            </w:pPr>
            <w:r>
              <w:t>NSU</w:t>
            </w:r>
          </w:p>
        </w:tc>
        <w:tc>
          <w:tcPr>
            <w:tcW w:w="0" w:type="auto"/>
          </w:tcPr>
          <w:p w14:paraId="64771E9D" w14:textId="77777777" w:rsidR="008C312C" w:rsidRDefault="008C312C" w:rsidP="008C312C">
            <w:pPr>
              <w:pStyle w:val="Tablecontent"/>
              <w:jc w:val="right"/>
            </w:pPr>
            <w:r>
              <w:t>SU-</w:t>
            </w:r>
          </w:p>
        </w:tc>
        <w:tc>
          <w:tcPr>
            <w:tcW w:w="0" w:type="auto"/>
          </w:tcPr>
          <w:p w14:paraId="0176F91E" w14:textId="77777777" w:rsidR="008C312C" w:rsidRDefault="008C312C" w:rsidP="008C312C">
            <w:pPr>
              <w:pStyle w:val="Tablecontent"/>
              <w:jc w:val="right"/>
            </w:pPr>
            <w:r>
              <w:t>SU+</w:t>
            </w:r>
          </w:p>
        </w:tc>
        <w:tc>
          <w:tcPr>
            <w:tcW w:w="0" w:type="auto"/>
          </w:tcPr>
          <w:p w14:paraId="2DA89091" w14:textId="0B31DB25" w:rsidR="008C312C" w:rsidRDefault="002B0D51" w:rsidP="008C312C">
            <w:pPr>
              <w:pStyle w:val="Tablecontent"/>
              <w:jc w:val="right"/>
            </w:pPr>
            <w:r>
              <w:t>Median (</w:t>
            </w:r>
            <w:r w:rsidR="008C312C">
              <w:t>IQR</w:t>
            </w:r>
            <w:r>
              <w:t>)</w:t>
            </w:r>
          </w:p>
        </w:tc>
        <w:tc>
          <w:tcPr>
            <w:tcW w:w="0" w:type="auto"/>
          </w:tcPr>
          <w:p w14:paraId="1093F2DA" w14:textId="2C0D1CCE" w:rsidR="008C312C" w:rsidRDefault="008C312C" w:rsidP="008C312C">
            <w:pPr>
              <w:pStyle w:val="Tablecontent"/>
              <w:jc w:val="right"/>
            </w:pPr>
            <w:r>
              <w:t>95</w:t>
            </w:r>
            <w:r w:rsidRPr="008C312C">
              <w:rPr>
                <w:vertAlign w:val="superscript"/>
              </w:rPr>
              <w:t>th</w:t>
            </w:r>
            <w:r>
              <w:t xml:space="preserve"> centile</w:t>
            </w:r>
          </w:p>
        </w:tc>
        <w:tc>
          <w:tcPr>
            <w:tcW w:w="0" w:type="auto"/>
          </w:tcPr>
          <w:p w14:paraId="7D6ACD8B" w14:textId="03604ABE" w:rsidR="008C312C" w:rsidRDefault="002B0D51" w:rsidP="008C312C">
            <w:pPr>
              <w:pStyle w:val="Tablecontent"/>
              <w:jc w:val="right"/>
            </w:pPr>
            <w:r>
              <w:t>Median (</w:t>
            </w:r>
            <w:r w:rsidR="008C312C">
              <w:t>IQR</w:t>
            </w:r>
            <w:r>
              <w:t>)</w:t>
            </w:r>
          </w:p>
        </w:tc>
        <w:tc>
          <w:tcPr>
            <w:tcW w:w="0" w:type="auto"/>
          </w:tcPr>
          <w:p w14:paraId="7B36BEF9" w14:textId="7B1B74A3" w:rsidR="008C312C" w:rsidRDefault="008C312C" w:rsidP="008C312C">
            <w:pPr>
              <w:pStyle w:val="Tablecontent"/>
              <w:jc w:val="right"/>
            </w:pPr>
            <w:r>
              <w:t>95</w:t>
            </w:r>
            <w:r w:rsidRPr="008C312C">
              <w:rPr>
                <w:vertAlign w:val="superscript"/>
              </w:rPr>
              <w:t>th</w:t>
            </w:r>
            <w:r>
              <w:t xml:space="preserve"> centile</w:t>
            </w:r>
          </w:p>
        </w:tc>
      </w:tr>
      <w:tr w:rsidR="008C312C" w14:paraId="2255E179" w14:textId="7E494AD1" w:rsidTr="00A74654">
        <w:tc>
          <w:tcPr>
            <w:tcW w:w="0" w:type="auto"/>
          </w:tcPr>
          <w:p w14:paraId="1A2FF42C" w14:textId="77777777" w:rsidR="008C312C" w:rsidRDefault="008C312C" w:rsidP="009C2EEE">
            <w:pPr>
              <w:pStyle w:val="Tablecontent"/>
            </w:pPr>
          </w:p>
        </w:tc>
        <w:tc>
          <w:tcPr>
            <w:tcW w:w="0" w:type="auto"/>
          </w:tcPr>
          <w:p w14:paraId="3CB6EAAA" w14:textId="77777777" w:rsidR="008C312C" w:rsidRDefault="008C312C" w:rsidP="009C2EEE">
            <w:pPr>
              <w:pStyle w:val="Tablecontent"/>
            </w:pPr>
          </w:p>
        </w:tc>
        <w:tc>
          <w:tcPr>
            <w:tcW w:w="0" w:type="auto"/>
          </w:tcPr>
          <w:p w14:paraId="50555BD1" w14:textId="2872D113" w:rsidR="008C312C" w:rsidRDefault="008C312C" w:rsidP="008C312C">
            <w:pPr>
              <w:pStyle w:val="Tablecontent"/>
              <w:jc w:val="right"/>
            </w:pPr>
          </w:p>
        </w:tc>
        <w:tc>
          <w:tcPr>
            <w:tcW w:w="0" w:type="auto"/>
          </w:tcPr>
          <w:p w14:paraId="75B03584" w14:textId="77777777" w:rsidR="008C312C" w:rsidRDefault="008C312C" w:rsidP="008C312C">
            <w:pPr>
              <w:pStyle w:val="Tablecontent"/>
              <w:jc w:val="right"/>
            </w:pPr>
          </w:p>
        </w:tc>
        <w:tc>
          <w:tcPr>
            <w:tcW w:w="0" w:type="auto"/>
          </w:tcPr>
          <w:p w14:paraId="04020BEF" w14:textId="77777777" w:rsidR="008C312C" w:rsidRDefault="008C312C" w:rsidP="008C312C">
            <w:pPr>
              <w:pStyle w:val="Tablecontent"/>
              <w:jc w:val="right"/>
            </w:pPr>
          </w:p>
        </w:tc>
        <w:tc>
          <w:tcPr>
            <w:tcW w:w="0" w:type="auto"/>
          </w:tcPr>
          <w:p w14:paraId="5D90706B" w14:textId="77777777" w:rsidR="008C312C" w:rsidRDefault="008C312C" w:rsidP="008C312C">
            <w:pPr>
              <w:pStyle w:val="Tablecontent"/>
              <w:jc w:val="right"/>
            </w:pPr>
          </w:p>
        </w:tc>
        <w:tc>
          <w:tcPr>
            <w:tcW w:w="0" w:type="auto"/>
          </w:tcPr>
          <w:p w14:paraId="0935933D" w14:textId="77777777" w:rsidR="008C312C" w:rsidRDefault="008C312C" w:rsidP="008C312C">
            <w:pPr>
              <w:pStyle w:val="Tablecontent"/>
              <w:jc w:val="right"/>
            </w:pPr>
          </w:p>
        </w:tc>
        <w:tc>
          <w:tcPr>
            <w:tcW w:w="0" w:type="auto"/>
          </w:tcPr>
          <w:p w14:paraId="675E40E2" w14:textId="77777777" w:rsidR="008C312C" w:rsidRDefault="008C312C" w:rsidP="008C312C">
            <w:pPr>
              <w:pStyle w:val="Tablecontent"/>
              <w:jc w:val="right"/>
            </w:pPr>
          </w:p>
        </w:tc>
        <w:tc>
          <w:tcPr>
            <w:tcW w:w="0" w:type="auto"/>
          </w:tcPr>
          <w:p w14:paraId="5154D006" w14:textId="77777777" w:rsidR="008C312C" w:rsidRDefault="008C312C" w:rsidP="008C312C">
            <w:pPr>
              <w:pStyle w:val="Tablecontent"/>
              <w:jc w:val="right"/>
            </w:pPr>
          </w:p>
        </w:tc>
        <w:tc>
          <w:tcPr>
            <w:tcW w:w="0" w:type="auto"/>
          </w:tcPr>
          <w:p w14:paraId="0514E161" w14:textId="36BED096" w:rsidR="008C312C" w:rsidRDefault="008C312C" w:rsidP="008C312C">
            <w:pPr>
              <w:pStyle w:val="Tablecontent"/>
              <w:jc w:val="right"/>
            </w:pPr>
          </w:p>
        </w:tc>
        <w:tc>
          <w:tcPr>
            <w:tcW w:w="0" w:type="auto"/>
          </w:tcPr>
          <w:p w14:paraId="42E3C957" w14:textId="77777777" w:rsidR="008C312C" w:rsidRDefault="008C312C" w:rsidP="008C312C">
            <w:pPr>
              <w:pStyle w:val="Tablecontent"/>
              <w:jc w:val="right"/>
            </w:pPr>
          </w:p>
        </w:tc>
        <w:tc>
          <w:tcPr>
            <w:tcW w:w="0" w:type="auto"/>
          </w:tcPr>
          <w:p w14:paraId="5CC83793" w14:textId="055C598A" w:rsidR="008C312C" w:rsidRDefault="008C312C" w:rsidP="008C312C">
            <w:pPr>
              <w:pStyle w:val="Tablecontent"/>
              <w:jc w:val="right"/>
            </w:pPr>
          </w:p>
        </w:tc>
      </w:tr>
      <w:tr w:rsidR="008C312C" w14:paraId="75147315" w14:textId="0808E1CA" w:rsidTr="00A74654">
        <w:tc>
          <w:tcPr>
            <w:tcW w:w="0" w:type="auto"/>
          </w:tcPr>
          <w:p w14:paraId="3CD3769C" w14:textId="7F4658D8" w:rsidR="008C312C" w:rsidRDefault="008C312C" w:rsidP="009C2EEE">
            <w:pPr>
              <w:pStyle w:val="Tablecontent"/>
            </w:pPr>
            <w:r>
              <w:t>Vitamin B6</w:t>
            </w:r>
          </w:p>
        </w:tc>
        <w:tc>
          <w:tcPr>
            <w:tcW w:w="0" w:type="auto"/>
          </w:tcPr>
          <w:p w14:paraId="17DBC151" w14:textId="26453ED9" w:rsidR="008C312C" w:rsidRDefault="008C312C" w:rsidP="009C2EEE">
            <w:pPr>
              <w:pStyle w:val="Tablecontent"/>
            </w:pPr>
            <w:r>
              <w:t xml:space="preserve">0.17 mg/kg </w:t>
            </w:r>
            <w:r w:rsidR="002B0D51">
              <w:t>BW</w:t>
            </w:r>
            <w:r>
              <w:t>/d</w:t>
            </w:r>
          </w:p>
        </w:tc>
        <w:tc>
          <w:tcPr>
            <w:tcW w:w="0" w:type="auto"/>
          </w:tcPr>
          <w:p w14:paraId="2613E9C1" w14:textId="21509216" w:rsidR="008C312C" w:rsidRDefault="008C312C" w:rsidP="008C312C">
            <w:pPr>
              <w:pStyle w:val="Tablecontent"/>
              <w:jc w:val="right"/>
            </w:pPr>
            <w:r>
              <w:t>4</w:t>
            </w:r>
          </w:p>
        </w:tc>
        <w:tc>
          <w:tcPr>
            <w:tcW w:w="0" w:type="auto"/>
          </w:tcPr>
          <w:p w14:paraId="1037B8A3" w14:textId="2B010C04" w:rsidR="008C312C" w:rsidRDefault="008C312C" w:rsidP="008C312C">
            <w:pPr>
              <w:pStyle w:val="Tablecontent"/>
              <w:jc w:val="right"/>
            </w:pPr>
            <w:r>
              <w:t>5</w:t>
            </w:r>
          </w:p>
        </w:tc>
        <w:tc>
          <w:tcPr>
            <w:tcW w:w="0" w:type="auto"/>
          </w:tcPr>
          <w:p w14:paraId="687C6DE0" w14:textId="6236CDDE" w:rsidR="008C312C" w:rsidRDefault="008C312C" w:rsidP="008C312C">
            <w:pPr>
              <w:pStyle w:val="Tablecontent"/>
              <w:jc w:val="right"/>
            </w:pPr>
            <w:r>
              <w:t>6</w:t>
            </w:r>
          </w:p>
        </w:tc>
        <w:tc>
          <w:tcPr>
            <w:tcW w:w="0" w:type="auto"/>
          </w:tcPr>
          <w:p w14:paraId="5B2F9378" w14:textId="6B84A45F" w:rsidR="008C312C" w:rsidRDefault="008C312C" w:rsidP="008C312C">
            <w:pPr>
              <w:pStyle w:val="Tablecontent"/>
              <w:jc w:val="right"/>
            </w:pPr>
            <w:r>
              <w:t>3</w:t>
            </w:r>
          </w:p>
        </w:tc>
        <w:tc>
          <w:tcPr>
            <w:tcW w:w="0" w:type="auto"/>
          </w:tcPr>
          <w:p w14:paraId="58E6DD4E" w14:textId="5AA2D1D6" w:rsidR="008C312C" w:rsidRDefault="008C312C" w:rsidP="008C312C">
            <w:pPr>
              <w:pStyle w:val="Tablecontent"/>
              <w:jc w:val="right"/>
            </w:pPr>
            <w:r>
              <w:t>3</w:t>
            </w:r>
          </w:p>
        </w:tc>
        <w:tc>
          <w:tcPr>
            <w:tcW w:w="0" w:type="auto"/>
          </w:tcPr>
          <w:p w14:paraId="7D3BEE8F" w14:textId="3358EC5D" w:rsidR="008C312C" w:rsidRDefault="008C312C" w:rsidP="008C312C">
            <w:pPr>
              <w:pStyle w:val="Tablecontent"/>
              <w:jc w:val="right"/>
            </w:pPr>
            <w:r>
              <w:t>3</w:t>
            </w:r>
          </w:p>
        </w:tc>
        <w:tc>
          <w:tcPr>
            <w:tcW w:w="0" w:type="auto"/>
          </w:tcPr>
          <w:p w14:paraId="25EF7C3F" w14:textId="14A767E7" w:rsidR="008C312C" w:rsidRDefault="008C312C" w:rsidP="008C312C">
            <w:pPr>
              <w:pStyle w:val="Tablecontent"/>
              <w:jc w:val="right"/>
            </w:pPr>
            <w:r>
              <w:t>2 (2,3)</w:t>
            </w:r>
          </w:p>
        </w:tc>
        <w:tc>
          <w:tcPr>
            <w:tcW w:w="0" w:type="auto"/>
          </w:tcPr>
          <w:p w14:paraId="47E39738" w14:textId="2A6B2DBE" w:rsidR="008C312C" w:rsidRDefault="008C312C" w:rsidP="008C312C">
            <w:pPr>
              <w:pStyle w:val="Tablecontent"/>
              <w:jc w:val="right"/>
            </w:pPr>
            <w:r>
              <w:t>11</w:t>
            </w:r>
          </w:p>
        </w:tc>
        <w:tc>
          <w:tcPr>
            <w:tcW w:w="0" w:type="auto"/>
          </w:tcPr>
          <w:p w14:paraId="73978205" w14:textId="5A28E9E0" w:rsidR="008C312C" w:rsidRDefault="008C312C" w:rsidP="008C312C">
            <w:pPr>
              <w:pStyle w:val="Tablecontent"/>
              <w:jc w:val="right"/>
            </w:pPr>
            <w:r>
              <w:t>2 (2,5)</w:t>
            </w:r>
          </w:p>
        </w:tc>
        <w:tc>
          <w:tcPr>
            <w:tcW w:w="0" w:type="auto"/>
          </w:tcPr>
          <w:p w14:paraId="57CABEA0" w14:textId="3872CC0D" w:rsidR="008C312C" w:rsidRDefault="008C312C" w:rsidP="008C312C">
            <w:pPr>
              <w:pStyle w:val="Tablecontent"/>
              <w:jc w:val="right"/>
            </w:pPr>
            <w:r>
              <w:t>25</w:t>
            </w:r>
          </w:p>
        </w:tc>
      </w:tr>
      <w:tr w:rsidR="008C312C" w14:paraId="67A4FEB5" w14:textId="17FFDB77" w:rsidTr="00A74654">
        <w:tc>
          <w:tcPr>
            <w:tcW w:w="0" w:type="auto"/>
          </w:tcPr>
          <w:p w14:paraId="41449CE9" w14:textId="5288038A" w:rsidR="008C312C" w:rsidRDefault="008C312C" w:rsidP="009C2EEE">
            <w:pPr>
              <w:pStyle w:val="Tablecontent"/>
            </w:pPr>
            <w:r>
              <w:t>Vitamin E</w:t>
            </w:r>
          </w:p>
        </w:tc>
        <w:tc>
          <w:tcPr>
            <w:tcW w:w="0" w:type="auto"/>
          </w:tcPr>
          <w:p w14:paraId="2BBD94B2" w14:textId="573C5232" w:rsidR="008C312C" w:rsidRDefault="008C312C" w:rsidP="009C2EEE">
            <w:pPr>
              <w:pStyle w:val="Tablecontent"/>
            </w:pPr>
            <w:r>
              <w:t>540 mg/d</w:t>
            </w:r>
          </w:p>
        </w:tc>
        <w:tc>
          <w:tcPr>
            <w:tcW w:w="0" w:type="auto"/>
          </w:tcPr>
          <w:p w14:paraId="2CA7ADD4" w14:textId="0D8AB2B0" w:rsidR="008C312C" w:rsidRDefault="008C312C" w:rsidP="008C312C">
            <w:pPr>
              <w:pStyle w:val="Tablecontent"/>
              <w:jc w:val="right"/>
            </w:pPr>
            <w:r>
              <w:t>18</w:t>
            </w:r>
          </w:p>
        </w:tc>
        <w:tc>
          <w:tcPr>
            <w:tcW w:w="0" w:type="auto"/>
          </w:tcPr>
          <w:p w14:paraId="314EE24A" w14:textId="19D2444C" w:rsidR="008C312C" w:rsidRDefault="008C312C" w:rsidP="008C312C">
            <w:pPr>
              <w:pStyle w:val="Tablecontent"/>
              <w:jc w:val="right"/>
            </w:pPr>
            <w:r>
              <w:t>17</w:t>
            </w:r>
          </w:p>
        </w:tc>
        <w:tc>
          <w:tcPr>
            <w:tcW w:w="0" w:type="auto"/>
          </w:tcPr>
          <w:p w14:paraId="76614669" w14:textId="3E09C849" w:rsidR="008C312C" w:rsidRDefault="008C312C" w:rsidP="008C312C">
            <w:pPr>
              <w:pStyle w:val="Tablecontent"/>
              <w:jc w:val="right"/>
            </w:pPr>
            <w:r>
              <w:t>18</w:t>
            </w:r>
          </w:p>
        </w:tc>
        <w:tc>
          <w:tcPr>
            <w:tcW w:w="0" w:type="auto"/>
          </w:tcPr>
          <w:p w14:paraId="57590049" w14:textId="39C19F11" w:rsidR="008C312C" w:rsidRDefault="008C312C" w:rsidP="008C312C">
            <w:pPr>
              <w:pStyle w:val="Tablecontent"/>
              <w:jc w:val="right"/>
            </w:pPr>
            <w:r>
              <w:t>14</w:t>
            </w:r>
          </w:p>
        </w:tc>
        <w:tc>
          <w:tcPr>
            <w:tcW w:w="0" w:type="auto"/>
          </w:tcPr>
          <w:p w14:paraId="0C5B615A" w14:textId="2518714A" w:rsidR="008C312C" w:rsidRDefault="008C312C" w:rsidP="008C312C">
            <w:pPr>
              <w:pStyle w:val="Tablecontent"/>
              <w:jc w:val="right"/>
            </w:pPr>
            <w:r>
              <w:t>15</w:t>
            </w:r>
          </w:p>
        </w:tc>
        <w:tc>
          <w:tcPr>
            <w:tcW w:w="0" w:type="auto"/>
          </w:tcPr>
          <w:p w14:paraId="792F1AA2" w14:textId="7AD656DA" w:rsidR="008C312C" w:rsidRDefault="008C312C" w:rsidP="008C312C">
            <w:pPr>
              <w:pStyle w:val="Tablecontent"/>
              <w:jc w:val="right"/>
            </w:pPr>
            <w:r>
              <w:t>15</w:t>
            </w:r>
          </w:p>
        </w:tc>
        <w:tc>
          <w:tcPr>
            <w:tcW w:w="0" w:type="auto"/>
          </w:tcPr>
          <w:p w14:paraId="575CEE18" w14:textId="2482043F" w:rsidR="008C312C" w:rsidRDefault="008C312C" w:rsidP="008C312C">
            <w:pPr>
              <w:pStyle w:val="Tablecontent"/>
              <w:jc w:val="right"/>
            </w:pPr>
            <w:r>
              <w:t>5 (2,10)</w:t>
            </w:r>
          </w:p>
        </w:tc>
        <w:tc>
          <w:tcPr>
            <w:tcW w:w="0" w:type="auto"/>
          </w:tcPr>
          <w:p w14:paraId="38EFBFF9" w14:textId="5E8139B7" w:rsidR="008C312C" w:rsidRDefault="008C312C" w:rsidP="008C312C">
            <w:pPr>
              <w:pStyle w:val="Tablecontent"/>
              <w:jc w:val="right"/>
            </w:pPr>
            <w:r>
              <w:t>18</w:t>
            </w:r>
          </w:p>
        </w:tc>
        <w:tc>
          <w:tcPr>
            <w:tcW w:w="0" w:type="auto"/>
          </w:tcPr>
          <w:p w14:paraId="15477A75" w14:textId="4C86A817" w:rsidR="008C312C" w:rsidRDefault="008C312C" w:rsidP="008C312C">
            <w:pPr>
              <w:pStyle w:val="Tablecontent"/>
              <w:jc w:val="right"/>
            </w:pPr>
            <w:r>
              <w:t>10 (2,12)</w:t>
            </w:r>
          </w:p>
        </w:tc>
        <w:tc>
          <w:tcPr>
            <w:tcW w:w="0" w:type="auto"/>
          </w:tcPr>
          <w:p w14:paraId="4D9327D1" w14:textId="56B08261" w:rsidR="008C312C" w:rsidRDefault="008C312C" w:rsidP="008C312C">
            <w:pPr>
              <w:pStyle w:val="Tablecontent"/>
              <w:jc w:val="right"/>
            </w:pPr>
            <w:r>
              <w:t>62</w:t>
            </w:r>
          </w:p>
        </w:tc>
      </w:tr>
      <w:tr w:rsidR="008C312C" w14:paraId="2348B76A" w14:textId="216B509F" w:rsidTr="00A74654">
        <w:tc>
          <w:tcPr>
            <w:tcW w:w="0" w:type="auto"/>
          </w:tcPr>
          <w:p w14:paraId="42BCCD1E" w14:textId="21909DED" w:rsidR="008C312C" w:rsidRDefault="008C312C" w:rsidP="009C2EEE">
            <w:pPr>
              <w:pStyle w:val="Tablecontent"/>
            </w:pPr>
            <w:r>
              <w:t>Copper</w:t>
            </w:r>
          </w:p>
        </w:tc>
        <w:tc>
          <w:tcPr>
            <w:tcW w:w="0" w:type="auto"/>
          </w:tcPr>
          <w:p w14:paraId="6015C453" w14:textId="47C77C36" w:rsidR="008C312C" w:rsidRDefault="008C312C" w:rsidP="009C2EEE">
            <w:pPr>
              <w:pStyle w:val="Tablecontent"/>
            </w:pPr>
            <w:r>
              <w:t xml:space="preserve">0.16 mg/kg </w:t>
            </w:r>
            <w:r w:rsidR="002B0D51">
              <w:t>BW</w:t>
            </w:r>
            <w:r>
              <w:t>/d</w:t>
            </w:r>
          </w:p>
        </w:tc>
        <w:tc>
          <w:tcPr>
            <w:tcW w:w="0" w:type="auto"/>
          </w:tcPr>
          <w:p w14:paraId="3E19887B" w14:textId="72EE7811" w:rsidR="008C312C" w:rsidRDefault="006E66CF" w:rsidP="008C312C">
            <w:pPr>
              <w:pStyle w:val="Tablecontent"/>
              <w:jc w:val="right"/>
            </w:pPr>
            <w:r>
              <w:t>2</w:t>
            </w:r>
          </w:p>
        </w:tc>
        <w:tc>
          <w:tcPr>
            <w:tcW w:w="0" w:type="auto"/>
          </w:tcPr>
          <w:p w14:paraId="7495B8D6" w14:textId="41811192" w:rsidR="008C312C" w:rsidRDefault="006E66CF" w:rsidP="008C312C">
            <w:pPr>
              <w:pStyle w:val="Tablecontent"/>
              <w:jc w:val="right"/>
            </w:pPr>
            <w:r>
              <w:t>3</w:t>
            </w:r>
          </w:p>
        </w:tc>
        <w:tc>
          <w:tcPr>
            <w:tcW w:w="0" w:type="auto"/>
          </w:tcPr>
          <w:p w14:paraId="2EE0E7FF" w14:textId="0F8BEF60" w:rsidR="008C312C" w:rsidRDefault="006E66CF" w:rsidP="008C312C">
            <w:pPr>
              <w:pStyle w:val="Tablecontent"/>
              <w:jc w:val="right"/>
            </w:pPr>
            <w:r>
              <w:t>3</w:t>
            </w:r>
          </w:p>
        </w:tc>
        <w:tc>
          <w:tcPr>
            <w:tcW w:w="0" w:type="auto"/>
          </w:tcPr>
          <w:p w14:paraId="0530FE07" w14:textId="066AE77B" w:rsidR="008C312C" w:rsidRDefault="006E66CF" w:rsidP="008C312C">
            <w:pPr>
              <w:pStyle w:val="Tablecontent"/>
              <w:jc w:val="right"/>
            </w:pPr>
            <w:r>
              <w:t>2</w:t>
            </w:r>
          </w:p>
        </w:tc>
        <w:tc>
          <w:tcPr>
            <w:tcW w:w="0" w:type="auto"/>
          </w:tcPr>
          <w:p w14:paraId="438E0498" w14:textId="4E3F169A" w:rsidR="008C312C" w:rsidRDefault="006E66CF" w:rsidP="008C312C">
            <w:pPr>
              <w:pStyle w:val="Tablecontent"/>
              <w:jc w:val="right"/>
            </w:pPr>
            <w:r>
              <w:t>2</w:t>
            </w:r>
          </w:p>
        </w:tc>
        <w:tc>
          <w:tcPr>
            <w:tcW w:w="0" w:type="auto"/>
          </w:tcPr>
          <w:p w14:paraId="3A5321F2" w14:textId="6552DF45" w:rsidR="008C312C" w:rsidRDefault="006E66CF" w:rsidP="008C312C">
            <w:pPr>
              <w:pStyle w:val="Tablecontent"/>
              <w:jc w:val="right"/>
            </w:pPr>
            <w:r>
              <w:t>3</w:t>
            </w:r>
          </w:p>
        </w:tc>
        <w:tc>
          <w:tcPr>
            <w:tcW w:w="0" w:type="auto"/>
          </w:tcPr>
          <w:p w14:paraId="27D3FAB1" w14:textId="5EC6BDBC" w:rsidR="008C312C" w:rsidRDefault="006E66CF" w:rsidP="008C312C">
            <w:pPr>
              <w:pStyle w:val="Tablecontent"/>
              <w:jc w:val="right"/>
            </w:pPr>
            <w:r>
              <w:t>1 (1,2)</w:t>
            </w:r>
          </w:p>
        </w:tc>
        <w:tc>
          <w:tcPr>
            <w:tcW w:w="0" w:type="auto"/>
          </w:tcPr>
          <w:p w14:paraId="22AE06AE" w14:textId="0969BD9A" w:rsidR="008C312C" w:rsidRDefault="006E66CF" w:rsidP="008C312C">
            <w:pPr>
              <w:pStyle w:val="Tablecontent"/>
              <w:jc w:val="right"/>
            </w:pPr>
            <w:r>
              <w:t>3</w:t>
            </w:r>
          </w:p>
        </w:tc>
        <w:tc>
          <w:tcPr>
            <w:tcW w:w="0" w:type="auto"/>
          </w:tcPr>
          <w:p w14:paraId="764B17DF" w14:textId="7FF8B66F" w:rsidR="008C312C" w:rsidRDefault="006E66CF" w:rsidP="008C312C">
            <w:pPr>
              <w:pStyle w:val="Tablecontent"/>
              <w:jc w:val="right"/>
            </w:pPr>
            <w:r>
              <w:t>1 (1,1)</w:t>
            </w:r>
          </w:p>
        </w:tc>
        <w:tc>
          <w:tcPr>
            <w:tcW w:w="0" w:type="auto"/>
          </w:tcPr>
          <w:p w14:paraId="2D00B97B" w14:textId="037BB06C" w:rsidR="008C312C" w:rsidRDefault="006E66CF" w:rsidP="008C312C">
            <w:pPr>
              <w:pStyle w:val="Tablecontent"/>
              <w:jc w:val="right"/>
            </w:pPr>
            <w:r>
              <w:t>2</w:t>
            </w:r>
          </w:p>
        </w:tc>
      </w:tr>
      <w:tr w:rsidR="008C312C" w14:paraId="24F72AA0" w14:textId="0FD875BC" w:rsidTr="00A74654">
        <w:tc>
          <w:tcPr>
            <w:tcW w:w="0" w:type="auto"/>
          </w:tcPr>
          <w:p w14:paraId="4588D095" w14:textId="2F5E8C51" w:rsidR="008C312C" w:rsidRDefault="008C312C" w:rsidP="009C2EEE">
            <w:pPr>
              <w:pStyle w:val="Tablecontent"/>
            </w:pPr>
            <w:r>
              <w:t>Zinc</w:t>
            </w:r>
          </w:p>
        </w:tc>
        <w:tc>
          <w:tcPr>
            <w:tcW w:w="0" w:type="auto"/>
          </w:tcPr>
          <w:p w14:paraId="2CB6BE92" w14:textId="2E1ABED9" w:rsidR="008C312C" w:rsidRDefault="008C312C" w:rsidP="009C2EEE">
            <w:pPr>
              <w:pStyle w:val="Tablecontent"/>
            </w:pPr>
            <w:r>
              <w:t>25 mg/d</w:t>
            </w:r>
          </w:p>
        </w:tc>
        <w:tc>
          <w:tcPr>
            <w:tcW w:w="0" w:type="auto"/>
          </w:tcPr>
          <w:p w14:paraId="61CB1BB7" w14:textId="69466572" w:rsidR="008C312C" w:rsidRDefault="008C312C" w:rsidP="008C312C">
            <w:pPr>
              <w:pStyle w:val="Tablecontent"/>
              <w:jc w:val="right"/>
            </w:pPr>
            <w:r>
              <w:t>15</w:t>
            </w:r>
          </w:p>
        </w:tc>
        <w:tc>
          <w:tcPr>
            <w:tcW w:w="0" w:type="auto"/>
          </w:tcPr>
          <w:p w14:paraId="47F33324" w14:textId="6770F3CB" w:rsidR="008C312C" w:rsidRDefault="008C312C" w:rsidP="008C312C">
            <w:pPr>
              <w:pStyle w:val="Tablecontent"/>
              <w:jc w:val="right"/>
            </w:pPr>
            <w:r>
              <w:t>15</w:t>
            </w:r>
          </w:p>
        </w:tc>
        <w:tc>
          <w:tcPr>
            <w:tcW w:w="0" w:type="auto"/>
          </w:tcPr>
          <w:p w14:paraId="57FDC8FD" w14:textId="517C4224" w:rsidR="008C312C" w:rsidRDefault="008C312C" w:rsidP="008C312C">
            <w:pPr>
              <w:pStyle w:val="Tablecontent"/>
              <w:jc w:val="right"/>
            </w:pPr>
            <w:r>
              <w:t>17</w:t>
            </w:r>
          </w:p>
        </w:tc>
        <w:tc>
          <w:tcPr>
            <w:tcW w:w="0" w:type="auto"/>
          </w:tcPr>
          <w:p w14:paraId="3E1474BE" w14:textId="03F1C528" w:rsidR="008C312C" w:rsidRDefault="008C312C" w:rsidP="008C312C">
            <w:pPr>
              <w:pStyle w:val="Tablecontent"/>
              <w:jc w:val="right"/>
            </w:pPr>
            <w:r>
              <w:t>12</w:t>
            </w:r>
          </w:p>
        </w:tc>
        <w:tc>
          <w:tcPr>
            <w:tcW w:w="0" w:type="auto"/>
          </w:tcPr>
          <w:p w14:paraId="31CF66E7" w14:textId="4977362D" w:rsidR="008C312C" w:rsidRDefault="008C312C" w:rsidP="008C312C">
            <w:pPr>
              <w:pStyle w:val="Tablecontent"/>
              <w:jc w:val="right"/>
            </w:pPr>
            <w:r>
              <w:t>12</w:t>
            </w:r>
          </w:p>
        </w:tc>
        <w:tc>
          <w:tcPr>
            <w:tcW w:w="0" w:type="auto"/>
          </w:tcPr>
          <w:p w14:paraId="7CAB8980" w14:textId="531D396C" w:rsidR="008C312C" w:rsidRDefault="008C312C" w:rsidP="008C312C">
            <w:pPr>
              <w:pStyle w:val="Tablecontent"/>
              <w:jc w:val="right"/>
            </w:pPr>
            <w:r>
              <w:t>13</w:t>
            </w:r>
          </w:p>
        </w:tc>
        <w:tc>
          <w:tcPr>
            <w:tcW w:w="0" w:type="auto"/>
          </w:tcPr>
          <w:p w14:paraId="174BD2AC" w14:textId="03B661A3" w:rsidR="008C312C" w:rsidRDefault="008C312C" w:rsidP="008C312C">
            <w:pPr>
              <w:pStyle w:val="Tablecontent"/>
              <w:jc w:val="right"/>
            </w:pPr>
            <w:r>
              <w:t>15 (6,15)</w:t>
            </w:r>
          </w:p>
        </w:tc>
        <w:tc>
          <w:tcPr>
            <w:tcW w:w="0" w:type="auto"/>
          </w:tcPr>
          <w:p w14:paraId="6BB15314" w14:textId="2509CAD0" w:rsidR="008C312C" w:rsidRDefault="008C312C" w:rsidP="008C312C">
            <w:pPr>
              <w:pStyle w:val="Tablecontent"/>
              <w:jc w:val="right"/>
            </w:pPr>
            <w:r>
              <w:t>28</w:t>
            </w:r>
          </w:p>
        </w:tc>
        <w:tc>
          <w:tcPr>
            <w:tcW w:w="0" w:type="auto"/>
          </w:tcPr>
          <w:p w14:paraId="598D34AC" w14:textId="348382F7" w:rsidR="008C312C" w:rsidRDefault="008C312C" w:rsidP="008C312C">
            <w:pPr>
              <w:pStyle w:val="Tablecontent"/>
              <w:jc w:val="right"/>
            </w:pPr>
            <w:r>
              <w:t>15 (5,15)</w:t>
            </w:r>
          </w:p>
        </w:tc>
        <w:tc>
          <w:tcPr>
            <w:tcW w:w="0" w:type="auto"/>
          </w:tcPr>
          <w:p w14:paraId="7E295CCC" w14:textId="3396C139" w:rsidR="008C312C" w:rsidRDefault="008C312C" w:rsidP="008C312C">
            <w:pPr>
              <w:pStyle w:val="Tablecontent"/>
              <w:jc w:val="right"/>
            </w:pPr>
            <w:r>
              <w:t>30</w:t>
            </w:r>
          </w:p>
        </w:tc>
      </w:tr>
      <w:tr w:rsidR="008C312C" w:rsidRPr="00680B2A" w14:paraId="39CD9575" w14:textId="13DA0475" w:rsidTr="00A74654">
        <w:tc>
          <w:tcPr>
            <w:tcW w:w="0" w:type="auto"/>
          </w:tcPr>
          <w:p w14:paraId="2D5D4143" w14:textId="77777777" w:rsidR="008C312C" w:rsidRPr="00680B2A" w:rsidRDefault="008C312C" w:rsidP="009C2EEE">
            <w:pPr>
              <w:pStyle w:val="Tablecontent"/>
            </w:pPr>
          </w:p>
        </w:tc>
        <w:tc>
          <w:tcPr>
            <w:tcW w:w="0" w:type="auto"/>
          </w:tcPr>
          <w:p w14:paraId="6D9D727E" w14:textId="77777777" w:rsidR="008C312C" w:rsidRDefault="008C312C" w:rsidP="009C2EEE">
            <w:pPr>
              <w:pStyle w:val="Tablecontent"/>
            </w:pPr>
          </w:p>
        </w:tc>
        <w:tc>
          <w:tcPr>
            <w:tcW w:w="0" w:type="auto"/>
          </w:tcPr>
          <w:p w14:paraId="4C3E2CBB" w14:textId="698CB571" w:rsidR="008C312C" w:rsidRDefault="008C312C" w:rsidP="008C312C">
            <w:pPr>
              <w:pStyle w:val="Tablecontent"/>
              <w:jc w:val="right"/>
            </w:pPr>
          </w:p>
        </w:tc>
        <w:tc>
          <w:tcPr>
            <w:tcW w:w="0" w:type="auto"/>
          </w:tcPr>
          <w:p w14:paraId="0846DD93" w14:textId="77777777" w:rsidR="008C312C" w:rsidRDefault="008C312C" w:rsidP="008C312C">
            <w:pPr>
              <w:pStyle w:val="Tablecontent"/>
              <w:jc w:val="right"/>
            </w:pPr>
          </w:p>
        </w:tc>
        <w:tc>
          <w:tcPr>
            <w:tcW w:w="0" w:type="auto"/>
          </w:tcPr>
          <w:p w14:paraId="21AF0980" w14:textId="77777777" w:rsidR="008C312C" w:rsidRDefault="008C312C" w:rsidP="008C312C">
            <w:pPr>
              <w:pStyle w:val="Tablecontent"/>
              <w:jc w:val="right"/>
            </w:pPr>
          </w:p>
        </w:tc>
        <w:tc>
          <w:tcPr>
            <w:tcW w:w="0" w:type="auto"/>
          </w:tcPr>
          <w:p w14:paraId="530C36B6" w14:textId="77777777" w:rsidR="008C312C" w:rsidRDefault="008C312C" w:rsidP="008C312C">
            <w:pPr>
              <w:pStyle w:val="Tablecontent"/>
              <w:jc w:val="right"/>
            </w:pPr>
          </w:p>
        </w:tc>
        <w:tc>
          <w:tcPr>
            <w:tcW w:w="0" w:type="auto"/>
          </w:tcPr>
          <w:p w14:paraId="169BBB56" w14:textId="77777777" w:rsidR="008C312C" w:rsidRDefault="008C312C" w:rsidP="008C312C">
            <w:pPr>
              <w:pStyle w:val="Tablecontent"/>
              <w:jc w:val="right"/>
            </w:pPr>
          </w:p>
        </w:tc>
        <w:tc>
          <w:tcPr>
            <w:tcW w:w="0" w:type="auto"/>
          </w:tcPr>
          <w:p w14:paraId="6F6E9633" w14:textId="77777777" w:rsidR="008C312C" w:rsidRDefault="008C312C" w:rsidP="008C312C">
            <w:pPr>
              <w:pStyle w:val="Tablecontent"/>
              <w:jc w:val="right"/>
            </w:pPr>
          </w:p>
        </w:tc>
        <w:tc>
          <w:tcPr>
            <w:tcW w:w="0" w:type="auto"/>
          </w:tcPr>
          <w:p w14:paraId="234E680A" w14:textId="77777777" w:rsidR="008C312C" w:rsidRDefault="008C312C" w:rsidP="008C312C">
            <w:pPr>
              <w:pStyle w:val="Tablecontent"/>
              <w:jc w:val="right"/>
            </w:pPr>
          </w:p>
        </w:tc>
        <w:tc>
          <w:tcPr>
            <w:tcW w:w="0" w:type="auto"/>
          </w:tcPr>
          <w:p w14:paraId="314D292D" w14:textId="52DDD558" w:rsidR="008C312C" w:rsidRDefault="008C312C" w:rsidP="008C312C">
            <w:pPr>
              <w:pStyle w:val="Tablecontent"/>
              <w:jc w:val="right"/>
            </w:pPr>
          </w:p>
        </w:tc>
        <w:tc>
          <w:tcPr>
            <w:tcW w:w="0" w:type="auto"/>
          </w:tcPr>
          <w:p w14:paraId="12E06AC3" w14:textId="77777777" w:rsidR="008C312C" w:rsidRDefault="008C312C" w:rsidP="008C312C">
            <w:pPr>
              <w:pStyle w:val="Tablecontent"/>
              <w:jc w:val="right"/>
            </w:pPr>
          </w:p>
        </w:tc>
        <w:tc>
          <w:tcPr>
            <w:tcW w:w="0" w:type="auto"/>
          </w:tcPr>
          <w:p w14:paraId="2DE9CA35" w14:textId="192A9D47" w:rsidR="008C312C" w:rsidRDefault="008C312C" w:rsidP="008C312C">
            <w:pPr>
              <w:pStyle w:val="Tablecontent"/>
              <w:jc w:val="right"/>
            </w:pPr>
          </w:p>
        </w:tc>
      </w:tr>
    </w:tbl>
    <w:p w14:paraId="082C48EB" w14:textId="0CCF8C92" w:rsidR="00133359" w:rsidRDefault="00DD4640" w:rsidP="006E66CF">
      <w:pPr>
        <w:pStyle w:val="NoSpacing"/>
      </w:pPr>
      <w:r>
        <w:t xml:space="preserve">EVM, expert </w:t>
      </w:r>
      <w:r w:rsidR="00C90995">
        <w:t>group</w:t>
      </w:r>
      <w:r>
        <w:t xml:space="preserve"> on vitamins and minerals; </w:t>
      </w:r>
      <w:r w:rsidR="00353734">
        <w:t xml:space="preserve">NDNS, national diet and nutrition survey: </w:t>
      </w:r>
      <w:r w:rsidR="006E66CF">
        <w:t xml:space="preserve">IQR, interquartile range; </w:t>
      </w:r>
      <w:r w:rsidR="002B0D51">
        <w:t>BW</w:t>
      </w:r>
      <w:r w:rsidR="006E66CF">
        <w:t xml:space="preserve">, body weight; NSU, non-supplement users; SU, supplement users; SU+, supplement user consuming the nutrient of interest in supplement form; SU-, supplement user </w:t>
      </w:r>
      <w:r w:rsidR="006E66CF" w:rsidRPr="006E66CF">
        <w:rPr>
          <w:i/>
        </w:rPr>
        <w:t>not</w:t>
      </w:r>
      <w:r w:rsidR="006E66CF">
        <w:t xml:space="preserve"> consuming the nutrient of interest in supplement form. </w:t>
      </w:r>
      <w:r w:rsidR="00133359">
        <w:br w:type="page"/>
      </w:r>
    </w:p>
    <w:p w14:paraId="73892C7F" w14:textId="522280B8" w:rsidR="00133359" w:rsidRDefault="008A1BAF" w:rsidP="00133359">
      <w:pPr>
        <w:pStyle w:val="Caption"/>
        <w:keepNext/>
      </w:pPr>
      <w:bookmarkStart w:id="18" w:name="_Ref513049135"/>
      <w:r>
        <w:lastRenderedPageBreak/>
        <w:t xml:space="preserve">SUPP - </w:t>
      </w:r>
      <w:r w:rsidR="00133359">
        <w:t xml:space="preserve">Table </w:t>
      </w:r>
      <w:r w:rsidR="0060253E">
        <w:rPr>
          <w:noProof/>
        </w:rPr>
        <w:fldChar w:fldCharType="begin"/>
      </w:r>
      <w:r w:rsidR="0060253E">
        <w:rPr>
          <w:noProof/>
        </w:rPr>
        <w:instrText xml:space="preserve"> SEQ Table \* ARABIC </w:instrText>
      </w:r>
      <w:r w:rsidR="0060253E">
        <w:rPr>
          <w:noProof/>
        </w:rPr>
        <w:fldChar w:fldCharType="separate"/>
      </w:r>
      <w:r w:rsidR="00D34A30">
        <w:rPr>
          <w:noProof/>
        </w:rPr>
        <w:t>5</w:t>
      </w:r>
      <w:r w:rsidR="0060253E">
        <w:rPr>
          <w:noProof/>
        </w:rPr>
        <w:fldChar w:fldCharType="end"/>
      </w:r>
      <w:bookmarkEnd w:id="18"/>
      <w:r w:rsidR="00133359" w:rsidRPr="344DBCEA">
        <w:t xml:space="preserve">: </w:t>
      </w:r>
      <w:r w:rsidR="002D3EA4">
        <w:t>EPA/DHA</w:t>
      </w:r>
      <w:r w:rsidR="00133359">
        <w:t xml:space="preserve"> intake from food and supplement sources by supplement user subgroups and the prevalence of meeting/exceeding </w:t>
      </w:r>
      <w:r w:rsidR="002D3EA4">
        <w:t xml:space="preserve">the EAR using baseline </w:t>
      </w:r>
      <w:r w:rsidR="00D33C6F">
        <w:t xml:space="preserve">7dDD </w:t>
      </w:r>
      <w:r w:rsidR="002D3EA4">
        <w:t>data</w:t>
      </w:r>
      <w:r w:rsidR="00D33C6F">
        <w:t xml:space="preserve"> (&gt;= 3 completed days)</w:t>
      </w:r>
      <w:r w:rsidR="002D3EA4">
        <w:t xml:space="preserve"> from the EPIC-Norfolk study (1993-1998) – re-analysed data by age/sex groups as used in </w:t>
      </w:r>
      <w:proofErr w:type="spellStart"/>
      <w:r w:rsidR="002D3EA4">
        <w:t>Lentjes</w:t>
      </w:r>
      <w:proofErr w:type="spellEnd"/>
      <w:r w:rsidR="002D3EA4">
        <w:t xml:space="preserve"> </w:t>
      </w:r>
      <w:r w:rsidR="002D3EA4" w:rsidRPr="344DBCEA">
        <w:rPr>
          <w:i/>
          <w:iCs/>
        </w:rPr>
        <w:t>et al.</w:t>
      </w:r>
      <w:r w:rsidR="002D3EA4">
        <w:t xml:space="preserve"> 2015 and 2017 </w:t>
      </w:r>
      <w:r w:rsidR="002D3EA4">
        <w:fldChar w:fldCharType="begin" w:fldLock="1"/>
      </w:r>
      <w:r w:rsidR="009241D8">
        <w:instrText>ADDIN CSL_CITATION { "citationItems" : [ { "id" : "ITEM-1", "itemData" : { "DOI" : "10.1111/jhn.12271", "ISSN" : "1365-277X", "PMID" : "25228113", "abstract" : "BACKGROUND Total nutrient intake (TNI) is intake from food and supplements. This provides an assessment of nutrient adequacy and the prevalence of excessive intake, as well as the response with respect to biomarkers. Cod liver oil (CLO) is the most frequently consumed supplement in the UK, containing nutrients that might have varying influences on health. We calculated TNI for vitamins A, D and E, as well as eicosapentaenoic acid (EPA) and docosahexaenoic acid (DHA), and assessed associations with the respective blood concentrations. METHODS Seven-day diet diaries and blood samples were taken from two subsets of the European Prospective Investigation into Cancer (EPIC-Norfolk) cohort (age range 39-79 years; n = 1400 for vitamin D; n = 6656 for remaining nutrients). TNI was calculated for the subgroups: nonsupplement users, those consuming the nutrient in supplement form and those consuming a supplement without this nutrient. RESULTS CLO-related nutrients were supplemented by 15%-33%, which approximately doubled median intakes. Almost everyone in the supplement + vitamin A group reached the estimated average requirement; however, guideline levels were likely to be exceeded. Partial correlations between intake of vitamins A and D and biomarkers were low and modestly strengthened by the inclusion of supplement sources (correlation = 0.01-0.13). Correlations between biomarker and TNI of vitamin E and EPA+DHA were in the range 0.40-0.46; however, vitamin E exceeding food intake resulted in attenuated coefficients. Linear associations between food or TNI EPA+DHA and plasma were weak but consistent across subgroups. CONCLUSIONS CLO-related nutrients contribute substantially to nutrient intake, with a risk of over-consumption. Apart from EPA+DHA, biomarker data suggest that CLO-related nutrients in supplements are not linearly associated with vitamin status.", "author" : [ { "dropping-particle" : "", "family" : "Lentjes", "given" : "Marleen A H", "non-dropping-particle" : "", "parse-names" : false, "suffix" : "" }, { "dropping-particle" : "", "family" : "Mulligan", "given" : "Angela A", "non-dropping-particle" : "", "parse-names" : false, "suffix" : "" }, { "dropping-particle" : "", "family" : "Welch", "given" : "Ailsa A", "non-dropping-particle" : "", "parse-names" : false, "suffix" : "" }, { "dropping-particle" : "", "family" : "Bhaniani", "given" : "Amit", "non-dropping-particle" : "", "parse-names" : false, "suffix" : "" }, { "dropping-particle" : "", "family" : "Luben", "given" : "Robert N", "non-dropping-particle" : "", "parse-names" : false, "suffix" : "" }, { "dropping-particle" : "", "family" : "Khaw", "given" : "K.-T.", "non-dropping-particle" : "", "parse-names" : false, "suffix" : "" } ], "container-title" : "Journal of human nutrition and dietetics : the official journal of the British Dietetic Association", "id" : "ITEM-1", "issue" : "6", "issued" : { "date-parts" : [ [ "2015", "12", "16" ] ] }, "page" : "568-82", "title" : "Contribution of cod liver oil-related nutrients (vitamins A, D, E and eicosapentaenoic acid and docosahexaenoic acid) to daily nutrient intake and their associations with plasma concentrations in the EPIC-Norfolk cohort.", "type" : "article-journal", "volume" : "28" }, "uris" : [ "http://www.mendeley.com/documents/?uuid=1467ecd6-a451-4fcd-822a-da18d2f4f018" ] }, { "id" : "ITEM-2", "itemData" : { "ISSN" : "2044-6055", "PMID" : "29030414", "abstract" : "Objectives Assess the association between marine omega-3 polyunsaturated fatty acid (n-3 PUFA) intake from supplements, mainly cod liver oil, and coronary heart disease (CHD) mortality. Design Prospective cohort study, with three exposure measurements over 22 years. Setting Norfolk-based European Prospective Investigation into Cancer (EPIC-Norfolk, UK). Participants 22 035 men and women from the general population, 39\u201379 years at recruitment. Exposure Supplement use was assessed in three questionnaires (1993\u20131998; 2002\u20132004; 2004\u20132011). Participants were grouped into non-supplement users (NSU), n-3 PUFA supplement users (SU+n3) and non\u2013n-3 PUFA supplement users (SU-n3). Cox regression adjusted for time-point specific variables: age, smoking, prevalent illnesses, body mass index, alcohol consumption, physical activity and season and baseline assessments of sex, social class, education and dietary intake (7-day diet diary). Primary and secondary outcome measures During a median of 19-year follow-up, 1562 CHD deaths were registered for 22 035 included participants. Results Baseline supplement use was not associated with CHD mortality, but baseline food and supplement intake of n-3 PUFA was inversely associated with CHD mortality after adjustment for fish consumption. Using time-varying covariate analysis, significant associations were observed for SU+n3 (HR: 0.74, 95% CI 0.66 to 0.84), but not for SU-n3 versus NSU. In further analyses, the association for SU+n3 persisted in those who did not take other supplements (HR: 0.83, 95% CI 0.71 to 0.97). Those who became SU+n3 over time or were consistent SU+n3 versus consistent NSU had a lower hazard of CHD mortality; no association with CHD was observed in those who stopped using n-3 PUFA-containing supplements. Conclusions Recent use of n-3 PUFA supplements was associated with a lower hazard of CHD mortality in this general population with low fish consumption. Residual confounding cannot be excluded, but the findings observed may be explained by postulated biological mechanisms and the results were specific to SU+n3.", "author" : [ { "dropping-particle" : "", "family" : "Lentjes", "given" : "Marleen A H", "non-dropping-particle" : "", "parse-names" : false, "suffix" : "" }, { "dropping-particle" : "", "family" : "Keogh", "given" : "Ruth H", "non-dropping-particle" : "", "parse-names" : false, "suffix" : "" }, { "dropping-particle" : "", "family" : "Welch", "given" : "Ailsa A", "non-dropping-particle" : "", "parse-names" : false, "suffix" : "" }, { "dropping-particle" : "", "family" : "Mulligan", "given" : "Angela A", "non-dropping-particle" : "", "parse-names" : false, "suffix" : "" }, { "dropping-particle" : "", "family" : "Luben", "given" : "Robert N", "non-dropping-particle" : "", "parse-names" : false, "suffix" : "" }, { "dropping-particle" : "", "family" : "Wareham", "given" : "Nicholas J", "non-dropping-particle" : "", "parse-names" : false, "suffix" : "" }, { "dropping-particle" : "", "family" : "Khaw", "given" : "Kay-Tee", "non-dropping-particle" : "", "parse-names" : false, "suffix" : "" } ], "container-title" : "BMJ Open", "id" : "ITEM-2", "issue" : "10", "issued" : { "date-parts" : [ [ "2017" ] ] }, "page" : "e017471", "title" : "Longitudinal associations between marine omega-3 supplement users and coronary heart disease in a UK population-based cohort", "type" : "article-journal", "volume" : "7" }, "uris" : [ "http://www.mendeley.com/documents/?uuid=a9f89b77-dc3b-4a19-8794-b7345f7d22c3" ] } ], "mendeley" : { "formattedCitation" : "&lt;sup&gt;(59,106)&lt;/sup&gt;", "plainTextFormattedCitation" : "(59,106)", "previouslyFormattedCitation" : "&lt;sup&gt;(59,106)&lt;/sup&gt;" }, "properties" : { "noteIndex" : 0 }, "schema" : "https://github.com/citation-style-language/schema/raw/master/csl-citation.json" }</w:instrText>
      </w:r>
      <w:r w:rsidR="002D3EA4">
        <w:fldChar w:fldCharType="separate"/>
      </w:r>
      <w:r w:rsidR="00C40694" w:rsidRPr="00C40694">
        <w:rPr>
          <w:b w:val="0"/>
          <w:bCs w:val="0"/>
          <w:noProof/>
          <w:vertAlign w:val="superscript"/>
        </w:rPr>
        <w:t>(59,106)</w:t>
      </w:r>
      <w:r w:rsidR="002D3EA4">
        <w:fldChar w:fldCharType="end"/>
      </w:r>
      <w:r w:rsidR="00133359" w:rsidRPr="344DBCEA">
        <w:t>.</w:t>
      </w:r>
    </w:p>
    <w:tbl>
      <w:tblPr>
        <w:tblStyle w:val="TableDissertation"/>
        <w:tblW w:w="0" w:type="auto"/>
        <w:tblLook w:val="04A0" w:firstRow="1" w:lastRow="0" w:firstColumn="1" w:lastColumn="0" w:noHBand="0" w:noVBand="1"/>
      </w:tblPr>
      <w:tblGrid>
        <w:gridCol w:w="906"/>
        <w:gridCol w:w="860"/>
        <w:gridCol w:w="1976"/>
        <w:gridCol w:w="661"/>
        <w:gridCol w:w="1902"/>
        <w:gridCol w:w="1589"/>
        <w:gridCol w:w="911"/>
        <w:gridCol w:w="1755"/>
        <w:gridCol w:w="1436"/>
        <w:gridCol w:w="824"/>
        <w:gridCol w:w="1091"/>
        <w:gridCol w:w="875"/>
      </w:tblGrid>
      <w:tr w:rsidR="00631545" w14:paraId="3859649C" w14:textId="22FFD68A" w:rsidTr="00631545">
        <w:trPr>
          <w:cnfStyle w:val="100000000000" w:firstRow="1" w:lastRow="0" w:firstColumn="0" w:lastColumn="0" w:oddVBand="0" w:evenVBand="0" w:oddHBand="0" w:evenHBand="0" w:firstRowFirstColumn="0" w:firstRowLastColumn="0" w:lastRowFirstColumn="0" w:lastRowLastColumn="0"/>
        </w:trPr>
        <w:tc>
          <w:tcPr>
            <w:tcW w:w="0" w:type="auto"/>
          </w:tcPr>
          <w:p w14:paraId="2CB22B78" w14:textId="77777777" w:rsidR="00631545" w:rsidRDefault="00631545" w:rsidP="0094160A">
            <w:pPr>
              <w:pStyle w:val="Tablecontent"/>
            </w:pPr>
            <w:r>
              <w:t>Sex</w:t>
            </w:r>
          </w:p>
        </w:tc>
        <w:tc>
          <w:tcPr>
            <w:tcW w:w="0" w:type="auto"/>
          </w:tcPr>
          <w:p w14:paraId="4355F7CF" w14:textId="74AE1B7A" w:rsidR="00631545" w:rsidRDefault="00631545" w:rsidP="0094160A">
            <w:pPr>
              <w:pStyle w:val="Tablecontent"/>
            </w:pPr>
            <w:r>
              <w:t>Age (y)</w:t>
            </w:r>
          </w:p>
        </w:tc>
        <w:tc>
          <w:tcPr>
            <w:tcW w:w="0" w:type="auto"/>
          </w:tcPr>
          <w:p w14:paraId="467F2600" w14:textId="77777777" w:rsidR="00631545" w:rsidRDefault="00631545" w:rsidP="0094160A">
            <w:pPr>
              <w:pStyle w:val="Tablecontent"/>
            </w:pPr>
            <w:r>
              <w:t>Supplement status</w:t>
            </w:r>
          </w:p>
        </w:tc>
        <w:tc>
          <w:tcPr>
            <w:tcW w:w="0" w:type="auto"/>
          </w:tcPr>
          <w:p w14:paraId="350C21BE" w14:textId="77777777" w:rsidR="00631545" w:rsidRDefault="00631545" w:rsidP="0094160A">
            <w:pPr>
              <w:pStyle w:val="Tablecontent"/>
              <w:jc w:val="right"/>
            </w:pPr>
            <w:r>
              <w:t>N</w:t>
            </w:r>
          </w:p>
        </w:tc>
        <w:tc>
          <w:tcPr>
            <w:tcW w:w="0" w:type="auto"/>
          </w:tcPr>
          <w:p w14:paraId="7AA4A8FF" w14:textId="77777777" w:rsidR="00631545" w:rsidRDefault="00631545" w:rsidP="0094160A">
            <w:pPr>
              <w:pStyle w:val="Tablecontent"/>
              <w:jc w:val="right"/>
              <w:rPr>
                <w:b w:val="0"/>
              </w:rPr>
            </w:pPr>
            <w:r>
              <w:t xml:space="preserve">Median (IQR) Food </w:t>
            </w:r>
          </w:p>
          <w:p w14:paraId="214C2FE5" w14:textId="77777777" w:rsidR="00631545" w:rsidRPr="00757203" w:rsidRDefault="00631545" w:rsidP="0094160A">
            <w:pPr>
              <w:pStyle w:val="Tablecontent"/>
              <w:jc w:val="right"/>
            </w:pPr>
            <w:r>
              <w:t>EPA+DHA (g/d)</w:t>
            </w:r>
          </w:p>
        </w:tc>
        <w:tc>
          <w:tcPr>
            <w:tcW w:w="0" w:type="auto"/>
            <w:gridSpan w:val="2"/>
          </w:tcPr>
          <w:p w14:paraId="34EE54BD" w14:textId="77777777" w:rsidR="009241D8" w:rsidRDefault="009241D8" w:rsidP="00DD1199">
            <w:pPr>
              <w:pStyle w:val="Tablecontent"/>
              <w:jc w:val="right"/>
              <w:rPr>
                <w:b w:val="0"/>
              </w:rPr>
            </w:pPr>
          </w:p>
          <w:p w14:paraId="0F69664B" w14:textId="1E54C3F5" w:rsidR="00631545" w:rsidRPr="00DD1199" w:rsidRDefault="00631545" w:rsidP="00DD1199">
            <w:pPr>
              <w:pStyle w:val="Tablecontent"/>
              <w:jc w:val="right"/>
              <w:rPr>
                <w:b w:val="0"/>
              </w:rPr>
            </w:pPr>
            <w:r>
              <w:t>DRVs using food sources</w:t>
            </w:r>
          </w:p>
        </w:tc>
        <w:tc>
          <w:tcPr>
            <w:tcW w:w="0" w:type="auto"/>
          </w:tcPr>
          <w:p w14:paraId="57CBC398" w14:textId="77777777" w:rsidR="00631545" w:rsidRDefault="00631545" w:rsidP="00631545">
            <w:pPr>
              <w:pStyle w:val="Tablecontent"/>
              <w:jc w:val="right"/>
              <w:rPr>
                <w:b w:val="0"/>
                <w:lang w:val="sv-SE"/>
              </w:rPr>
            </w:pPr>
            <w:r w:rsidRPr="7AF5BD86">
              <w:rPr>
                <w:lang w:val="sv-SE"/>
              </w:rPr>
              <w:t>Median (IQR) TNI</w:t>
            </w:r>
          </w:p>
          <w:p w14:paraId="30401F1B" w14:textId="3F1B835F" w:rsidR="00631545" w:rsidRPr="00865AC3" w:rsidRDefault="00631545" w:rsidP="00631545">
            <w:pPr>
              <w:pStyle w:val="Tablecontent"/>
              <w:jc w:val="right"/>
              <w:rPr>
                <w:lang w:val="sv-SE"/>
              </w:rPr>
            </w:pPr>
            <w:r w:rsidRPr="7AF5BD86">
              <w:rPr>
                <w:lang w:val="sv-SE"/>
              </w:rPr>
              <w:t>EPA+DHA (g/d)</w:t>
            </w:r>
          </w:p>
        </w:tc>
        <w:tc>
          <w:tcPr>
            <w:tcW w:w="0" w:type="auto"/>
            <w:gridSpan w:val="2"/>
          </w:tcPr>
          <w:p w14:paraId="41B31359" w14:textId="77777777" w:rsidR="009241D8" w:rsidRDefault="009241D8" w:rsidP="00DD1199">
            <w:pPr>
              <w:pStyle w:val="Tablecontent"/>
              <w:jc w:val="right"/>
              <w:rPr>
                <w:b w:val="0"/>
              </w:rPr>
            </w:pPr>
          </w:p>
          <w:p w14:paraId="74DF1BB6" w14:textId="36359C1F" w:rsidR="00631545" w:rsidRDefault="00631545" w:rsidP="00DD1199">
            <w:pPr>
              <w:pStyle w:val="Tablecontent"/>
              <w:jc w:val="right"/>
            </w:pPr>
            <w:r>
              <w:t>DRVs using TNI</w:t>
            </w:r>
          </w:p>
        </w:tc>
        <w:tc>
          <w:tcPr>
            <w:tcW w:w="0" w:type="auto"/>
            <w:gridSpan w:val="2"/>
          </w:tcPr>
          <w:p w14:paraId="4BD63C3B" w14:textId="064A7F67" w:rsidR="00631545" w:rsidRDefault="00631545" w:rsidP="00DD1199">
            <w:pPr>
              <w:pStyle w:val="Tablecontent"/>
              <w:jc w:val="right"/>
            </w:pPr>
            <w:r>
              <w:t xml:space="preserve">Meeting 0.25 </w:t>
            </w:r>
            <w:r w:rsidR="009241D8" w:rsidRPr="00ED6425">
              <w:t>(</w:t>
            </w:r>
            <w:r w:rsidRPr="00ED6425">
              <w:t>g/d</w:t>
            </w:r>
            <w:r w:rsidR="009241D8" w:rsidRPr="00ED6425">
              <w:t>)**</w:t>
            </w:r>
          </w:p>
        </w:tc>
      </w:tr>
      <w:tr w:rsidR="00631545" w:rsidRPr="00275087" w14:paraId="1CD96473" w14:textId="74D183F0" w:rsidTr="00631545">
        <w:tc>
          <w:tcPr>
            <w:tcW w:w="0" w:type="auto"/>
          </w:tcPr>
          <w:p w14:paraId="2677290C" w14:textId="77777777" w:rsidR="00631545" w:rsidRPr="00275087" w:rsidRDefault="00631545" w:rsidP="00E31389">
            <w:pPr>
              <w:pStyle w:val="Tablecontent"/>
              <w:rPr>
                <w:i/>
              </w:rPr>
            </w:pPr>
          </w:p>
        </w:tc>
        <w:tc>
          <w:tcPr>
            <w:tcW w:w="0" w:type="auto"/>
          </w:tcPr>
          <w:p w14:paraId="249BF8C6" w14:textId="77777777" w:rsidR="00631545" w:rsidRPr="00275087" w:rsidRDefault="00631545" w:rsidP="00E31389">
            <w:pPr>
              <w:pStyle w:val="Tablecontent"/>
              <w:rPr>
                <w:i/>
              </w:rPr>
            </w:pPr>
          </w:p>
        </w:tc>
        <w:tc>
          <w:tcPr>
            <w:tcW w:w="0" w:type="auto"/>
          </w:tcPr>
          <w:p w14:paraId="0EF46479" w14:textId="77777777" w:rsidR="00631545" w:rsidRPr="00275087" w:rsidRDefault="00631545" w:rsidP="00E31389">
            <w:pPr>
              <w:pStyle w:val="Tablecontent"/>
              <w:rPr>
                <w:i/>
              </w:rPr>
            </w:pPr>
          </w:p>
        </w:tc>
        <w:tc>
          <w:tcPr>
            <w:tcW w:w="0" w:type="auto"/>
          </w:tcPr>
          <w:p w14:paraId="3AB58C42" w14:textId="77777777" w:rsidR="00631545" w:rsidRPr="00275087" w:rsidRDefault="00631545" w:rsidP="00E31389">
            <w:pPr>
              <w:pStyle w:val="Tablecontent"/>
              <w:jc w:val="right"/>
              <w:rPr>
                <w:i/>
              </w:rPr>
            </w:pPr>
          </w:p>
        </w:tc>
        <w:tc>
          <w:tcPr>
            <w:tcW w:w="0" w:type="auto"/>
          </w:tcPr>
          <w:p w14:paraId="4EA9BA15" w14:textId="77777777" w:rsidR="00631545" w:rsidRPr="00275087" w:rsidRDefault="00631545" w:rsidP="00E31389">
            <w:pPr>
              <w:pStyle w:val="Tablecontent"/>
              <w:jc w:val="right"/>
              <w:rPr>
                <w:i/>
              </w:rPr>
            </w:pPr>
          </w:p>
        </w:tc>
        <w:tc>
          <w:tcPr>
            <w:tcW w:w="0" w:type="auto"/>
          </w:tcPr>
          <w:p w14:paraId="7D5209B2" w14:textId="1153B69D" w:rsidR="00631545" w:rsidRPr="00685910" w:rsidRDefault="00631545" w:rsidP="344DBCEA">
            <w:pPr>
              <w:pStyle w:val="Tablecontent"/>
              <w:jc w:val="right"/>
              <w:rPr>
                <w:i/>
                <w:iCs/>
              </w:rPr>
            </w:pPr>
            <w:r w:rsidRPr="00685910">
              <w:rPr>
                <w:i/>
                <w:iCs/>
              </w:rPr>
              <w:t>&lt;EAR 0.45 g/d</w:t>
            </w:r>
          </w:p>
        </w:tc>
        <w:tc>
          <w:tcPr>
            <w:tcW w:w="0" w:type="auto"/>
          </w:tcPr>
          <w:p w14:paraId="158D2584" w14:textId="77777777" w:rsidR="00631545" w:rsidRPr="00275087" w:rsidRDefault="00631545" w:rsidP="7AF5BD86">
            <w:pPr>
              <w:pStyle w:val="Tablecontent"/>
              <w:jc w:val="right"/>
              <w:rPr>
                <w:i/>
                <w:iCs/>
              </w:rPr>
            </w:pPr>
            <w:r w:rsidRPr="7AF5BD86">
              <w:rPr>
                <w:i/>
                <w:iCs/>
              </w:rPr>
              <w:t>&gt;5 g/d*</w:t>
            </w:r>
          </w:p>
        </w:tc>
        <w:tc>
          <w:tcPr>
            <w:tcW w:w="0" w:type="auto"/>
          </w:tcPr>
          <w:p w14:paraId="7332107B" w14:textId="77777777" w:rsidR="00631545" w:rsidRPr="00275087" w:rsidRDefault="00631545" w:rsidP="00E31389">
            <w:pPr>
              <w:pStyle w:val="Tablecontent"/>
              <w:jc w:val="right"/>
              <w:rPr>
                <w:i/>
              </w:rPr>
            </w:pPr>
          </w:p>
        </w:tc>
        <w:tc>
          <w:tcPr>
            <w:tcW w:w="0" w:type="auto"/>
          </w:tcPr>
          <w:p w14:paraId="142E663E" w14:textId="19685AF1" w:rsidR="00631545" w:rsidRPr="00275087" w:rsidRDefault="00631545" w:rsidP="7AF5BD86">
            <w:pPr>
              <w:pStyle w:val="Tablecontent"/>
              <w:jc w:val="right"/>
              <w:rPr>
                <w:i/>
                <w:iCs/>
              </w:rPr>
            </w:pPr>
            <w:r w:rsidRPr="7AF5BD86">
              <w:rPr>
                <w:i/>
                <w:iCs/>
              </w:rPr>
              <w:t>&lt;EAR 0.45 g</w:t>
            </w:r>
            <w:r>
              <w:rPr>
                <w:i/>
                <w:iCs/>
              </w:rPr>
              <w:t>/d</w:t>
            </w:r>
          </w:p>
        </w:tc>
        <w:tc>
          <w:tcPr>
            <w:tcW w:w="0" w:type="auto"/>
          </w:tcPr>
          <w:p w14:paraId="5A5DFF95" w14:textId="77777777" w:rsidR="00631545" w:rsidRPr="00275087" w:rsidRDefault="00631545" w:rsidP="7AF5BD86">
            <w:pPr>
              <w:pStyle w:val="Tablecontent"/>
              <w:jc w:val="right"/>
              <w:rPr>
                <w:i/>
                <w:iCs/>
              </w:rPr>
            </w:pPr>
            <w:r w:rsidRPr="7AF5BD86">
              <w:rPr>
                <w:i/>
                <w:iCs/>
              </w:rPr>
              <w:t>&gt;5 g/d*</w:t>
            </w:r>
          </w:p>
        </w:tc>
        <w:tc>
          <w:tcPr>
            <w:tcW w:w="0" w:type="auto"/>
          </w:tcPr>
          <w:p w14:paraId="462EC194" w14:textId="35C33782" w:rsidR="00631545" w:rsidRPr="7AF5BD86" w:rsidRDefault="00631545" w:rsidP="7AF5BD86">
            <w:pPr>
              <w:pStyle w:val="Tablecontent"/>
              <w:jc w:val="right"/>
              <w:rPr>
                <w:i/>
                <w:iCs/>
              </w:rPr>
            </w:pPr>
            <w:r>
              <w:rPr>
                <w:i/>
                <w:iCs/>
              </w:rPr>
              <w:t>Food</w:t>
            </w:r>
          </w:p>
        </w:tc>
        <w:tc>
          <w:tcPr>
            <w:tcW w:w="0" w:type="auto"/>
          </w:tcPr>
          <w:p w14:paraId="24BF8C98" w14:textId="62AD048A" w:rsidR="00631545" w:rsidRPr="7AF5BD86" w:rsidRDefault="00631545" w:rsidP="7AF5BD86">
            <w:pPr>
              <w:pStyle w:val="Tablecontent"/>
              <w:jc w:val="right"/>
              <w:rPr>
                <w:i/>
                <w:iCs/>
              </w:rPr>
            </w:pPr>
            <w:r>
              <w:rPr>
                <w:i/>
                <w:iCs/>
              </w:rPr>
              <w:t>TNI</w:t>
            </w:r>
          </w:p>
        </w:tc>
      </w:tr>
      <w:tr w:rsidR="00631545" w14:paraId="55D052FF" w14:textId="6381672D" w:rsidTr="00631545">
        <w:tc>
          <w:tcPr>
            <w:tcW w:w="0" w:type="auto"/>
          </w:tcPr>
          <w:p w14:paraId="5D98A3F1" w14:textId="77777777" w:rsidR="00631545" w:rsidRDefault="00631545" w:rsidP="00E31389">
            <w:pPr>
              <w:pStyle w:val="Tablecontent"/>
            </w:pPr>
          </w:p>
        </w:tc>
        <w:tc>
          <w:tcPr>
            <w:tcW w:w="0" w:type="auto"/>
          </w:tcPr>
          <w:p w14:paraId="50C86B8C" w14:textId="77777777" w:rsidR="00631545" w:rsidRDefault="00631545" w:rsidP="00E31389">
            <w:pPr>
              <w:pStyle w:val="Tablecontent"/>
            </w:pPr>
          </w:p>
        </w:tc>
        <w:tc>
          <w:tcPr>
            <w:tcW w:w="0" w:type="auto"/>
          </w:tcPr>
          <w:p w14:paraId="60EDCC55" w14:textId="77777777" w:rsidR="00631545" w:rsidRDefault="00631545" w:rsidP="00E31389">
            <w:pPr>
              <w:pStyle w:val="Tablecontent"/>
            </w:pPr>
          </w:p>
        </w:tc>
        <w:tc>
          <w:tcPr>
            <w:tcW w:w="0" w:type="auto"/>
          </w:tcPr>
          <w:p w14:paraId="3BBB8815" w14:textId="77777777" w:rsidR="00631545" w:rsidRDefault="00631545" w:rsidP="00E31389">
            <w:pPr>
              <w:pStyle w:val="Tablecontent"/>
              <w:jc w:val="right"/>
            </w:pPr>
          </w:p>
        </w:tc>
        <w:tc>
          <w:tcPr>
            <w:tcW w:w="0" w:type="auto"/>
          </w:tcPr>
          <w:p w14:paraId="55B91B0D" w14:textId="77777777" w:rsidR="00631545" w:rsidRPr="00757203" w:rsidRDefault="00631545" w:rsidP="00E31389">
            <w:pPr>
              <w:pStyle w:val="Tablecontent"/>
              <w:jc w:val="right"/>
            </w:pPr>
          </w:p>
        </w:tc>
        <w:tc>
          <w:tcPr>
            <w:tcW w:w="0" w:type="auto"/>
          </w:tcPr>
          <w:p w14:paraId="6462C093" w14:textId="6C68BDDE" w:rsidR="00631545" w:rsidRPr="00685910" w:rsidRDefault="00631545" w:rsidP="00E31389">
            <w:pPr>
              <w:pStyle w:val="Tablecontent"/>
              <w:jc w:val="right"/>
            </w:pPr>
            <w:r w:rsidRPr="00685910">
              <w:t>%</w:t>
            </w:r>
          </w:p>
        </w:tc>
        <w:tc>
          <w:tcPr>
            <w:tcW w:w="0" w:type="auto"/>
          </w:tcPr>
          <w:p w14:paraId="13F9A875" w14:textId="77777777" w:rsidR="00631545" w:rsidRDefault="00631545" w:rsidP="00E31389">
            <w:pPr>
              <w:pStyle w:val="Tablecontent"/>
              <w:jc w:val="right"/>
            </w:pPr>
            <w:r>
              <w:t>N</w:t>
            </w:r>
          </w:p>
        </w:tc>
        <w:tc>
          <w:tcPr>
            <w:tcW w:w="0" w:type="auto"/>
          </w:tcPr>
          <w:p w14:paraId="6810F0D1" w14:textId="77777777" w:rsidR="00631545" w:rsidRDefault="00631545" w:rsidP="00E31389">
            <w:pPr>
              <w:pStyle w:val="Tablecontent"/>
              <w:jc w:val="right"/>
            </w:pPr>
          </w:p>
        </w:tc>
        <w:tc>
          <w:tcPr>
            <w:tcW w:w="0" w:type="auto"/>
          </w:tcPr>
          <w:p w14:paraId="5E50E1C8" w14:textId="6104D49F" w:rsidR="00631545" w:rsidRDefault="00631545" w:rsidP="00E31389">
            <w:pPr>
              <w:pStyle w:val="Tablecontent"/>
              <w:jc w:val="right"/>
            </w:pPr>
            <w:r>
              <w:t>%</w:t>
            </w:r>
          </w:p>
        </w:tc>
        <w:tc>
          <w:tcPr>
            <w:tcW w:w="0" w:type="auto"/>
          </w:tcPr>
          <w:p w14:paraId="0957B6BD" w14:textId="77777777" w:rsidR="00631545" w:rsidRDefault="00631545" w:rsidP="00E31389">
            <w:pPr>
              <w:pStyle w:val="Tablecontent"/>
              <w:jc w:val="right"/>
            </w:pPr>
            <w:r>
              <w:t>N</w:t>
            </w:r>
          </w:p>
        </w:tc>
        <w:tc>
          <w:tcPr>
            <w:tcW w:w="0" w:type="auto"/>
          </w:tcPr>
          <w:p w14:paraId="454E602F" w14:textId="69B0466E" w:rsidR="00631545" w:rsidRDefault="00631545" w:rsidP="00E31389">
            <w:pPr>
              <w:pStyle w:val="Tablecontent"/>
              <w:jc w:val="right"/>
            </w:pPr>
            <w:r>
              <w:t>%</w:t>
            </w:r>
          </w:p>
        </w:tc>
        <w:tc>
          <w:tcPr>
            <w:tcW w:w="0" w:type="auto"/>
          </w:tcPr>
          <w:p w14:paraId="76601FE2" w14:textId="229409C3" w:rsidR="00631545" w:rsidRDefault="00631545" w:rsidP="00E31389">
            <w:pPr>
              <w:pStyle w:val="Tablecontent"/>
              <w:jc w:val="right"/>
            </w:pPr>
            <w:r>
              <w:t>%</w:t>
            </w:r>
          </w:p>
        </w:tc>
      </w:tr>
      <w:tr w:rsidR="00631545" w14:paraId="74E797DC" w14:textId="60B40893" w:rsidTr="00631545">
        <w:tc>
          <w:tcPr>
            <w:tcW w:w="0" w:type="auto"/>
          </w:tcPr>
          <w:p w14:paraId="25AF7EAE" w14:textId="77777777" w:rsidR="00631545" w:rsidRDefault="00631545" w:rsidP="00E31389">
            <w:pPr>
              <w:pStyle w:val="Tablecontent"/>
            </w:pPr>
          </w:p>
        </w:tc>
        <w:tc>
          <w:tcPr>
            <w:tcW w:w="0" w:type="auto"/>
          </w:tcPr>
          <w:p w14:paraId="2633CEB9" w14:textId="77777777" w:rsidR="00631545" w:rsidRDefault="00631545" w:rsidP="00E31389">
            <w:pPr>
              <w:pStyle w:val="Tablecontent"/>
            </w:pPr>
          </w:p>
        </w:tc>
        <w:tc>
          <w:tcPr>
            <w:tcW w:w="0" w:type="auto"/>
          </w:tcPr>
          <w:p w14:paraId="4B1D477B" w14:textId="77777777" w:rsidR="00631545" w:rsidRDefault="00631545" w:rsidP="00E31389">
            <w:pPr>
              <w:pStyle w:val="Tablecontent"/>
            </w:pPr>
          </w:p>
        </w:tc>
        <w:tc>
          <w:tcPr>
            <w:tcW w:w="0" w:type="auto"/>
          </w:tcPr>
          <w:p w14:paraId="65BE1F1D" w14:textId="77777777" w:rsidR="00631545" w:rsidRDefault="00631545" w:rsidP="00E31389">
            <w:pPr>
              <w:pStyle w:val="Tablecontent"/>
              <w:jc w:val="right"/>
            </w:pPr>
          </w:p>
        </w:tc>
        <w:tc>
          <w:tcPr>
            <w:tcW w:w="0" w:type="auto"/>
          </w:tcPr>
          <w:p w14:paraId="6AFAB436" w14:textId="77777777" w:rsidR="00631545" w:rsidRPr="00757203" w:rsidRDefault="00631545" w:rsidP="00E31389">
            <w:pPr>
              <w:pStyle w:val="Tablecontent"/>
              <w:jc w:val="right"/>
            </w:pPr>
          </w:p>
        </w:tc>
        <w:tc>
          <w:tcPr>
            <w:tcW w:w="0" w:type="auto"/>
          </w:tcPr>
          <w:p w14:paraId="042C5D41" w14:textId="49E5C377" w:rsidR="00631545" w:rsidRDefault="00631545" w:rsidP="00E31389">
            <w:pPr>
              <w:pStyle w:val="Tablecontent"/>
              <w:jc w:val="right"/>
            </w:pPr>
          </w:p>
        </w:tc>
        <w:tc>
          <w:tcPr>
            <w:tcW w:w="0" w:type="auto"/>
          </w:tcPr>
          <w:p w14:paraId="4D2E12B8" w14:textId="77777777" w:rsidR="00631545" w:rsidRDefault="00631545" w:rsidP="00E31389">
            <w:pPr>
              <w:pStyle w:val="Tablecontent"/>
              <w:jc w:val="right"/>
            </w:pPr>
          </w:p>
        </w:tc>
        <w:tc>
          <w:tcPr>
            <w:tcW w:w="0" w:type="auto"/>
          </w:tcPr>
          <w:p w14:paraId="308F224F" w14:textId="77777777" w:rsidR="00631545" w:rsidRDefault="00631545" w:rsidP="00E31389">
            <w:pPr>
              <w:pStyle w:val="Tablecontent"/>
              <w:jc w:val="right"/>
            </w:pPr>
          </w:p>
        </w:tc>
        <w:tc>
          <w:tcPr>
            <w:tcW w:w="0" w:type="auto"/>
          </w:tcPr>
          <w:p w14:paraId="5E6D6F63" w14:textId="57BA35D5" w:rsidR="00631545" w:rsidRDefault="00631545" w:rsidP="00E31389">
            <w:pPr>
              <w:pStyle w:val="Tablecontent"/>
              <w:jc w:val="right"/>
            </w:pPr>
          </w:p>
        </w:tc>
        <w:tc>
          <w:tcPr>
            <w:tcW w:w="0" w:type="auto"/>
          </w:tcPr>
          <w:p w14:paraId="7B969857" w14:textId="77777777" w:rsidR="00631545" w:rsidRDefault="00631545" w:rsidP="00E31389">
            <w:pPr>
              <w:pStyle w:val="Tablecontent"/>
              <w:jc w:val="right"/>
            </w:pPr>
          </w:p>
        </w:tc>
        <w:tc>
          <w:tcPr>
            <w:tcW w:w="0" w:type="auto"/>
          </w:tcPr>
          <w:p w14:paraId="4B270823" w14:textId="77777777" w:rsidR="00631545" w:rsidRDefault="00631545" w:rsidP="00E31389">
            <w:pPr>
              <w:pStyle w:val="Tablecontent"/>
              <w:jc w:val="right"/>
            </w:pPr>
          </w:p>
        </w:tc>
        <w:tc>
          <w:tcPr>
            <w:tcW w:w="0" w:type="auto"/>
          </w:tcPr>
          <w:p w14:paraId="75B9E9C2" w14:textId="77777777" w:rsidR="00631545" w:rsidRDefault="00631545" w:rsidP="00E31389">
            <w:pPr>
              <w:pStyle w:val="Tablecontent"/>
              <w:jc w:val="right"/>
            </w:pPr>
          </w:p>
        </w:tc>
      </w:tr>
      <w:tr w:rsidR="00631545" w14:paraId="697BD386" w14:textId="7849A911" w:rsidTr="00631545">
        <w:tc>
          <w:tcPr>
            <w:tcW w:w="0" w:type="auto"/>
          </w:tcPr>
          <w:p w14:paraId="0970CEFE" w14:textId="77777777" w:rsidR="00631545" w:rsidRDefault="00631545" w:rsidP="00E31389">
            <w:pPr>
              <w:pStyle w:val="Tablecontent"/>
            </w:pPr>
            <w:r>
              <w:t>Men</w:t>
            </w:r>
          </w:p>
        </w:tc>
        <w:tc>
          <w:tcPr>
            <w:tcW w:w="0" w:type="auto"/>
          </w:tcPr>
          <w:p w14:paraId="3788CF6D" w14:textId="41263C2A" w:rsidR="00631545" w:rsidRDefault="00631545" w:rsidP="00E31389">
            <w:pPr>
              <w:pStyle w:val="Tablecontent"/>
            </w:pPr>
            <w:r>
              <w:t>39-64</w:t>
            </w:r>
          </w:p>
        </w:tc>
        <w:tc>
          <w:tcPr>
            <w:tcW w:w="0" w:type="auto"/>
          </w:tcPr>
          <w:p w14:paraId="723D87B9" w14:textId="77777777" w:rsidR="00631545" w:rsidRDefault="00631545" w:rsidP="00E31389">
            <w:pPr>
              <w:pStyle w:val="Tablecontent"/>
            </w:pPr>
            <w:r>
              <w:t>ALL</w:t>
            </w:r>
          </w:p>
        </w:tc>
        <w:tc>
          <w:tcPr>
            <w:tcW w:w="0" w:type="auto"/>
          </w:tcPr>
          <w:p w14:paraId="73FDF490" w14:textId="46D2496F" w:rsidR="00631545" w:rsidRPr="00C91DAD" w:rsidRDefault="002E44C2" w:rsidP="00E31389">
            <w:pPr>
              <w:pStyle w:val="Tablecontent"/>
              <w:jc w:val="right"/>
            </w:pPr>
            <w:r>
              <w:t>6675</w:t>
            </w:r>
          </w:p>
        </w:tc>
        <w:tc>
          <w:tcPr>
            <w:tcW w:w="0" w:type="auto"/>
          </w:tcPr>
          <w:p w14:paraId="21AAD477" w14:textId="77777777" w:rsidR="00631545" w:rsidRDefault="00631545" w:rsidP="00E31389">
            <w:pPr>
              <w:pStyle w:val="Tablecontent"/>
              <w:jc w:val="right"/>
            </w:pPr>
            <w:r>
              <w:t>0.13 (0.07, 0.35)</w:t>
            </w:r>
          </w:p>
        </w:tc>
        <w:tc>
          <w:tcPr>
            <w:tcW w:w="0" w:type="auto"/>
          </w:tcPr>
          <w:p w14:paraId="0F8EA849" w14:textId="26725360" w:rsidR="00631545" w:rsidRDefault="00631545" w:rsidP="00E31389">
            <w:pPr>
              <w:pStyle w:val="Tablecontent"/>
              <w:jc w:val="right"/>
            </w:pPr>
            <w:r>
              <w:t>80</w:t>
            </w:r>
          </w:p>
        </w:tc>
        <w:tc>
          <w:tcPr>
            <w:tcW w:w="0" w:type="auto"/>
          </w:tcPr>
          <w:p w14:paraId="624370D3" w14:textId="77777777" w:rsidR="00631545" w:rsidRDefault="00631545" w:rsidP="00E31389">
            <w:pPr>
              <w:pStyle w:val="Tablecontent"/>
              <w:jc w:val="right"/>
            </w:pPr>
            <w:r>
              <w:t>0</w:t>
            </w:r>
          </w:p>
        </w:tc>
        <w:tc>
          <w:tcPr>
            <w:tcW w:w="0" w:type="auto"/>
          </w:tcPr>
          <w:p w14:paraId="649C4C5B" w14:textId="77777777" w:rsidR="00631545" w:rsidRDefault="00631545" w:rsidP="00E31389">
            <w:pPr>
              <w:pStyle w:val="Tablecontent"/>
              <w:jc w:val="right"/>
            </w:pPr>
            <w:r>
              <w:t>0.16 (0.08, 0.41)</w:t>
            </w:r>
          </w:p>
        </w:tc>
        <w:tc>
          <w:tcPr>
            <w:tcW w:w="0" w:type="auto"/>
          </w:tcPr>
          <w:p w14:paraId="23DB4977" w14:textId="07CB42E9" w:rsidR="00631545" w:rsidRDefault="00631545" w:rsidP="00E31389">
            <w:pPr>
              <w:pStyle w:val="Tablecontent"/>
              <w:jc w:val="right"/>
            </w:pPr>
            <w:r>
              <w:t>77</w:t>
            </w:r>
          </w:p>
        </w:tc>
        <w:tc>
          <w:tcPr>
            <w:tcW w:w="0" w:type="auto"/>
          </w:tcPr>
          <w:p w14:paraId="649841BE" w14:textId="77777777" w:rsidR="00631545" w:rsidRDefault="00631545" w:rsidP="00E31389">
            <w:pPr>
              <w:pStyle w:val="Tablecontent"/>
              <w:jc w:val="right"/>
            </w:pPr>
            <w:r>
              <w:t>1</w:t>
            </w:r>
          </w:p>
        </w:tc>
        <w:tc>
          <w:tcPr>
            <w:tcW w:w="0" w:type="auto"/>
          </w:tcPr>
          <w:p w14:paraId="6DA678AA" w14:textId="25880D12" w:rsidR="00631545" w:rsidRDefault="002E44C2" w:rsidP="00E31389">
            <w:pPr>
              <w:pStyle w:val="Tablecontent"/>
              <w:jc w:val="right"/>
            </w:pPr>
            <w:r>
              <w:t>67</w:t>
            </w:r>
          </w:p>
        </w:tc>
        <w:tc>
          <w:tcPr>
            <w:tcW w:w="0" w:type="auto"/>
          </w:tcPr>
          <w:p w14:paraId="3CE7D91A" w14:textId="5A4DB369" w:rsidR="00631545" w:rsidRDefault="002E44C2" w:rsidP="00E31389">
            <w:pPr>
              <w:pStyle w:val="Tablecontent"/>
              <w:jc w:val="right"/>
            </w:pPr>
            <w:r>
              <w:t>63</w:t>
            </w:r>
          </w:p>
        </w:tc>
      </w:tr>
      <w:tr w:rsidR="00631545" w14:paraId="25A317B6" w14:textId="258091E3" w:rsidTr="00631545">
        <w:tc>
          <w:tcPr>
            <w:tcW w:w="0" w:type="auto"/>
          </w:tcPr>
          <w:p w14:paraId="0FE634FD" w14:textId="77777777" w:rsidR="00631545" w:rsidRDefault="00631545" w:rsidP="00E31389">
            <w:pPr>
              <w:pStyle w:val="Tablecontent"/>
            </w:pPr>
          </w:p>
        </w:tc>
        <w:tc>
          <w:tcPr>
            <w:tcW w:w="0" w:type="auto"/>
          </w:tcPr>
          <w:p w14:paraId="62A1F980" w14:textId="77777777" w:rsidR="00631545" w:rsidRDefault="00631545" w:rsidP="00E31389">
            <w:pPr>
              <w:pStyle w:val="Tablecontent"/>
            </w:pPr>
          </w:p>
        </w:tc>
        <w:tc>
          <w:tcPr>
            <w:tcW w:w="0" w:type="auto"/>
          </w:tcPr>
          <w:p w14:paraId="241B265C" w14:textId="77777777" w:rsidR="00631545" w:rsidRDefault="00631545" w:rsidP="00E31389">
            <w:pPr>
              <w:pStyle w:val="Tablecontent"/>
              <w:ind w:left="104"/>
            </w:pPr>
            <w:r>
              <w:t>NSU</w:t>
            </w:r>
          </w:p>
        </w:tc>
        <w:tc>
          <w:tcPr>
            <w:tcW w:w="0" w:type="auto"/>
          </w:tcPr>
          <w:p w14:paraId="6F9615DC" w14:textId="36D0E98B" w:rsidR="00631545" w:rsidRDefault="002E44C2" w:rsidP="00E31389">
            <w:pPr>
              <w:pStyle w:val="Tablecontent"/>
              <w:jc w:val="right"/>
            </w:pPr>
            <w:r>
              <w:t>4712</w:t>
            </w:r>
          </w:p>
        </w:tc>
        <w:tc>
          <w:tcPr>
            <w:tcW w:w="0" w:type="auto"/>
          </w:tcPr>
          <w:p w14:paraId="400A9993" w14:textId="77777777" w:rsidR="00631545" w:rsidRDefault="00631545" w:rsidP="00E31389">
            <w:pPr>
              <w:pStyle w:val="Tablecontent"/>
              <w:jc w:val="right"/>
            </w:pPr>
            <w:r>
              <w:t>0.12 (0.06, 0.32)</w:t>
            </w:r>
          </w:p>
        </w:tc>
        <w:tc>
          <w:tcPr>
            <w:tcW w:w="0" w:type="auto"/>
          </w:tcPr>
          <w:p w14:paraId="49D83C2D" w14:textId="02BD1822" w:rsidR="00631545" w:rsidRDefault="00631545" w:rsidP="00E31389">
            <w:pPr>
              <w:pStyle w:val="Tablecontent"/>
              <w:jc w:val="right"/>
            </w:pPr>
            <w:r>
              <w:t>82</w:t>
            </w:r>
          </w:p>
        </w:tc>
        <w:tc>
          <w:tcPr>
            <w:tcW w:w="0" w:type="auto"/>
          </w:tcPr>
          <w:p w14:paraId="5353C90A" w14:textId="77777777" w:rsidR="00631545" w:rsidRDefault="00631545" w:rsidP="00E31389">
            <w:pPr>
              <w:pStyle w:val="Tablecontent"/>
              <w:jc w:val="right"/>
            </w:pPr>
            <w:r>
              <w:t>0</w:t>
            </w:r>
          </w:p>
        </w:tc>
        <w:tc>
          <w:tcPr>
            <w:tcW w:w="0" w:type="auto"/>
          </w:tcPr>
          <w:p w14:paraId="08816E3F" w14:textId="77777777" w:rsidR="00631545" w:rsidRDefault="00631545" w:rsidP="00E31389">
            <w:pPr>
              <w:pStyle w:val="Tablecontent"/>
              <w:jc w:val="right"/>
            </w:pPr>
            <w:r>
              <w:t>0.12 (0.06, 0.32)</w:t>
            </w:r>
          </w:p>
        </w:tc>
        <w:tc>
          <w:tcPr>
            <w:tcW w:w="0" w:type="auto"/>
          </w:tcPr>
          <w:p w14:paraId="485E2EDF" w14:textId="7BF14E99" w:rsidR="00631545" w:rsidRDefault="00631545" w:rsidP="00E31389">
            <w:pPr>
              <w:pStyle w:val="Tablecontent"/>
              <w:jc w:val="right"/>
            </w:pPr>
            <w:r>
              <w:t>82</w:t>
            </w:r>
          </w:p>
        </w:tc>
        <w:tc>
          <w:tcPr>
            <w:tcW w:w="0" w:type="auto"/>
          </w:tcPr>
          <w:p w14:paraId="5F1B12B4" w14:textId="77777777" w:rsidR="00631545" w:rsidRDefault="00631545" w:rsidP="00E31389">
            <w:pPr>
              <w:pStyle w:val="Tablecontent"/>
              <w:jc w:val="right"/>
            </w:pPr>
            <w:r>
              <w:t>0</w:t>
            </w:r>
          </w:p>
        </w:tc>
        <w:tc>
          <w:tcPr>
            <w:tcW w:w="0" w:type="auto"/>
          </w:tcPr>
          <w:p w14:paraId="33F5218C" w14:textId="105BBCC4" w:rsidR="00631545" w:rsidRDefault="002E44C2" w:rsidP="00E31389">
            <w:pPr>
              <w:pStyle w:val="Tablecontent"/>
              <w:jc w:val="right"/>
            </w:pPr>
            <w:r>
              <w:t>69</w:t>
            </w:r>
          </w:p>
        </w:tc>
        <w:tc>
          <w:tcPr>
            <w:tcW w:w="0" w:type="auto"/>
          </w:tcPr>
          <w:p w14:paraId="50698A54" w14:textId="0F8078C8" w:rsidR="00631545" w:rsidRDefault="002E44C2" w:rsidP="00E31389">
            <w:pPr>
              <w:pStyle w:val="Tablecontent"/>
              <w:jc w:val="right"/>
            </w:pPr>
            <w:r>
              <w:t>69</w:t>
            </w:r>
          </w:p>
        </w:tc>
      </w:tr>
      <w:tr w:rsidR="00631545" w14:paraId="55230CBE" w14:textId="7BECA2B0" w:rsidTr="00631545">
        <w:tc>
          <w:tcPr>
            <w:tcW w:w="0" w:type="auto"/>
          </w:tcPr>
          <w:p w14:paraId="300079F4" w14:textId="77777777" w:rsidR="00631545" w:rsidRDefault="00631545" w:rsidP="00E31389">
            <w:pPr>
              <w:pStyle w:val="Tablecontent"/>
            </w:pPr>
          </w:p>
        </w:tc>
        <w:tc>
          <w:tcPr>
            <w:tcW w:w="0" w:type="auto"/>
          </w:tcPr>
          <w:p w14:paraId="299D8616" w14:textId="77777777" w:rsidR="00631545" w:rsidRDefault="00631545" w:rsidP="00E31389">
            <w:pPr>
              <w:pStyle w:val="Tablecontent"/>
            </w:pPr>
          </w:p>
        </w:tc>
        <w:tc>
          <w:tcPr>
            <w:tcW w:w="0" w:type="auto"/>
          </w:tcPr>
          <w:p w14:paraId="17C7559A" w14:textId="77777777" w:rsidR="00631545" w:rsidRDefault="00631545" w:rsidP="00E31389">
            <w:pPr>
              <w:pStyle w:val="Tablecontent"/>
              <w:ind w:left="104"/>
            </w:pPr>
            <w:r>
              <w:t>SU</w:t>
            </w:r>
          </w:p>
        </w:tc>
        <w:tc>
          <w:tcPr>
            <w:tcW w:w="0" w:type="auto"/>
          </w:tcPr>
          <w:p w14:paraId="45980CD8" w14:textId="5465BCDC" w:rsidR="00631545" w:rsidRDefault="002E44C2" w:rsidP="00E31389">
            <w:pPr>
              <w:pStyle w:val="Tablecontent"/>
              <w:jc w:val="right"/>
            </w:pPr>
            <w:r>
              <w:t>1963</w:t>
            </w:r>
          </w:p>
        </w:tc>
        <w:tc>
          <w:tcPr>
            <w:tcW w:w="0" w:type="auto"/>
          </w:tcPr>
          <w:p w14:paraId="42FABC23" w14:textId="77777777" w:rsidR="00631545" w:rsidRDefault="00631545" w:rsidP="00E31389">
            <w:pPr>
              <w:pStyle w:val="Tablecontent"/>
              <w:jc w:val="right"/>
            </w:pPr>
            <w:r>
              <w:t>0.16 (0.07, 0.42)</w:t>
            </w:r>
          </w:p>
        </w:tc>
        <w:tc>
          <w:tcPr>
            <w:tcW w:w="0" w:type="auto"/>
          </w:tcPr>
          <w:p w14:paraId="03C795E6" w14:textId="3AD8F184" w:rsidR="00631545" w:rsidRDefault="00631545" w:rsidP="00E31389">
            <w:pPr>
              <w:pStyle w:val="Tablecontent"/>
              <w:jc w:val="right"/>
            </w:pPr>
            <w:r>
              <w:t>77</w:t>
            </w:r>
          </w:p>
        </w:tc>
        <w:tc>
          <w:tcPr>
            <w:tcW w:w="0" w:type="auto"/>
          </w:tcPr>
          <w:p w14:paraId="5EC6149D" w14:textId="77777777" w:rsidR="00631545" w:rsidRDefault="00631545" w:rsidP="00E31389">
            <w:pPr>
              <w:pStyle w:val="Tablecontent"/>
              <w:jc w:val="right"/>
            </w:pPr>
            <w:r>
              <w:t>0</w:t>
            </w:r>
          </w:p>
        </w:tc>
        <w:tc>
          <w:tcPr>
            <w:tcW w:w="0" w:type="auto"/>
          </w:tcPr>
          <w:p w14:paraId="0BA482BF" w14:textId="77777777" w:rsidR="00631545" w:rsidRDefault="00631545" w:rsidP="00E31389">
            <w:pPr>
              <w:pStyle w:val="Tablecontent"/>
              <w:jc w:val="right"/>
            </w:pPr>
            <w:r>
              <w:t>0.27 (0.14, 0.64)</w:t>
            </w:r>
          </w:p>
        </w:tc>
        <w:tc>
          <w:tcPr>
            <w:tcW w:w="0" w:type="auto"/>
          </w:tcPr>
          <w:p w14:paraId="43A19E73" w14:textId="7635BEF8" w:rsidR="00631545" w:rsidRDefault="00631545" w:rsidP="00E31389">
            <w:pPr>
              <w:pStyle w:val="Tablecontent"/>
              <w:jc w:val="right"/>
            </w:pPr>
            <w:r>
              <w:t>66</w:t>
            </w:r>
          </w:p>
        </w:tc>
        <w:tc>
          <w:tcPr>
            <w:tcW w:w="0" w:type="auto"/>
          </w:tcPr>
          <w:p w14:paraId="56B20A0C" w14:textId="77777777" w:rsidR="00631545" w:rsidRDefault="00631545" w:rsidP="00E31389">
            <w:pPr>
              <w:pStyle w:val="Tablecontent"/>
              <w:jc w:val="right"/>
            </w:pPr>
            <w:r>
              <w:t>1</w:t>
            </w:r>
          </w:p>
        </w:tc>
        <w:tc>
          <w:tcPr>
            <w:tcW w:w="0" w:type="auto"/>
          </w:tcPr>
          <w:p w14:paraId="5DE906C7" w14:textId="6EF9CB8C" w:rsidR="00631545" w:rsidRDefault="002E44C2" w:rsidP="00E31389">
            <w:pPr>
              <w:pStyle w:val="Tablecontent"/>
              <w:jc w:val="right"/>
            </w:pPr>
            <w:r>
              <w:t>63</w:t>
            </w:r>
          </w:p>
        </w:tc>
        <w:tc>
          <w:tcPr>
            <w:tcW w:w="0" w:type="auto"/>
          </w:tcPr>
          <w:p w14:paraId="402A228A" w14:textId="027AF738" w:rsidR="00631545" w:rsidRDefault="002E44C2" w:rsidP="00E31389">
            <w:pPr>
              <w:pStyle w:val="Tablecontent"/>
              <w:jc w:val="right"/>
            </w:pPr>
            <w:r>
              <w:t>48</w:t>
            </w:r>
          </w:p>
        </w:tc>
      </w:tr>
      <w:tr w:rsidR="00631545" w14:paraId="7C110E3C" w14:textId="2B7BD17D" w:rsidTr="00631545">
        <w:tc>
          <w:tcPr>
            <w:tcW w:w="0" w:type="auto"/>
          </w:tcPr>
          <w:p w14:paraId="491D2769" w14:textId="77777777" w:rsidR="00631545" w:rsidRDefault="00631545" w:rsidP="00E31389">
            <w:pPr>
              <w:pStyle w:val="Tablecontent"/>
            </w:pPr>
          </w:p>
        </w:tc>
        <w:tc>
          <w:tcPr>
            <w:tcW w:w="0" w:type="auto"/>
          </w:tcPr>
          <w:p w14:paraId="6F5CD9ED" w14:textId="77777777" w:rsidR="00631545" w:rsidRDefault="00631545" w:rsidP="00E31389">
            <w:pPr>
              <w:pStyle w:val="Tablecontent"/>
            </w:pPr>
          </w:p>
        </w:tc>
        <w:tc>
          <w:tcPr>
            <w:tcW w:w="0" w:type="auto"/>
          </w:tcPr>
          <w:p w14:paraId="7F72944A" w14:textId="48132CEB" w:rsidR="00631545" w:rsidRDefault="00631545" w:rsidP="00E31389">
            <w:pPr>
              <w:pStyle w:val="Tablecontent"/>
              <w:ind w:left="246"/>
            </w:pPr>
            <w:r>
              <w:t>SU</w:t>
            </w:r>
            <w:r>
              <w:noBreakHyphen/>
              <w:t>EPA/DHA</w:t>
            </w:r>
          </w:p>
        </w:tc>
        <w:tc>
          <w:tcPr>
            <w:tcW w:w="0" w:type="auto"/>
          </w:tcPr>
          <w:p w14:paraId="668C0969" w14:textId="04B588CD" w:rsidR="00631545" w:rsidRDefault="002E44C2" w:rsidP="00E31389">
            <w:pPr>
              <w:pStyle w:val="Tablecontent"/>
              <w:jc w:val="right"/>
            </w:pPr>
            <w:r>
              <w:t>683</w:t>
            </w:r>
          </w:p>
        </w:tc>
        <w:tc>
          <w:tcPr>
            <w:tcW w:w="0" w:type="auto"/>
          </w:tcPr>
          <w:p w14:paraId="48D5A659" w14:textId="4DB06DC1" w:rsidR="00631545" w:rsidRDefault="00631545" w:rsidP="00E31389">
            <w:pPr>
              <w:pStyle w:val="Tablecontent"/>
              <w:jc w:val="right"/>
            </w:pPr>
            <w:r>
              <w:t>0.1</w:t>
            </w:r>
            <w:r w:rsidR="002E44C2">
              <w:t>6</w:t>
            </w:r>
            <w:r>
              <w:t xml:space="preserve"> (0.07, 0.41)</w:t>
            </w:r>
          </w:p>
        </w:tc>
        <w:tc>
          <w:tcPr>
            <w:tcW w:w="0" w:type="auto"/>
          </w:tcPr>
          <w:p w14:paraId="299BFF4E" w14:textId="77681EDE" w:rsidR="00631545" w:rsidRDefault="00631545" w:rsidP="00E31389">
            <w:pPr>
              <w:pStyle w:val="Tablecontent"/>
              <w:jc w:val="right"/>
            </w:pPr>
            <w:r>
              <w:t>78</w:t>
            </w:r>
          </w:p>
        </w:tc>
        <w:tc>
          <w:tcPr>
            <w:tcW w:w="0" w:type="auto"/>
          </w:tcPr>
          <w:p w14:paraId="674C0320" w14:textId="77777777" w:rsidR="00631545" w:rsidRDefault="00631545" w:rsidP="00E31389">
            <w:pPr>
              <w:pStyle w:val="Tablecontent"/>
              <w:jc w:val="right"/>
            </w:pPr>
            <w:r>
              <w:t>0</w:t>
            </w:r>
          </w:p>
        </w:tc>
        <w:tc>
          <w:tcPr>
            <w:tcW w:w="0" w:type="auto"/>
          </w:tcPr>
          <w:p w14:paraId="3DEC483C" w14:textId="15075A3E" w:rsidR="00631545" w:rsidRDefault="00631545" w:rsidP="00E31389">
            <w:pPr>
              <w:pStyle w:val="Tablecontent"/>
              <w:jc w:val="right"/>
            </w:pPr>
            <w:r>
              <w:t>0.1</w:t>
            </w:r>
            <w:r w:rsidR="002E44C2">
              <w:t>6</w:t>
            </w:r>
            <w:r>
              <w:t xml:space="preserve"> (0.07, 0.41)</w:t>
            </w:r>
          </w:p>
        </w:tc>
        <w:tc>
          <w:tcPr>
            <w:tcW w:w="0" w:type="auto"/>
          </w:tcPr>
          <w:p w14:paraId="25668B4D" w14:textId="2D422E27" w:rsidR="00631545" w:rsidRDefault="00631545" w:rsidP="00E31389">
            <w:pPr>
              <w:pStyle w:val="Tablecontent"/>
              <w:jc w:val="right"/>
            </w:pPr>
            <w:r>
              <w:t>78</w:t>
            </w:r>
          </w:p>
        </w:tc>
        <w:tc>
          <w:tcPr>
            <w:tcW w:w="0" w:type="auto"/>
          </w:tcPr>
          <w:p w14:paraId="222157C1" w14:textId="77777777" w:rsidR="00631545" w:rsidRDefault="00631545" w:rsidP="00E31389">
            <w:pPr>
              <w:pStyle w:val="Tablecontent"/>
              <w:jc w:val="right"/>
            </w:pPr>
            <w:r>
              <w:t>0</w:t>
            </w:r>
          </w:p>
        </w:tc>
        <w:tc>
          <w:tcPr>
            <w:tcW w:w="0" w:type="auto"/>
          </w:tcPr>
          <w:p w14:paraId="115B1B0C" w14:textId="4229EAD4" w:rsidR="00631545" w:rsidRDefault="002E44C2" w:rsidP="00E31389">
            <w:pPr>
              <w:pStyle w:val="Tablecontent"/>
              <w:jc w:val="right"/>
            </w:pPr>
            <w:r>
              <w:t>62</w:t>
            </w:r>
          </w:p>
        </w:tc>
        <w:tc>
          <w:tcPr>
            <w:tcW w:w="0" w:type="auto"/>
          </w:tcPr>
          <w:p w14:paraId="48207B95" w14:textId="119C249A" w:rsidR="00631545" w:rsidRDefault="002E44C2" w:rsidP="00E31389">
            <w:pPr>
              <w:pStyle w:val="Tablecontent"/>
              <w:jc w:val="right"/>
            </w:pPr>
            <w:r>
              <w:t>62</w:t>
            </w:r>
          </w:p>
        </w:tc>
      </w:tr>
      <w:tr w:rsidR="00631545" w14:paraId="0EB345F3" w14:textId="2131CE6F" w:rsidTr="00631545">
        <w:tc>
          <w:tcPr>
            <w:tcW w:w="0" w:type="auto"/>
          </w:tcPr>
          <w:p w14:paraId="4EF7FBD7" w14:textId="77777777" w:rsidR="00631545" w:rsidRDefault="00631545" w:rsidP="00E31389">
            <w:pPr>
              <w:pStyle w:val="Tablecontent"/>
            </w:pPr>
          </w:p>
        </w:tc>
        <w:tc>
          <w:tcPr>
            <w:tcW w:w="0" w:type="auto"/>
          </w:tcPr>
          <w:p w14:paraId="740C982E" w14:textId="77777777" w:rsidR="00631545" w:rsidRDefault="00631545" w:rsidP="00E31389">
            <w:pPr>
              <w:pStyle w:val="Tablecontent"/>
            </w:pPr>
          </w:p>
        </w:tc>
        <w:tc>
          <w:tcPr>
            <w:tcW w:w="0" w:type="auto"/>
          </w:tcPr>
          <w:p w14:paraId="497A2C36" w14:textId="77777777" w:rsidR="00631545" w:rsidRDefault="00631545" w:rsidP="00E31389">
            <w:pPr>
              <w:pStyle w:val="Tablecontent"/>
              <w:ind w:left="246"/>
            </w:pPr>
            <w:r>
              <w:t>SU+EPA/DHA</w:t>
            </w:r>
          </w:p>
        </w:tc>
        <w:tc>
          <w:tcPr>
            <w:tcW w:w="0" w:type="auto"/>
          </w:tcPr>
          <w:p w14:paraId="3B983AC1" w14:textId="6BE0C1D8" w:rsidR="00631545" w:rsidRDefault="00631545" w:rsidP="00E31389">
            <w:pPr>
              <w:pStyle w:val="Tablecontent"/>
              <w:jc w:val="right"/>
            </w:pPr>
            <w:r>
              <w:t>12</w:t>
            </w:r>
            <w:r w:rsidR="002E44C2">
              <w:t>80</w:t>
            </w:r>
          </w:p>
        </w:tc>
        <w:tc>
          <w:tcPr>
            <w:tcW w:w="0" w:type="auto"/>
          </w:tcPr>
          <w:p w14:paraId="5424618D" w14:textId="77777777" w:rsidR="00631545" w:rsidRDefault="00631545" w:rsidP="00E31389">
            <w:pPr>
              <w:pStyle w:val="Tablecontent"/>
              <w:jc w:val="right"/>
            </w:pPr>
            <w:r>
              <w:t>0.15 (0.07, 0.43)</w:t>
            </w:r>
          </w:p>
        </w:tc>
        <w:tc>
          <w:tcPr>
            <w:tcW w:w="0" w:type="auto"/>
          </w:tcPr>
          <w:p w14:paraId="23E2A08A" w14:textId="5A727982" w:rsidR="00631545" w:rsidRDefault="00631545" w:rsidP="00E31389">
            <w:pPr>
              <w:pStyle w:val="Tablecontent"/>
              <w:jc w:val="right"/>
            </w:pPr>
            <w:r>
              <w:t>77</w:t>
            </w:r>
          </w:p>
        </w:tc>
        <w:tc>
          <w:tcPr>
            <w:tcW w:w="0" w:type="auto"/>
          </w:tcPr>
          <w:p w14:paraId="69777341" w14:textId="77777777" w:rsidR="00631545" w:rsidRDefault="00631545" w:rsidP="00E31389">
            <w:pPr>
              <w:pStyle w:val="Tablecontent"/>
              <w:jc w:val="right"/>
            </w:pPr>
            <w:r>
              <w:t>0</w:t>
            </w:r>
          </w:p>
        </w:tc>
        <w:tc>
          <w:tcPr>
            <w:tcW w:w="0" w:type="auto"/>
          </w:tcPr>
          <w:p w14:paraId="3C989500" w14:textId="7D5645E3" w:rsidR="00631545" w:rsidRDefault="00631545" w:rsidP="00E31389">
            <w:pPr>
              <w:pStyle w:val="Tablecontent"/>
              <w:jc w:val="right"/>
            </w:pPr>
            <w:r>
              <w:t>0.3</w:t>
            </w:r>
            <w:r w:rsidR="002E44C2">
              <w:t>1</w:t>
            </w:r>
            <w:r>
              <w:t xml:space="preserve"> (0.18, 0.8</w:t>
            </w:r>
            <w:r w:rsidR="002E44C2">
              <w:t>1</w:t>
            </w:r>
            <w:r>
              <w:t>)</w:t>
            </w:r>
          </w:p>
        </w:tc>
        <w:tc>
          <w:tcPr>
            <w:tcW w:w="0" w:type="auto"/>
          </w:tcPr>
          <w:p w14:paraId="6E55690C" w14:textId="6B2AA92F" w:rsidR="00631545" w:rsidRPr="0039423C" w:rsidRDefault="00631545" w:rsidP="589C4AF9">
            <w:pPr>
              <w:pStyle w:val="Tablecontent"/>
              <w:jc w:val="right"/>
              <w:rPr>
                <w:bCs/>
              </w:rPr>
            </w:pPr>
            <w:r w:rsidRPr="0039423C">
              <w:rPr>
                <w:bCs/>
              </w:rPr>
              <w:t>59</w:t>
            </w:r>
          </w:p>
        </w:tc>
        <w:tc>
          <w:tcPr>
            <w:tcW w:w="0" w:type="auto"/>
          </w:tcPr>
          <w:p w14:paraId="249FAAB8" w14:textId="77777777" w:rsidR="00631545" w:rsidRDefault="00631545" w:rsidP="00E31389">
            <w:pPr>
              <w:pStyle w:val="Tablecontent"/>
              <w:jc w:val="right"/>
            </w:pPr>
            <w:r>
              <w:t>1</w:t>
            </w:r>
          </w:p>
        </w:tc>
        <w:tc>
          <w:tcPr>
            <w:tcW w:w="0" w:type="auto"/>
          </w:tcPr>
          <w:p w14:paraId="222EF1F9" w14:textId="081EAE4A" w:rsidR="00631545" w:rsidRDefault="002E44C2" w:rsidP="00E31389">
            <w:pPr>
              <w:pStyle w:val="Tablecontent"/>
              <w:jc w:val="right"/>
            </w:pPr>
            <w:r>
              <w:t>63</w:t>
            </w:r>
          </w:p>
        </w:tc>
        <w:tc>
          <w:tcPr>
            <w:tcW w:w="0" w:type="auto"/>
          </w:tcPr>
          <w:p w14:paraId="0EC940DC" w14:textId="52F71EB7" w:rsidR="00631545" w:rsidRDefault="002E44C2" w:rsidP="00E31389">
            <w:pPr>
              <w:pStyle w:val="Tablecontent"/>
              <w:jc w:val="right"/>
            </w:pPr>
            <w:r>
              <w:t>40</w:t>
            </w:r>
          </w:p>
        </w:tc>
      </w:tr>
      <w:tr w:rsidR="00631545" w14:paraId="15C78039" w14:textId="59C9E4CD" w:rsidTr="00631545">
        <w:tc>
          <w:tcPr>
            <w:tcW w:w="0" w:type="auto"/>
          </w:tcPr>
          <w:p w14:paraId="527D639D" w14:textId="77777777" w:rsidR="00631545" w:rsidRDefault="00631545" w:rsidP="00E31389">
            <w:pPr>
              <w:pStyle w:val="Tablecontent"/>
            </w:pPr>
          </w:p>
        </w:tc>
        <w:tc>
          <w:tcPr>
            <w:tcW w:w="0" w:type="auto"/>
          </w:tcPr>
          <w:p w14:paraId="5101B52C" w14:textId="77777777" w:rsidR="00631545" w:rsidRDefault="00631545" w:rsidP="00E31389">
            <w:pPr>
              <w:pStyle w:val="Tablecontent"/>
            </w:pPr>
          </w:p>
        </w:tc>
        <w:tc>
          <w:tcPr>
            <w:tcW w:w="0" w:type="auto"/>
          </w:tcPr>
          <w:p w14:paraId="3C8EC45C" w14:textId="77777777" w:rsidR="00631545" w:rsidRDefault="00631545" w:rsidP="00E31389">
            <w:pPr>
              <w:pStyle w:val="Tablecontent"/>
            </w:pPr>
          </w:p>
        </w:tc>
        <w:tc>
          <w:tcPr>
            <w:tcW w:w="0" w:type="auto"/>
          </w:tcPr>
          <w:p w14:paraId="326DC100" w14:textId="77777777" w:rsidR="00631545" w:rsidRDefault="00631545" w:rsidP="00E31389">
            <w:pPr>
              <w:pStyle w:val="Tablecontent"/>
              <w:jc w:val="right"/>
            </w:pPr>
          </w:p>
        </w:tc>
        <w:tc>
          <w:tcPr>
            <w:tcW w:w="0" w:type="auto"/>
          </w:tcPr>
          <w:p w14:paraId="0A821549" w14:textId="77777777" w:rsidR="00631545" w:rsidRDefault="00631545" w:rsidP="00E31389">
            <w:pPr>
              <w:pStyle w:val="Tablecontent"/>
              <w:jc w:val="right"/>
            </w:pPr>
          </w:p>
        </w:tc>
        <w:tc>
          <w:tcPr>
            <w:tcW w:w="0" w:type="auto"/>
          </w:tcPr>
          <w:p w14:paraId="66FDCF4E" w14:textId="146DD423" w:rsidR="00631545" w:rsidRDefault="00631545" w:rsidP="00E31389">
            <w:pPr>
              <w:pStyle w:val="Tablecontent"/>
              <w:jc w:val="right"/>
            </w:pPr>
          </w:p>
        </w:tc>
        <w:tc>
          <w:tcPr>
            <w:tcW w:w="0" w:type="auto"/>
          </w:tcPr>
          <w:p w14:paraId="3BEE236D" w14:textId="77777777" w:rsidR="00631545" w:rsidRDefault="00631545" w:rsidP="00E31389">
            <w:pPr>
              <w:pStyle w:val="Tablecontent"/>
              <w:jc w:val="right"/>
            </w:pPr>
          </w:p>
        </w:tc>
        <w:tc>
          <w:tcPr>
            <w:tcW w:w="0" w:type="auto"/>
          </w:tcPr>
          <w:p w14:paraId="0CCC0888" w14:textId="77777777" w:rsidR="00631545" w:rsidRDefault="00631545" w:rsidP="00E31389">
            <w:pPr>
              <w:pStyle w:val="Tablecontent"/>
              <w:jc w:val="right"/>
            </w:pPr>
          </w:p>
        </w:tc>
        <w:tc>
          <w:tcPr>
            <w:tcW w:w="0" w:type="auto"/>
          </w:tcPr>
          <w:p w14:paraId="4A990D24" w14:textId="249B8D19" w:rsidR="00631545" w:rsidRPr="0039423C" w:rsidRDefault="00631545" w:rsidP="00E31389">
            <w:pPr>
              <w:pStyle w:val="Tablecontent"/>
              <w:jc w:val="right"/>
            </w:pPr>
          </w:p>
        </w:tc>
        <w:tc>
          <w:tcPr>
            <w:tcW w:w="0" w:type="auto"/>
          </w:tcPr>
          <w:p w14:paraId="603CC4DB" w14:textId="77777777" w:rsidR="00631545" w:rsidRDefault="00631545" w:rsidP="00E31389">
            <w:pPr>
              <w:pStyle w:val="Tablecontent"/>
              <w:jc w:val="right"/>
            </w:pPr>
          </w:p>
        </w:tc>
        <w:tc>
          <w:tcPr>
            <w:tcW w:w="0" w:type="auto"/>
          </w:tcPr>
          <w:p w14:paraId="37E3637F" w14:textId="77777777" w:rsidR="00631545" w:rsidRDefault="00631545" w:rsidP="00E31389">
            <w:pPr>
              <w:pStyle w:val="Tablecontent"/>
              <w:jc w:val="right"/>
            </w:pPr>
          </w:p>
        </w:tc>
        <w:tc>
          <w:tcPr>
            <w:tcW w:w="0" w:type="auto"/>
          </w:tcPr>
          <w:p w14:paraId="315B851C" w14:textId="77777777" w:rsidR="00631545" w:rsidRDefault="00631545" w:rsidP="00E31389">
            <w:pPr>
              <w:pStyle w:val="Tablecontent"/>
              <w:jc w:val="right"/>
            </w:pPr>
          </w:p>
        </w:tc>
      </w:tr>
      <w:tr w:rsidR="00631545" w14:paraId="3476AA8C" w14:textId="1F0E4795" w:rsidTr="00631545">
        <w:tc>
          <w:tcPr>
            <w:tcW w:w="0" w:type="auto"/>
          </w:tcPr>
          <w:p w14:paraId="5BAD3425" w14:textId="77777777" w:rsidR="00631545" w:rsidRDefault="00631545" w:rsidP="00E31389">
            <w:pPr>
              <w:pStyle w:val="Tablecontent"/>
            </w:pPr>
          </w:p>
        </w:tc>
        <w:tc>
          <w:tcPr>
            <w:tcW w:w="0" w:type="auto"/>
          </w:tcPr>
          <w:p w14:paraId="539F1C69" w14:textId="77777777" w:rsidR="00631545" w:rsidRDefault="00631545" w:rsidP="00E31389">
            <w:pPr>
              <w:pStyle w:val="Tablecontent"/>
            </w:pPr>
            <w:r>
              <w:t>65+</w:t>
            </w:r>
          </w:p>
        </w:tc>
        <w:tc>
          <w:tcPr>
            <w:tcW w:w="0" w:type="auto"/>
          </w:tcPr>
          <w:p w14:paraId="369EEA71" w14:textId="77777777" w:rsidR="00631545" w:rsidRDefault="00631545" w:rsidP="00E31389">
            <w:pPr>
              <w:pStyle w:val="Tablecontent"/>
            </w:pPr>
            <w:r>
              <w:t>ALL</w:t>
            </w:r>
          </w:p>
        </w:tc>
        <w:tc>
          <w:tcPr>
            <w:tcW w:w="0" w:type="auto"/>
          </w:tcPr>
          <w:p w14:paraId="19095AA9" w14:textId="6628B864" w:rsidR="00631545" w:rsidRDefault="002E44C2" w:rsidP="00E31389">
            <w:pPr>
              <w:pStyle w:val="Tablecontent"/>
              <w:jc w:val="right"/>
            </w:pPr>
            <w:r>
              <w:t>3545</w:t>
            </w:r>
          </w:p>
        </w:tc>
        <w:tc>
          <w:tcPr>
            <w:tcW w:w="0" w:type="auto"/>
          </w:tcPr>
          <w:p w14:paraId="4E88E973" w14:textId="77777777" w:rsidR="00631545" w:rsidRDefault="00631545" w:rsidP="00E31389">
            <w:pPr>
              <w:pStyle w:val="Tablecontent"/>
              <w:jc w:val="right"/>
            </w:pPr>
            <w:r>
              <w:t>0.16 (0.07, 0.40)</w:t>
            </w:r>
          </w:p>
        </w:tc>
        <w:tc>
          <w:tcPr>
            <w:tcW w:w="0" w:type="auto"/>
          </w:tcPr>
          <w:p w14:paraId="53BB518C" w14:textId="6A2CDA77" w:rsidR="00631545" w:rsidRDefault="00631545" w:rsidP="00E31389">
            <w:pPr>
              <w:pStyle w:val="Tablecontent"/>
              <w:jc w:val="right"/>
            </w:pPr>
            <w:r>
              <w:t>78</w:t>
            </w:r>
          </w:p>
        </w:tc>
        <w:tc>
          <w:tcPr>
            <w:tcW w:w="0" w:type="auto"/>
          </w:tcPr>
          <w:p w14:paraId="290A9710" w14:textId="77777777" w:rsidR="00631545" w:rsidRDefault="00631545" w:rsidP="00E31389">
            <w:pPr>
              <w:pStyle w:val="Tablecontent"/>
              <w:jc w:val="right"/>
            </w:pPr>
            <w:r>
              <w:t>0</w:t>
            </w:r>
          </w:p>
        </w:tc>
        <w:tc>
          <w:tcPr>
            <w:tcW w:w="0" w:type="auto"/>
          </w:tcPr>
          <w:p w14:paraId="715C3A80" w14:textId="77777777" w:rsidR="00631545" w:rsidRDefault="00631545" w:rsidP="00E31389">
            <w:pPr>
              <w:pStyle w:val="Tablecontent"/>
              <w:jc w:val="right"/>
            </w:pPr>
            <w:r>
              <w:t>0.21 (0.09, 0.50)</w:t>
            </w:r>
          </w:p>
        </w:tc>
        <w:tc>
          <w:tcPr>
            <w:tcW w:w="0" w:type="auto"/>
          </w:tcPr>
          <w:p w14:paraId="3FEECC14" w14:textId="2B226906" w:rsidR="00631545" w:rsidRPr="0039423C" w:rsidRDefault="00631545" w:rsidP="00E31389">
            <w:pPr>
              <w:pStyle w:val="Tablecontent"/>
              <w:jc w:val="right"/>
            </w:pPr>
            <w:r w:rsidRPr="0039423C">
              <w:t>73</w:t>
            </w:r>
          </w:p>
        </w:tc>
        <w:tc>
          <w:tcPr>
            <w:tcW w:w="0" w:type="auto"/>
          </w:tcPr>
          <w:p w14:paraId="40717F1A" w14:textId="77777777" w:rsidR="00631545" w:rsidRDefault="00631545" w:rsidP="00E31389">
            <w:pPr>
              <w:pStyle w:val="Tablecontent"/>
              <w:jc w:val="right"/>
            </w:pPr>
            <w:r>
              <w:t>0</w:t>
            </w:r>
          </w:p>
        </w:tc>
        <w:tc>
          <w:tcPr>
            <w:tcW w:w="0" w:type="auto"/>
          </w:tcPr>
          <w:p w14:paraId="4D1ADF88" w14:textId="263CDCD8" w:rsidR="00631545" w:rsidRDefault="002E44C2" w:rsidP="00E31389">
            <w:pPr>
              <w:pStyle w:val="Tablecontent"/>
              <w:jc w:val="right"/>
            </w:pPr>
            <w:r>
              <w:t>62</w:t>
            </w:r>
          </w:p>
        </w:tc>
        <w:tc>
          <w:tcPr>
            <w:tcW w:w="0" w:type="auto"/>
          </w:tcPr>
          <w:p w14:paraId="01DCF2C1" w14:textId="4556270C" w:rsidR="00631545" w:rsidRDefault="002E44C2" w:rsidP="00E31389">
            <w:pPr>
              <w:pStyle w:val="Tablecontent"/>
              <w:jc w:val="right"/>
            </w:pPr>
            <w:r>
              <w:t>56</w:t>
            </w:r>
          </w:p>
        </w:tc>
      </w:tr>
      <w:tr w:rsidR="00631545" w14:paraId="0CB973A7" w14:textId="14597E81" w:rsidTr="00631545">
        <w:tc>
          <w:tcPr>
            <w:tcW w:w="0" w:type="auto"/>
          </w:tcPr>
          <w:p w14:paraId="0C7D08AC" w14:textId="77777777" w:rsidR="00631545" w:rsidRDefault="00631545" w:rsidP="00E31389">
            <w:pPr>
              <w:pStyle w:val="Tablecontent"/>
            </w:pPr>
          </w:p>
        </w:tc>
        <w:tc>
          <w:tcPr>
            <w:tcW w:w="0" w:type="auto"/>
          </w:tcPr>
          <w:p w14:paraId="37A31054" w14:textId="77777777" w:rsidR="00631545" w:rsidRDefault="00631545" w:rsidP="00E31389">
            <w:pPr>
              <w:pStyle w:val="Tablecontent"/>
            </w:pPr>
          </w:p>
        </w:tc>
        <w:tc>
          <w:tcPr>
            <w:tcW w:w="0" w:type="auto"/>
          </w:tcPr>
          <w:p w14:paraId="66B06175" w14:textId="77777777" w:rsidR="00631545" w:rsidRDefault="00631545" w:rsidP="00E31389">
            <w:pPr>
              <w:pStyle w:val="Tablecontent"/>
              <w:ind w:left="104"/>
            </w:pPr>
            <w:r>
              <w:t>NSU</w:t>
            </w:r>
          </w:p>
        </w:tc>
        <w:tc>
          <w:tcPr>
            <w:tcW w:w="0" w:type="auto"/>
          </w:tcPr>
          <w:p w14:paraId="5CCC7F76" w14:textId="64BB6270" w:rsidR="00631545" w:rsidRDefault="00631545" w:rsidP="00E31389">
            <w:pPr>
              <w:pStyle w:val="Tablecontent"/>
              <w:jc w:val="right"/>
            </w:pPr>
            <w:r>
              <w:t>22</w:t>
            </w:r>
            <w:r w:rsidR="002E44C2">
              <w:t>60</w:t>
            </w:r>
          </w:p>
        </w:tc>
        <w:tc>
          <w:tcPr>
            <w:tcW w:w="0" w:type="auto"/>
          </w:tcPr>
          <w:p w14:paraId="136C19A3" w14:textId="77777777" w:rsidR="00631545" w:rsidRDefault="00631545" w:rsidP="00E31389">
            <w:pPr>
              <w:pStyle w:val="Tablecontent"/>
              <w:jc w:val="right"/>
            </w:pPr>
            <w:r>
              <w:t>0.15 (0.07, 0.38)</w:t>
            </w:r>
          </w:p>
        </w:tc>
        <w:tc>
          <w:tcPr>
            <w:tcW w:w="0" w:type="auto"/>
          </w:tcPr>
          <w:p w14:paraId="0AAF667E" w14:textId="26D3591F" w:rsidR="00631545" w:rsidRDefault="00631545" w:rsidP="00E31389">
            <w:pPr>
              <w:pStyle w:val="Tablecontent"/>
              <w:jc w:val="right"/>
            </w:pPr>
            <w:r>
              <w:t>80</w:t>
            </w:r>
          </w:p>
        </w:tc>
        <w:tc>
          <w:tcPr>
            <w:tcW w:w="0" w:type="auto"/>
          </w:tcPr>
          <w:p w14:paraId="486DD9CC" w14:textId="77777777" w:rsidR="00631545" w:rsidRDefault="00631545" w:rsidP="00E31389">
            <w:pPr>
              <w:pStyle w:val="Tablecontent"/>
              <w:jc w:val="right"/>
            </w:pPr>
            <w:r>
              <w:t>0</w:t>
            </w:r>
          </w:p>
        </w:tc>
        <w:tc>
          <w:tcPr>
            <w:tcW w:w="0" w:type="auto"/>
          </w:tcPr>
          <w:p w14:paraId="0E900DF8" w14:textId="77777777" w:rsidR="00631545" w:rsidRDefault="00631545" w:rsidP="00E31389">
            <w:pPr>
              <w:pStyle w:val="Tablecontent"/>
              <w:jc w:val="right"/>
            </w:pPr>
            <w:r>
              <w:t>0.15 (0.07, 0.38)</w:t>
            </w:r>
          </w:p>
        </w:tc>
        <w:tc>
          <w:tcPr>
            <w:tcW w:w="0" w:type="auto"/>
          </w:tcPr>
          <w:p w14:paraId="44BA5723" w14:textId="16607F21" w:rsidR="00631545" w:rsidRPr="0039423C" w:rsidRDefault="00631545" w:rsidP="00E31389">
            <w:pPr>
              <w:pStyle w:val="Tablecontent"/>
              <w:jc w:val="right"/>
            </w:pPr>
            <w:r w:rsidRPr="0039423C">
              <w:t>80</w:t>
            </w:r>
          </w:p>
        </w:tc>
        <w:tc>
          <w:tcPr>
            <w:tcW w:w="0" w:type="auto"/>
          </w:tcPr>
          <w:p w14:paraId="7DCFEC48" w14:textId="77777777" w:rsidR="00631545" w:rsidRDefault="00631545" w:rsidP="00E31389">
            <w:pPr>
              <w:pStyle w:val="Tablecontent"/>
              <w:jc w:val="right"/>
            </w:pPr>
            <w:r>
              <w:t>0</w:t>
            </w:r>
          </w:p>
        </w:tc>
        <w:tc>
          <w:tcPr>
            <w:tcW w:w="0" w:type="auto"/>
          </w:tcPr>
          <w:p w14:paraId="255397D2" w14:textId="6A5916F5" w:rsidR="00631545" w:rsidRDefault="002E44C2" w:rsidP="00E31389">
            <w:pPr>
              <w:pStyle w:val="Tablecontent"/>
              <w:jc w:val="right"/>
            </w:pPr>
            <w:r>
              <w:t>65</w:t>
            </w:r>
          </w:p>
        </w:tc>
        <w:tc>
          <w:tcPr>
            <w:tcW w:w="0" w:type="auto"/>
          </w:tcPr>
          <w:p w14:paraId="4856CAAB" w14:textId="0C36A72A" w:rsidR="00631545" w:rsidRDefault="002E44C2" w:rsidP="00E31389">
            <w:pPr>
              <w:pStyle w:val="Tablecontent"/>
              <w:jc w:val="right"/>
            </w:pPr>
            <w:r>
              <w:t>65</w:t>
            </w:r>
          </w:p>
        </w:tc>
      </w:tr>
      <w:tr w:rsidR="00631545" w14:paraId="3E7713B6" w14:textId="44A9EE9E" w:rsidTr="00631545">
        <w:tc>
          <w:tcPr>
            <w:tcW w:w="0" w:type="auto"/>
          </w:tcPr>
          <w:p w14:paraId="7DC8C081" w14:textId="77777777" w:rsidR="00631545" w:rsidRDefault="00631545" w:rsidP="00E31389">
            <w:pPr>
              <w:pStyle w:val="Tablecontent"/>
            </w:pPr>
          </w:p>
        </w:tc>
        <w:tc>
          <w:tcPr>
            <w:tcW w:w="0" w:type="auto"/>
          </w:tcPr>
          <w:p w14:paraId="0477E574" w14:textId="77777777" w:rsidR="00631545" w:rsidRDefault="00631545" w:rsidP="00E31389">
            <w:pPr>
              <w:pStyle w:val="Tablecontent"/>
            </w:pPr>
          </w:p>
        </w:tc>
        <w:tc>
          <w:tcPr>
            <w:tcW w:w="0" w:type="auto"/>
          </w:tcPr>
          <w:p w14:paraId="25B1EF8A" w14:textId="77777777" w:rsidR="00631545" w:rsidRDefault="00631545" w:rsidP="00E31389">
            <w:pPr>
              <w:pStyle w:val="Tablecontent"/>
              <w:ind w:left="104"/>
            </w:pPr>
            <w:r>
              <w:t>SU</w:t>
            </w:r>
          </w:p>
        </w:tc>
        <w:tc>
          <w:tcPr>
            <w:tcW w:w="0" w:type="auto"/>
          </w:tcPr>
          <w:p w14:paraId="777B0465" w14:textId="5BC4DE14" w:rsidR="00631545" w:rsidRDefault="002E44C2" w:rsidP="00E31389">
            <w:pPr>
              <w:pStyle w:val="Tablecontent"/>
              <w:jc w:val="right"/>
            </w:pPr>
            <w:r>
              <w:t>1285</w:t>
            </w:r>
          </w:p>
        </w:tc>
        <w:tc>
          <w:tcPr>
            <w:tcW w:w="0" w:type="auto"/>
          </w:tcPr>
          <w:p w14:paraId="2A7F9F49" w14:textId="77777777" w:rsidR="00631545" w:rsidRDefault="00631545" w:rsidP="00E31389">
            <w:pPr>
              <w:pStyle w:val="Tablecontent"/>
              <w:jc w:val="right"/>
            </w:pPr>
            <w:r>
              <w:t>0.18 (0.08, 0.45)</w:t>
            </w:r>
          </w:p>
        </w:tc>
        <w:tc>
          <w:tcPr>
            <w:tcW w:w="0" w:type="auto"/>
          </w:tcPr>
          <w:p w14:paraId="58A771A2" w14:textId="731FCFCE" w:rsidR="00631545" w:rsidRDefault="00631545" w:rsidP="00E31389">
            <w:pPr>
              <w:pStyle w:val="Tablecontent"/>
              <w:jc w:val="right"/>
            </w:pPr>
            <w:r>
              <w:t>75</w:t>
            </w:r>
          </w:p>
        </w:tc>
        <w:tc>
          <w:tcPr>
            <w:tcW w:w="0" w:type="auto"/>
          </w:tcPr>
          <w:p w14:paraId="750AB381" w14:textId="77777777" w:rsidR="00631545" w:rsidRDefault="00631545" w:rsidP="00E31389">
            <w:pPr>
              <w:pStyle w:val="Tablecontent"/>
              <w:jc w:val="right"/>
            </w:pPr>
            <w:r>
              <w:t>0</w:t>
            </w:r>
          </w:p>
        </w:tc>
        <w:tc>
          <w:tcPr>
            <w:tcW w:w="0" w:type="auto"/>
          </w:tcPr>
          <w:p w14:paraId="3DAEEC73" w14:textId="526F95BF" w:rsidR="00631545" w:rsidRDefault="00631545" w:rsidP="00E31389">
            <w:pPr>
              <w:pStyle w:val="Tablecontent"/>
              <w:jc w:val="right"/>
            </w:pPr>
            <w:r>
              <w:t>0.32 (0.16, 0.7</w:t>
            </w:r>
            <w:r w:rsidR="002E44C2">
              <w:t>7</w:t>
            </w:r>
            <w:r>
              <w:t>)</w:t>
            </w:r>
          </w:p>
        </w:tc>
        <w:tc>
          <w:tcPr>
            <w:tcW w:w="0" w:type="auto"/>
          </w:tcPr>
          <w:p w14:paraId="174B1212" w14:textId="20ABC1F9" w:rsidR="00631545" w:rsidRPr="0039423C" w:rsidRDefault="00631545" w:rsidP="00E31389">
            <w:pPr>
              <w:pStyle w:val="Tablecontent"/>
              <w:jc w:val="right"/>
            </w:pPr>
            <w:r w:rsidRPr="0039423C">
              <w:t>60</w:t>
            </w:r>
          </w:p>
        </w:tc>
        <w:tc>
          <w:tcPr>
            <w:tcW w:w="0" w:type="auto"/>
          </w:tcPr>
          <w:p w14:paraId="481DA1EE" w14:textId="77777777" w:rsidR="00631545" w:rsidRDefault="00631545" w:rsidP="00E31389">
            <w:pPr>
              <w:pStyle w:val="Tablecontent"/>
              <w:jc w:val="right"/>
            </w:pPr>
            <w:r>
              <w:t>0</w:t>
            </w:r>
          </w:p>
        </w:tc>
        <w:tc>
          <w:tcPr>
            <w:tcW w:w="0" w:type="auto"/>
          </w:tcPr>
          <w:p w14:paraId="3A85B2E8" w14:textId="6723CFF4" w:rsidR="00631545" w:rsidRDefault="002E44C2" w:rsidP="00E31389">
            <w:pPr>
              <w:pStyle w:val="Tablecontent"/>
              <w:jc w:val="right"/>
            </w:pPr>
            <w:r>
              <w:t>58</w:t>
            </w:r>
          </w:p>
        </w:tc>
        <w:tc>
          <w:tcPr>
            <w:tcW w:w="0" w:type="auto"/>
          </w:tcPr>
          <w:p w14:paraId="4633FDD6" w14:textId="3393263D" w:rsidR="00631545" w:rsidRDefault="002E44C2" w:rsidP="00E31389">
            <w:pPr>
              <w:pStyle w:val="Tablecontent"/>
              <w:jc w:val="right"/>
            </w:pPr>
            <w:r>
              <w:t>41</w:t>
            </w:r>
          </w:p>
        </w:tc>
      </w:tr>
      <w:tr w:rsidR="00631545" w14:paraId="16FDF700" w14:textId="539DDDCC" w:rsidTr="00631545">
        <w:tc>
          <w:tcPr>
            <w:tcW w:w="0" w:type="auto"/>
          </w:tcPr>
          <w:p w14:paraId="3FD9042A" w14:textId="77777777" w:rsidR="00631545" w:rsidRDefault="00631545" w:rsidP="00E31389">
            <w:pPr>
              <w:pStyle w:val="Tablecontent"/>
            </w:pPr>
          </w:p>
        </w:tc>
        <w:tc>
          <w:tcPr>
            <w:tcW w:w="0" w:type="auto"/>
          </w:tcPr>
          <w:p w14:paraId="052D4810" w14:textId="77777777" w:rsidR="00631545" w:rsidRDefault="00631545" w:rsidP="00E31389">
            <w:pPr>
              <w:pStyle w:val="Tablecontent"/>
            </w:pPr>
          </w:p>
        </w:tc>
        <w:tc>
          <w:tcPr>
            <w:tcW w:w="0" w:type="auto"/>
          </w:tcPr>
          <w:p w14:paraId="6FF17B8C" w14:textId="22AF02DF" w:rsidR="00631545" w:rsidRDefault="00631545" w:rsidP="00E31389">
            <w:pPr>
              <w:pStyle w:val="Tablecontent"/>
              <w:ind w:left="246"/>
            </w:pPr>
            <w:r>
              <w:t>SU</w:t>
            </w:r>
            <w:r>
              <w:noBreakHyphen/>
              <w:t>EPA/DHA</w:t>
            </w:r>
          </w:p>
        </w:tc>
        <w:tc>
          <w:tcPr>
            <w:tcW w:w="0" w:type="auto"/>
          </w:tcPr>
          <w:p w14:paraId="3ECBE2CE" w14:textId="6BE8B851" w:rsidR="00631545" w:rsidRDefault="002E44C2" w:rsidP="00E31389">
            <w:pPr>
              <w:pStyle w:val="Tablecontent"/>
              <w:jc w:val="right"/>
            </w:pPr>
            <w:r>
              <w:t>352</w:t>
            </w:r>
          </w:p>
        </w:tc>
        <w:tc>
          <w:tcPr>
            <w:tcW w:w="0" w:type="auto"/>
          </w:tcPr>
          <w:p w14:paraId="0E9DB191" w14:textId="5CEF7692" w:rsidR="00631545" w:rsidRDefault="00631545" w:rsidP="00E31389">
            <w:pPr>
              <w:pStyle w:val="Tablecontent"/>
              <w:jc w:val="right"/>
            </w:pPr>
            <w:r>
              <w:t>0.</w:t>
            </w:r>
            <w:r w:rsidR="002E44C2">
              <w:t>20</w:t>
            </w:r>
            <w:r>
              <w:t xml:space="preserve"> (0.07, 0.4</w:t>
            </w:r>
            <w:r w:rsidR="002E44C2">
              <w:t>6</w:t>
            </w:r>
            <w:r>
              <w:t>)</w:t>
            </w:r>
          </w:p>
        </w:tc>
        <w:tc>
          <w:tcPr>
            <w:tcW w:w="0" w:type="auto"/>
          </w:tcPr>
          <w:p w14:paraId="13DC3A13" w14:textId="16F68E5B" w:rsidR="00631545" w:rsidRDefault="002E44C2" w:rsidP="00E31389">
            <w:pPr>
              <w:pStyle w:val="Tablecontent"/>
              <w:jc w:val="right"/>
            </w:pPr>
            <w:r>
              <w:t>75</w:t>
            </w:r>
          </w:p>
        </w:tc>
        <w:tc>
          <w:tcPr>
            <w:tcW w:w="0" w:type="auto"/>
          </w:tcPr>
          <w:p w14:paraId="34349761" w14:textId="77777777" w:rsidR="00631545" w:rsidRDefault="00631545" w:rsidP="00E31389">
            <w:pPr>
              <w:pStyle w:val="Tablecontent"/>
              <w:jc w:val="right"/>
            </w:pPr>
            <w:r>
              <w:t>0</w:t>
            </w:r>
          </w:p>
        </w:tc>
        <w:tc>
          <w:tcPr>
            <w:tcW w:w="0" w:type="auto"/>
          </w:tcPr>
          <w:p w14:paraId="0DBC7992" w14:textId="5E98C3E6" w:rsidR="00631545" w:rsidRDefault="00631545" w:rsidP="00E31389">
            <w:pPr>
              <w:pStyle w:val="Tablecontent"/>
              <w:jc w:val="right"/>
            </w:pPr>
            <w:r>
              <w:t>0.</w:t>
            </w:r>
            <w:r w:rsidR="002E44C2">
              <w:t>20</w:t>
            </w:r>
            <w:r>
              <w:t xml:space="preserve"> (0.07, 0.4</w:t>
            </w:r>
            <w:r w:rsidR="002E44C2">
              <w:t>6</w:t>
            </w:r>
            <w:r>
              <w:t>)</w:t>
            </w:r>
          </w:p>
        </w:tc>
        <w:tc>
          <w:tcPr>
            <w:tcW w:w="0" w:type="auto"/>
          </w:tcPr>
          <w:p w14:paraId="5677BD23" w14:textId="2C5992C4" w:rsidR="00631545" w:rsidRPr="0039423C" w:rsidRDefault="002E44C2" w:rsidP="00E31389">
            <w:pPr>
              <w:pStyle w:val="Tablecontent"/>
              <w:jc w:val="right"/>
            </w:pPr>
            <w:r w:rsidRPr="0039423C">
              <w:t>75</w:t>
            </w:r>
          </w:p>
        </w:tc>
        <w:tc>
          <w:tcPr>
            <w:tcW w:w="0" w:type="auto"/>
          </w:tcPr>
          <w:p w14:paraId="69740B58" w14:textId="77777777" w:rsidR="00631545" w:rsidRDefault="00631545" w:rsidP="00E31389">
            <w:pPr>
              <w:pStyle w:val="Tablecontent"/>
              <w:jc w:val="right"/>
            </w:pPr>
            <w:r>
              <w:t>0</w:t>
            </w:r>
          </w:p>
        </w:tc>
        <w:tc>
          <w:tcPr>
            <w:tcW w:w="0" w:type="auto"/>
          </w:tcPr>
          <w:p w14:paraId="7F21025E" w14:textId="5F6E9815" w:rsidR="00631545" w:rsidRDefault="002E44C2" w:rsidP="00E31389">
            <w:pPr>
              <w:pStyle w:val="Tablecontent"/>
              <w:jc w:val="right"/>
            </w:pPr>
            <w:r>
              <w:t>57</w:t>
            </w:r>
          </w:p>
        </w:tc>
        <w:tc>
          <w:tcPr>
            <w:tcW w:w="0" w:type="auto"/>
          </w:tcPr>
          <w:p w14:paraId="6A52B9E4" w14:textId="4F4E004E" w:rsidR="00631545" w:rsidRDefault="002E44C2" w:rsidP="00E31389">
            <w:pPr>
              <w:pStyle w:val="Tablecontent"/>
              <w:jc w:val="right"/>
            </w:pPr>
            <w:r>
              <w:t>57</w:t>
            </w:r>
          </w:p>
        </w:tc>
      </w:tr>
      <w:tr w:rsidR="00631545" w14:paraId="44704826" w14:textId="02B2576B" w:rsidTr="00631545">
        <w:tc>
          <w:tcPr>
            <w:tcW w:w="0" w:type="auto"/>
          </w:tcPr>
          <w:p w14:paraId="62D3F89E" w14:textId="77777777" w:rsidR="00631545" w:rsidRDefault="00631545" w:rsidP="00E31389">
            <w:pPr>
              <w:pStyle w:val="Tablecontent"/>
            </w:pPr>
          </w:p>
        </w:tc>
        <w:tc>
          <w:tcPr>
            <w:tcW w:w="0" w:type="auto"/>
          </w:tcPr>
          <w:p w14:paraId="2780AF0D" w14:textId="77777777" w:rsidR="00631545" w:rsidRDefault="00631545" w:rsidP="00E31389">
            <w:pPr>
              <w:pStyle w:val="Tablecontent"/>
            </w:pPr>
          </w:p>
        </w:tc>
        <w:tc>
          <w:tcPr>
            <w:tcW w:w="0" w:type="auto"/>
          </w:tcPr>
          <w:p w14:paraId="6A139B54" w14:textId="77777777" w:rsidR="00631545" w:rsidRDefault="00631545" w:rsidP="00E31389">
            <w:pPr>
              <w:pStyle w:val="Tablecontent"/>
              <w:ind w:left="246"/>
            </w:pPr>
            <w:r>
              <w:t>SU+EPA/DHA</w:t>
            </w:r>
          </w:p>
        </w:tc>
        <w:tc>
          <w:tcPr>
            <w:tcW w:w="0" w:type="auto"/>
          </w:tcPr>
          <w:p w14:paraId="694F4A3E" w14:textId="4F161122" w:rsidR="00631545" w:rsidRDefault="002E44C2" w:rsidP="00E31389">
            <w:pPr>
              <w:pStyle w:val="Tablecontent"/>
              <w:jc w:val="right"/>
            </w:pPr>
            <w:r>
              <w:t>933</w:t>
            </w:r>
          </w:p>
        </w:tc>
        <w:tc>
          <w:tcPr>
            <w:tcW w:w="0" w:type="auto"/>
          </w:tcPr>
          <w:p w14:paraId="65F70E69" w14:textId="77777777" w:rsidR="00631545" w:rsidRDefault="00631545" w:rsidP="00E31389">
            <w:pPr>
              <w:pStyle w:val="Tablecontent"/>
              <w:jc w:val="right"/>
            </w:pPr>
            <w:r>
              <w:t>0.18 (0.08, 0.45)</w:t>
            </w:r>
          </w:p>
        </w:tc>
        <w:tc>
          <w:tcPr>
            <w:tcW w:w="0" w:type="auto"/>
          </w:tcPr>
          <w:p w14:paraId="481C4B99" w14:textId="31E201F0" w:rsidR="00631545" w:rsidRDefault="00631545" w:rsidP="00E31389">
            <w:pPr>
              <w:pStyle w:val="Tablecontent"/>
              <w:jc w:val="right"/>
            </w:pPr>
            <w:r>
              <w:t>75</w:t>
            </w:r>
          </w:p>
        </w:tc>
        <w:tc>
          <w:tcPr>
            <w:tcW w:w="0" w:type="auto"/>
          </w:tcPr>
          <w:p w14:paraId="22BA10F0" w14:textId="77777777" w:rsidR="00631545" w:rsidRDefault="00631545" w:rsidP="00E31389">
            <w:pPr>
              <w:pStyle w:val="Tablecontent"/>
              <w:jc w:val="right"/>
            </w:pPr>
            <w:r>
              <w:t>0</w:t>
            </w:r>
          </w:p>
        </w:tc>
        <w:tc>
          <w:tcPr>
            <w:tcW w:w="0" w:type="auto"/>
          </w:tcPr>
          <w:p w14:paraId="2CFBD225" w14:textId="77777777" w:rsidR="00631545" w:rsidRDefault="00631545" w:rsidP="00E31389">
            <w:pPr>
              <w:pStyle w:val="Tablecontent"/>
              <w:jc w:val="right"/>
            </w:pPr>
            <w:r>
              <w:t>0.38 (0.19, 0.92)</w:t>
            </w:r>
          </w:p>
        </w:tc>
        <w:tc>
          <w:tcPr>
            <w:tcW w:w="0" w:type="auto"/>
          </w:tcPr>
          <w:p w14:paraId="5FE3165D" w14:textId="69A611D1" w:rsidR="00631545" w:rsidRPr="0039423C" w:rsidRDefault="00631545" w:rsidP="589C4AF9">
            <w:pPr>
              <w:pStyle w:val="Tablecontent"/>
              <w:jc w:val="right"/>
              <w:rPr>
                <w:bCs/>
              </w:rPr>
            </w:pPr>
            <w:r w:rsidRPr="0039423C">
              <w:rPr>
                <w:bCs/>
              </w:rPr>
              <w:t>55</w:t>
            </w:r>
          </w:p>
        </w:tc>
        <w:tc>
          <w:tcPr>
            <w:tcW w:w="0" w:type="auto"/>
          </w:tcPr>
          <w:p w14:paraId="55C3BA76" w14:textId="77777777" w:rsidR="00631545" w:rsidRDefault="00631545" w:rsidP="00E31389">
            <w:pPr>
              <w:pStyle w:val="Tablecontent"/>
              <w:jc w:val="right"/>
            </w:pPr>
            <w:r>
              <w:t>0</w:t>
            </w:r>
          </w:p>
        </w:tc>
        <w:tc>
          <w:tcPr>
            <w:tcW w:w="0" w:type="auto"/>
          </w:tcPr>
          <w:p w14:paraId="234704BA" w14:textId="2E651574" w:rsidR="00631545" w:rsidRDefault="002E44C2" w:rsidP="00E31389">
            <w:pPr>
              <w:pStyle w:val="Tablecontent"/>
              <w:jc w:val="right"/>
            </w:pPr>
            <w:r>
              <w:t>59</w:t>
            </w:r>
          </w:p>
        </w:tc>
        <w:tc>
          <w:tcPr>
            <w:tcW w:w="0" w:type="auto"/>
          </w:tcPr>
          <w:p w14:paraId="0ED05374" w14:textId="2A0AE3A7" w:rsidR="00631545" w:rsidRDefault="002E44C2" w:rsidP="00E31389">
            <w:pPr>
              <w:pStyle w:val="Tablecontent"/>
              <w:jc w:val="right"/>
            </w:pPr>
            <w:r>
              <w:t>35</w:t>
            </w:r>
          </w:p>
        </w:tc>
      </w:tr>
      <w:tr w:rsidR="00631545" w14:paraId="46FC4A0D" w14:textId="691E49BB" w:rsidTr="00631545">
        <w:tc>
          <w:tcPr>
            <w:tcW w:w="0" w:type="auto"/>
          </w:tcPr>
          <w:p w14:paraId="4DC2ECC6" w14:textId="77777777" w:rsidR="00631545" w:rsidRDefault="00631545" w:rsidP="00E31389">
            <w:pPr>
              <w:pStyle w:val="Tablecontent"/>
            </w:pPr>
          </w:p>
        </w:tc>
        <w:tc>
          <w:tcPr>
            <w:tcW w:w="0" w:type="auto"/>
          </w:tcPr>
          <w:p w14:paraId="79796693" w14:textId="77777777" w:rsidR="00631545" w:rsidRDefault="00631545" w:rsidP="00E31389">
            <w:pPr>
              <w:pStyle w:val="Tablecontent"/>
            </w:pPr>
          </w:p>
        </w:tc>
        <w:tc>
          <w:tcPr>
            <w:tcW w:w="0" w:type="auto"/>
          </w:tcPr>
          <w:p w14:paraId="47297C67" w14:textId="77777777" w:rsidR="00631545" w:rsidRDefault="00631545" w:rsidP="00E31389">
            <w:pPr>
              <w:pStyle w:val="Tablecontent"/>
            </w:pPr>
          </w:p>
        </w:tc>
        <w:tc>
          <w:tcPr>
            <w:tcW w:w="0" w:type="auto"/>
          </w:tcPr>
          <w:p w14:paraId="048740F3" w14:textId="77777777" w:rsidR="00631545" w:rsidRDefault="00631545" w:rsidP="00E31389">
            <w:pPr>
              <w:pStyle w:val="Tablecontent"/>
              <w:jc w:val="right"/>
            </w:pPr>
          </w:p>
        </w:tc>
        <w:tc>
          <w:tcPr>
            <w:tcW w:w="0" w:type="auto"/>
          </w:tcPr>
          <w:p w14:paraId="51371A77" w14:textId="77777777" w:rsidR="00631545" w:rsidRDefault="00631545" w:rsidP="00E31389">
            <w:pPr>
              <w:pStyle w:val="Tablecontent"/>
              <w:jc w:val="right"/>
            </w:pPr>
          </w:p>
        </w:tc>
        <w:tc>
          <w:tcPr>
            <w:tcW w:w="0" w:type="auto"/>
          </w:tcPr>
          <w:p w14:paraId="732434A0" w14:textId="7B705D35" w:rsidR="00631545" w:rsidRDefault="00631545" w:rsidP="00E31389">
            <w:pPr>
              <w:pStyle w:val="Tablecontent"/>
              <w:jc w:val="right"/>
            </w:pPr>
          </w:p>
        </w:tc>
        <w:tc>
          <w:tcPr>
            <w:tcW w:w="0" w:type="auto"/>
          </w:tcPr>
          <w:p w14:paraId="2328BB07" w14:textId="77777777" w:rsidR="00631545" w:rsidRDefault="00631545" w:rsidP="00E31389">
            <w:pPr>
              <w:pStyle w:val="Tablecontent"/>
              <w:jc w:val="right"/>
            </w:pPr>
          </w:p>
        </w:tc>
        <w:tc>
          <w:tcPr>
            <w:tcW w:w="0" w:type="auto"/>
          </w:tcPr>
          <w:p w14:paraId="256AC6DA" w14:textId="77777777" w:rsidR="00631545" w:rsidRDefault="00631545" w:rsidP="00E31389">
            <w:pPr>
              <w:pStyle w:val="Tablecontent"/>
              <w:jc w:val="right"/>
            </w:pPr>
          </w:p>
        </w:tc>
        <w:tc>
          <w:tcPr>
            <w:tcW w:w="0" w:type="auto"/>
          </w:tcPr>
          <w:p w14:paraId="38AA98D6" w14:textId="45E9E47A" w:rsidR="00631545" w:rsidRPr="0039423C" w:rsidRDefault="00631545" w:rsidP="00E31389">
            <w:pPr>
              <w:pStyle w:val="Tablecontent"/>
              <w:jc w:val="right"/>
            </w:pPr>
          </w:p>
        </w:tc>
        <w:tc>
          <w:tcPr>
            <w:tcW w:w="0" w:type="auto"/>
          </w:tcPr>
          <w:p w14:paraId="665A1408" w14:textId="77777777" w:rsidR="00631545" w:rsidRDefault="00631545" w:rsidP="00E31389">
            <w:pPr>
              <w:pStyle w:val="Tablecontent"/>
              <w:jc w:val="right"/>
            </w:pPr>
          </w:p>
        </w:tc>
        <w:tc>
          <w:tcPr>
            <w:tcW w:w="0" w:type="auto"/>
          </w:tcPr>
          <w:p w14:paraId="1B234B3B" w14:textId="77777777" w:rsidR="00631545" w:rsidRDefault="00631545" w:rsidP="00E31389">
            <w:pPr>
              <w:pStyle w:val="Tablecontent"/>
              <w:jc w:val="right"/>
            </w:pPr>
          </w:p>
        </w:tc>
        <w:tc>
          <w:tcPr>
            <w:tcW w:w="0" w:type="auto"/>
          </w:tcPr>
          <w:p w14:paraId="49FF6B71" w14:textId="77777777" w:rsidR="00631545" w:rsidRDefault="00631545" w:rsidP="00E31389">
            <w:pPr>
              <w:pStyle w:val="Tablecontent"/>
              <w:jc w:val="right"/>
            </w:pPr>
          </w:p>
        </w:tc>
      </w:tr>
      <w:tr w:rsidR="00631545" w14:paraId="243CD073" w14:textId="66C9A617" w:rsidTr="00631545">
        <w:tc>
          <w:tcPr>
            <w:tcW w:w="0" w:type="auto"/>
          </w:tcPr>
          <w:p w14:paraId="73C6AFCA" w14:textId="77777777" w:rsidR="00631545" w:rsidRDefault="00631545" w:rsidP="00E31389">
            <w:pPr>
              <w:pStyle w:val="Tablecontent"/>
            </w:pPr>
            <w:r>
              <w:t>Women</w:t>
            </w:r>
          </w:p>
        </w:tc>
        <w:tc>
          <w:tcPr>
            <w:tcW w:w="0" w:type="auto"/>
          </w:tcPr>
          <w:p w14:paraId="6EFC8F43" w14:textId="72DEF238" w:rsidR="00631545" w:rsidRDefault="00631545" w:rsidP="00E31389">
            <w:pPr>
              <w:pStyle w:val="Tablecontent"/>
            </w:pPr>
            <w:r>
              <w:t>39-64</w:t>
            </w:r>
          </w:p>
        </w:tc>
        <w:tc>
          <w:tcPr>
            <w:tcW w:w="0" w:type="auto"/>
          </w:tcPr>
          <w:p w14:paraId="1216FCE5" w14:textId="77777777" w:rsidR="00631545" w:rsidRDefault="00631545" w:rsidP="00E31389">
            <w:pPr>
              <w:pStyle w:val="Tablecontent"/>
            </w:pPr>
            <w:r>
              <w:t>ALL</w:t>
            </w:r>
          </w:p>
        </w:tc>
        <w:tc>
          <w:tcPr>
            <w:tcW w:w="0" w:type="auto"/>
          </w:tcPr>
          <w:p w14:paraId="3F95E6C3" w14:textId="37453591" w:rsidR="00631545" w:rsidRDefault="00D90963" w:rsidP="00E31389">
            <w:pPr>
              <w:pStyle w:val="Tablecontent"/>
              <w:jc w:val="right"/>
            </w:pPr>
            <w:r>
              <w:t>8776</w:t>
            </w:r>
          </w:p>
        </w:tc>
        <w:tc>
          <w:tcPr>
            <w:tcW w:w="0" w:type="auto"/>
          </w:tcPr>
          <w:p w14:paraId="21544843" w14:textId="77777777" w:rsidR="00631545" w:rsidRDefault="00631545" w:rsidP="00E31389">
            <w:pPr>
              <w:pStyle w:val="Tablecontent"/>
              <w:jc w:val="right"/>
            </w:pPr>
            <w:r>
              <w:t>0.11 (0.05, 0.30)</w:t>
            </w:r>
          </w:p>
        </w:tc>
        <w:tc>
          <w:tcPr>
            <w:tcW w:w="0" w:type="auto"/>
          </w:tcPr>
          <w:p w14:paraId="31B2963F" w14:textId="509E4976" w:rsidR="00631545" w:rsidRDefault="00631545" w:rsidP="00E31389">
            <w:pPr>
              <w:pStyle w:val="Tablecontent"/>
              <w:jc w:val="right"/>
            </w:pPr>
            <w:r>
              <w:t>84</w:t>
            </w:r>
          </w:p>
        </w:tc>
        <w:tc>
          <w:tcPr>
            <w:tcW w:w="0" w:type="auto"/>
          </w:tcPr>
          <w:p w14:paraId="50BD7287" w14:textId="77777777" w:rsidR="00631545" w:rsidRDefault="00631545" w:rsidP="00E31389">
            <w:pPr>
              <w:pStyle w:val="Tablecontent"/>
              <w:jc w:val="right"/>
            </w:pPr>
            <w:r>
              <w:t>0</w:t>
            </w:r>
          </w:p>
        </w:tc>
        <w:tc>
          <w:tcPr>
            <w:tcW w:w="0" w:type="auto"/>
          </w:tcPr>
          <w:p w14:paraId="310884E0" w14:textId="77777777" w:rsidR="00631545" w:rsidRDefault="00631545" w:rsidP="00E31389">
            <w:pPr>
              <w:pStyle w:val="Tablecontent"/>
              <w:jc w:val="right"/>
            </w:pPr>
            <w:r>
              <w:t>0.15 (0.07, 0.36)</w:t>
            </w:r>
          </w:p>
        </w:tc>
        <w:tc>
          <w:tcPr>
            <w:tcW w:w="0" w:type="auto"/>
          </w:tcPr>
          <w:p w14:paraId="041B1CAB" w14:textId="4454BE53" w:rsidR="00631545" w:rsidRPr="0039423C" w:rsidRDefault="00631545" w:rsidP="00E31389">
            <w:pPr>
              <w:pStyle w:val="Tablecontent"/>
              <w:jc w:val="right"/>
            </w:pPr>
            <w:r w:rsidRPr="0039423C">
              <w:t>80</w:t>
            </w:r>
          </w:p>
        </w:tc>
        <w:tc>
          <w:tcPr>
            <w:tcW w:w="0" w:type="auto"/>
          </w:tcPr>
          <w:p w14:paraId="52ECD0D9" w14:textId="77777777" w:rsidR="00631545" w:rsidRDefault="00631545" w:rsidP="00E31389">
            <w:pPr>
              <w:pStyle w:val="Tablecontent"/>
              <w:jc w:val="right"/>
            </w:pPr>
            <w:r>
              <w:t>0</w:t>
            </w:r>
          </w:p>
        </w:tc>
        <w:tc>
          <w:tcPr>
            <w:tcW w:w="0" w:type="auto"/>
          </w:tcPr>
          <w:p w14:paraId="7B454B41" w14:textId="1EAD56D2" w:rsidR="00631545" w:rsidRDefault="00D90963" w:rsidP="00E31389">
            <w:pPr>
              <w:pStyle w:val="Tablecontent"/>
              <w:jc w:val="right"/>
            </w:pPr>
            <w:r>
              <w:t>71</w:t>
            </w:r>
          </w:p>
        </w:tc>
        <w:tc>
          <w:tcPr>
            <w:tcW w:w="0" w:type="auto"/>
          </w:tcPr>
          <w:p w14:paraId="60F5AA9A" w14:textId="43843AFA" w:rsidR="00631545" w:rsidRDefault="00D90963" w:rsidP="00E31389">
            <w:pPr>
              <w:pStyle w:val="Tablecontent"/>
              <w:jc w:val="right"/>
            </w:pPr>
            <w:r>
              <w:t>66</w:t>
            </w:r>
          </w:p>
        </w:tc>
      </w:tr>
      <w:tr w:rsidR="00631545" w14:paraId="65165EC7" w14:textId="4B9EC583" w:rsidTr="00631545">
        <w:tc>
          <w:tcPr>
            <w:tcW w:w="0" w:type="auto"/>
          </w:tcPr>
          <w:p w14:paraId="71049383" w14:textId="77777777" w:rsidR="00631545" w:rsidRDefault="00631545" w:rsidP="00E31389">
            <w:pPr>
              <w:pStyle w:val="Tablecontent"/>
            </w:pPr>
          </w:p>
        </w:tc>
        <w:tc>
          <w:tcPr>
            <w:tcW w:w="0" w:type="auto"/>
          </w:tcPr>
          <w:p w14:paraId="4D16AC41" w14:textId="77777777" w:rsidR="00631545" w:rsidRDefault="00631545" w:rsidP="00E31389">
            <w:pPr>
              <w:pStyle w:val="Tablecontent"/>
            </w:pPr>
          </w:p>
        </w:tc>
        <w:tc>
          <w:tcPr>
            <w:tcW w:w="0" w:type="auto"/>
          </w:tcPr>
          <w:p w14:paraId="6E5F8111" w14:textId="77777777" w:rsidR="00631545" w:rsidRDefault="00631545" w:rsidP="00E31389">
            <w:pPr>
              <w:pStyle w:val="Tablecontent"/>
              <w:ind w:left="104"/>
            </w:pPr>
            <w:r>
              <w:t>NSU</w:t>
            </w:r>
          </w:p>
        </w:tc>
        <w:tc>
          <w:tcPr>
            <w:tcW w:w="0" w:type="auto"/>
          </w:tcPr>
          <w:p w14:paraId="0175E0EC" w14:textId="33666B41" w:rsidR="00631545" w:rsidRDefault="00D90963" w:rsidP="00E31389">
            <w:pPr>
              <w:pStyle w:val="Tablecontent"/>
              <w:jc w:val="right"/>
            </w:pPr>
            <w:r>
              <w:t>4822</w:t>
            </w:r>
          </w:p>
        </w:tc>
        <w:tc>
          <w:tcPr>
            <w:tcW w:w="0" w:type="auto"/>
          </w:tcPr>
          <w:p w14:paraId="2704B647" w14:textId="77777777" w:rsidR="00631545" w:rsidRDefault="00631545" w:rsidP="00E31389">
            <w:pPr>
              <w:pStyle w:val="Tablecontent"/>
              <w:jc w:val="right"/>
            </w:pPr>
            <w:r>
              <w:t>0.10 (0.05, 0.27)</w:t>
            </w:r>
          </w:p>
        </w:tc>
        <w:tc>
          <w:tcPr>
            <w:tcW w:w="0" w:type="auto"/>
          </w:tcPr>
          <w:p w14:paraId="4894D1EF" w14:textId="1B11DC25" w:rsidR="00631545" w:rsidRDefault="00631545" w:rsidP="00E31389">
            <w:pPr>
              <w:pStyle w:val="Tablecontent"/>
              <w:jc w:val="right"/>
            </w:pPr>
            <w:r>
              <w:t>86</w:t>
            </w:r>
          </w:p>
        </w:tc>
        <w:tc>
          <w:tcPr>
            <w:tcW w:w="0" w:type="auto"/>
          </w:tcPr>
          <w:p w14:paraId="1FAB9ECC" w14:textId="77777777" w:rsidR="00631545" w:rsidRDefault="00631545" w:rsidP="00E31389">
            <w:pPr>
              <w:pStyle w:val="Tablecontent"/>
              <w:jc w:val="right"/>
            </w:pPr>
            <w:r>
              <w:t>0</w:t>
            </w:r>
          </w:p>
        </w:tc>
        <w:tc>
          <w:tcPr>
            <w:tcW w:w="0" w:type="auto"/>
          </w:tcPr>
          <w:p w14:paraId="2F63DD10" w14:textId="77777777" w:rsidR="00631545" w:rsidRDefault="00631545" w:rsidP="00E31389">
            <w:pPr>
              <w:pStyle w:val="Tablecontent"/>
              <w:jc w:val="right"/>
            </w:pPr>
            <w:r>
              <w:t>0.10 (0.05, 0.27)</w:t>
            </w:r>
          </w:p>
        </w:tc>
        <w:tc>
          <w:tcPr>
            <w:tcW w:w="0" w:type="auto"/>
          </w:tcPr>
          <w:p w14:paraId="41912DA8" w14:textId="2A38F547" w:rsidR="00631545" w:rsidRPr="0039423C" w:rsidRDefault="00631545" w:rsidP="00E31389">
            <w:pPr>
              <w:pStyle w:val="Tablecontent"/>
              <w:jc w:val="right"/>
            </w:pPr>
            <w:r w:rsidRPr="0039423C">
              <w:t>86</w:t>
            </w:r>
          </w:p>
        </w:tc>
        <w:tc>
          <w:tcPr>
            <w:tcW w:w="0" w:type="auto"/>
          </w:tcPr>
          <w:p w14:paraId="35306EB0" w14:textId="77777777" w:rsidR="00631545" w:rsidRDefault="00631545" w:rsidP="00E31389">
            <w:pPr>
              <w:pStyle w:val="Tablecontent"/>
              <w:jc w:val="right"/>
            </w:pPr>
            <w:r>
              <w:t>0</w:t>
            </w:r>
          </w:p>
        </w:tc>
        <w:tc>
          <w:tcPr>
            <w:tcW w:w="0" w:type="auto"/>
          </w:tcPr>
          <w:p w14:paraId="39C229FC" w14:textId="163ADEF3" w:rsidR="00631545" w:rsidRDefault="00D90963" w:rsidP="00E31389">
            <w:pPr>
              <w:pStyle w:val="Tablecontent"/>
              <w:jc w:val="right"/>
            </w:pPr>
            <w:r>
              <w:t>73</w:t>
            </w:r>
          </w:p>
        </w:tc>
        <w:tc>
          <w:tcPr>
            <w:tcW w:w="0" w:type="auto"/>
          </w:tcPr>
          <w:p w14:paraId="250C1E30" w14:textId="102AE841" w:rsidR="00631545" w:rsidRDefault="00D90963" w:rsidP="00E31389">
            <w:pPr>
              <w:pStyle w:val="Tablecontent"/>
              <w:jc w:val="right"/>
            </w:pPr>
            <w:r>
              <w:t>73</w:t>
            </w:r>
          </w:p>
        </w:tc>
      </w:tr>
      <w:tr w:rsidR="00631545" w14:paraId="6A32862B" w14:textId="5CEEEAFB" w:rsidTr="00631545">
        <w:tc>
          <w:tcPr>
            <w:tcW w:w="0" w:type="auto"/>
          </w:tcPr>
          <w:p w14:paraId="12A4EA11" w14:textId="77777777" w:rsidR="00631545" w:rsidRDefault="00631545" w:rsidP="00E31389">
            <w:pPr>
              <w:pStyle w:val="Tablecontent"/>
            </w:pPr>
          </w:p>
        </w:tc>
        <w:tc>
          <w:tcPr>
            <w:tcW w:w="0" w:type="auto"/>
          </w:tcPr>
          <w:p w14:paraId="5A1EA135" w14:textId="77777777" w:rsidR="00631545" w:rsidRDefault="00631545" w:rsidP="00E31389">
            <w:pPr>
              <w:pStyle w:val="Tablecontent"/>
            </w:pPr>
          </w:p>
        </w:tc>
        <w:tc>
          <w:tcPr>
            <w:tcW w:w="0" w:type="auto"/>
          </w:tcPr>
          <w:p w14:paraId="455AB2C4" w14:textId="77777777" w:rsidR="00631545" w:rsidRDefault="00631545" w:rsidP="00E31389">
            <w:pPr>
              <w:pStyle w:val="Tablecontent"/>
              <w:ind w:left="104"/>
            </w:pPr>
            <w:r>
              <w:t>SU</w:t>
            </w:r>
          </w:p>
        </w:tc>
        <w:tc>
          <w:tcPr>
            <w:tcW w:w="0" w:type="auto"/>
          </w:tcPr>
          <w:p w14:paraId="42BF6ACD" w14:textId="4ECA4F21" w:rsidR="00631545" w:rsidRDefault="00631545" w:rsidP="00E31389">
            <w:pPr>
              <w:pStyle w:val="Tablecontent"/>
              <w:jc w:val="right"/>
            </w:pPr>
            <w:r>
              <w:t>39</w:t>
            </w:r>
            <w:r w:rsidR="00D90963">
              <w:t>54</w:t>
            </w:r>
          </w:p>
        </w:tc>
        <w:tc>
          <w:tcPr>
            <w:tcW w:w="0" w:type="auto"/>
          </w:tcPr>
          <w:p w14:paraId="5701F653" w14:textId="77777777" w:rsidR="00631545" w:rsidRDefault="00631545" w:rsidP="00E31389">
            <w:pPr>
              <w:pStyle w:val="Tablecontent"/>
              <w:jc w:val="right"/>
            </w:pPr>
            <w:r>
              <w:t>0.12 (0.06, 0.35)</w:t>
            </w:r>
          </w:p>
        </w:tc>
        <w:tc>
          <w:tcPr>
            <w:tcW w:w="0" w:type="auto"/>
          </w:tcPr>
          <w:p w14:paraId="4E47E564" w14:textId="3E83FC5B" w:rsidR="00631545" w:rsidRDefault="00631545" w:rsidP="00E31389">
            <w:pPr>
              <w:pStyle w:val="Tablecontent"/>
              <w:jc w:val="right"/>
            </w:pPr>
            <w:r>
              <w:t>82</w:t>
            </w:r>
          </w:p>
        </w:tc>
        <w:tc>
          <w:tcPr>
            <w:tcW w:w="0" w:type="auto"/>
          </w:tcPr>
          <w:p w14:paraId="2EAC5A90" w14:textId="77777777" w:rsidR="00631545" w:rsidRDefault="00631545" w:rsidP="00E31389">
            <w:pPr>
              <w:pStyle w:val="Tablecontent"/>
              <w:jc w:val="right"/>
            </w:pPr>
            <w:r>
              <w:t>0</w:t>
            </w:r>
          </w:p>
        </w:tc>
        <w:tc>
          <w:tcPr>
            <w:tcW w:w="0" w:type="auto"/>
          </w:tcPr>
          <w:p w14:paraId="52F8CB83" w14:textId="77777777" w:rsidR="00631545" w:rsidRDefault="00631545" w:rsidP="00E31389">
            <w:pPr>
              <w:pStyle w:val="Tablecontent"/>
              <w:jc w:val="right"/>
            </w:pPr>
            <w:r>
              <w:t>0.20 (0.10, 0.48)</w:t>
            </w:r>
          </w:p>
        </w:tc>
        <w:tc>
          <w:tcPr>
            <w:tcW w:w="0" w:type="auto"/>
          </w:tcPr>
          <w:p w14:paraId="1DA6A632" w14:textId="6CEEFFDF" w:rsidR="00631545" w:rsidRPr="0039423C" w:rsidRDefault="00631545" w:rsidP="00E31389">
            <w:pPr>
              <w:pStyle w:val="Tablecontent"/>
              <w:jc w:val="right"/>
            </w:pPr>
            <w:r w:rsidRPr="0039423C">
              <w:t>73</w:t>
            </w:r>
          </w:p>
        </w:tc>
        <w:tc>
          <w:tcPr>
            <w:tcW w:w="0" w:type="auto"/>
          </w:tcPr>
          <w:p w14:paraId="26EE7DBF" w14:textId="77777777" w:rsidR="00631545" w:rsidRDefault="00631545" w:rsidP="00E31389">
            <w:pPr>
              <w:pStyle w:val="Tablecontent"/>
              <w:jc w:val="right"/>
            </w:pPr>
            <w:r>
              <w:t>0</w:t>
            </w:r>
          </w:p>
        </w:tc>
        <w:tc>
          <w:tcPr>
            <w:tcW w:w="0" w:type="auto"/>
          </w:tcPr>
          <w:p w14:paraId="4550A67F" w14:textId="3E4035AA" w:rsidR="00631545" w:rsidRDefault="00D90963" w:rsidP="00E31389">
            <w:pPr>
              <w:pStyle w:val="Tablecontent"/>
              <w:jc w:val="right"/>
            </w:pPr>
            <w:r>
              <w:t>68</w:t>
            </w:r>
          </w:p>
        </w:tc>
        <w:tc>
          <w:tcPr>
            <w:tcW w:w="0" w:type="auto"/>
          </w:tcPr>
          <w:p w14:paraId="54B98D54" w14:textId="7C0BF651" w:rsidR="00631545" w:rsidRDefault="00D90963" w:rsidP="00E31389">
            <w:pPr>
              <w:pStyle w:val="Tablecontent"/>
              <w:jc w:val="right"/>
            </w:pPr>
            <w:r>
              <w:t>57</w:t>
            </w:r>
          </w:p>
        </w:tc>
      </w:tr>
      <w:tr w:rsidR="00631545" w14:paraId="6EB2C034" w14:textId="6D6FA9CD" w:rsidTr="00631545">
        <w:tc>
          <w:tcPr>
            <w:tcW w:w="0" w:type="auto"/>
          </w:tcPr>
          <w:p w14:paraId="58717D39" w14:textId="77777777" w:rsidR="00631545" w:rsidRDefault="00631545" w:rsidP="00E31389">
            <w:pPr>
              <w:pStyle w:val="Tablecontent"/>
            </w:pPr>
          </w:p>
        </w:tc>
        <w:tc>
          <w:tcPr>
            <w:tcW w:w="0" w:type="auto"/>
          </w:tcPr>
          <w:p w14:paraId="5338A720" w14:textId="77777777" w:rsidR="00631545" w:rsidRDefault="00631545" w:rsidP="00E31389">
            <w:pPr>
              <w:pStyle w:val="Tablecontent"/>
            </w:pPr>
          </w:p>
        </w:tc>
        <w:tc>
          <w:tcPr>
            <w:tcW w:w="0" w:type="auto"/>
          </w:tcPr>
          <w:p w14:paraId="3D2401AF" w14:textId="2F0DF423" w:rsidR="00631545" w:rsidRDefault="00631545" w:rsidP="00E31389">
            <w:pPr>
              <w:pStyle w:val="Tablecontent"/>
              <w:ind w:left="246"/>
            </w:pPr>
            <w:r>
              <w:t>SU</w:t>
            </w:r>
            <w:r>
              <w:noBreakHyphen/>
              <w:t>EPA/DHA</w:t>
            </w:r>
          </w:p>
        </w:tc>
        <w:tc>
          <w:tcPr>
            <w:tcW w:w="0" w:type="auto"/>
          </w:tcPr>
          <w:p w14:paraId="4120083D" w14:textId="4B67755A" w:rsidR="00631545" w:rsidRDefault="00631545" w:rsidP="00E31389">
            <w:pPr>
              <w:pStyle w:val="Tablecontent"/>
              <w:jc w:val="right"/>
            </w:pPr>
            <w:r>
              <w:t>17</w:t>
            </w:r>
            <w:r w:rsidR="00D90963">
              <w:t>67</w:t>
            </w:r>
          </w:p>
        </w:tc>
        <w:tc>
          <w:tcPr>
            <w:tcW w:w="0" w:type="auto"/>
          </w:tcPr>
          <w:p w14:paraId="12A63BBF" w14:textId="77777777" w:rsidR="00631545" w:rsidRDefault="00631545" w:rsidP="00E31389">
            <w:pPr>
              <w:pStyle w:val="Tablecontent"/>
              <w:jc w:val="right"/>
            </w:pPr>
            <w:r>
              <w:t>0.11 (0.05, 0.32)</w:t>
            </w:r>
          </w:p>
        </w:tc>
        <w:tc>
          <w:tcPr>
            <w:tcW w:w="0" w:type="auto"/>
          </w:tcPr>
          <w:p w14:paraId="702436C1" w14:textId="6E16C363" w:rsidR="00631545" w:rsidRDefault="00631545" w:rsidP="00E31389">
            <w:pPr>
              <w:pStyle w:val="Tablecontent"/>
              <w:jc w:val="right"/>
            </w:pPr>
            <w:r>
              <w:t>83</w:t>
            </w:r>
          </w:p>
        </w:tc>
        <w:tc>
          <w:tcPr>
            <w:tcW w:w="0" w:type="auto"/>
          </w:tcPr>
          <w:p w14:paraId="5C0A68D0" w14:textId="77777777" w:rsidR="00631545" w:rsidRDefault="00631545" w:rsidP="00E31389">
            <w:pPr>
              <w:pStyle w:val="Tablecontent"/>
              <w:jc w:val="right"/>
            </w:pPr>
            <w:r>
              <w:t>0</w:t>
            </w:r>
          </w:p>
        </w:tc>
        <w:tc>
          <w:tcPr>
            <w:tcW w:w="0" w:type="auto"/>
          </w:tcPr>
          <w:p w14:paraId="1FA83BD4" w14:textId="77777777" w:rsidR="00631545" w:rsidRDefault="00631545" w:rsidP="00E31389">
            <w:pPr>
              <w:pStyle w:val="Tablecontent"/>
              <w:jc w:val="right"/>
            </w:pPr>
            <w:r>
              <w:t>0.11 (0.05, 0.32)</w:t>
            </w:r>
          </w:p>
        </w:tc>
        <w:tc>
          <w:tcPr>
            <w:tcW w:w="0" w:type="auto"/>
          </w:tcPr>
          <w:p w14:paraId="53D399F2" w14:textId="15FA30FB" w:rsidR="00631545" w:rsidRPr="0039423C" w:rsidRDefault="00631545" w:rsidP="00E31389">
            <w:pPr>
              <w:pStyle w:val="Tablecontent"/>
              <w:jc w:val="right"/>
            </w:pPr>
            <w:r w:rsidRPr="0039423C">
              <w:t>83</w:t>
            </w:r>
          </w:p>
        </w:tc>
        <w:tc>
          <w:tcPr>
            <w:tcW w:w="0" w:type="auto"/>
          </w:tcPr>
          <w:p w14:paraId="139BF1F3" w14:textId="77777777" w:rsidR="00631545" w:rsidRDefault="00631545" w:rsidP="00E31389">
            <w:pPr>
              <w:pStyle w:val="Tablecontent"/>
              <w:jc w:val="right"/>
            </w:pPr>
            <w:r>
              <w:t>0</w:t>
            </w:r>
          </w:p>
        </w:tc>
        <w:tc>
          <w:tcPr>
            <w:tcW w:w="0" w:type="auto"/>
          </w:tcPr>
          <w:p w14:paraId="7FC5D5BE" w14:textId="5704A2CC" w:rsidR="00631545" w:rsidRDefault="00D90963" w:rsidP="00E31389">
            <w:pPr>
              <w:pStyle w:val="Tablecontent"/>
              <w:jc w:val="right"/>
            </w:pPr>
            <w:r>
              <w:t>70</w:t>
            </w:r>
          </w:p>
        </w:tc>
        <w:tc>
          <w:tcPr>
            <w:tcW w:w="0" w:type="auto"/>
          </w:tcPr>
          <w:p w14:paraId="6FD218F4" w14:textId="09C8596D" w:rsidR="00631545" w:rsidRDefault="00D90963" w:rsidP="00E31389">
            <w:pPr>
              <w:pStyle w:val="Tablecontent"/>
              <w:jc w:val="right"/>
            </w:pPr>
            <w:r>
              <w:t>70</w:t>
            </w:r>
          </w:p>
        </w:tc>
      </w:tr>
      <w:tr w:rsidR="00631545" w14:paraId="552FD760" w14:textId="6A142FAA" w:rsidTr="00631545">
        <w:tc>
          <w:tcPr>
            <w:tcW w:w="0" w:type="auto"/>
          </w:tcPr>
          <w:p w14:paraId="61DAA4D5" w14:textId="77777777" w:rsidR="00631545" w:rsidRDefault="00631545" w:rsidP="00631545">
            <w:pPr>
              <w:pStyle w:val="Tablecontent"/>
            </w:pPr>
          </w:p>
        </w:tc>
        <w:tc>
          <w:tcPr>
            <w:tcW w:w="0" w:type="auto"/>
          </w:tcPr>
          <w:p w14:paraId="2AEAF47F" w14:textId="77777777" w:rsidR="00631545" w:rsidRDefault="00631545" w:rsidP="00631545">
            <w:pPr>
              <w:pStyle w:val="Tablecontent"/>
            </w:pPr>
          </w:p>
        </w:tc>
        <w:tc>
          <w:tcPr>
            <w:tcW w:w="0" w:type="auto"/>
          </w:tcPr>
          <w:p w14:paraId="2D5069A5" w14:textId="77777777" w:rsidR="00631545" w:rsidRDefault="00631545" w:rsidP="00631545">
            <w:pPr>
              <w:pStyle w:val="Tablecontent"/>
              <w:ind w:left="246"/>
            </w:pPr>
            <w:r>
              <w:t>SU+EPA/DHA</w:t>
            </w:r>
          </w:p>
        </w:tc>
        <w:tc>
          <w:tcPr>
            <w:tcW w:w="0" w:type="auto"/>
          </w:tcPr>
          <w:p w14:paraId="58408844" w14:textId="38E703E0" w:rsidR="00631545" w:rsidRDefault="00631545" w:rsidP="00631545">
            <w:pPr>
              <w:pStyle w:val="Tablecontent"/>
              <w:jc w:val="right"/>
            </w:pPr>
            <w:r>
              <w:t>21</w:t>
            </w:r>
            <w:r w:rsidR="00D90963">
              <w:t>87</w:t>
            </w:r>
          </w:p>
        </w:tc>
        <w:tc>
          <w:tcPr>
            <w:tcW w:w="0" w:type="auto"/>
          </w:tcPr>
          <w:p w14:paraId="37152B14" w14:textId="77777777" w:rsidR="00631545" w:rsidRDefault="00631545" w:rsidP="00631545">
            <w:pPr>
              <w:pStyle w:val="Tablecontent"/>
              <w:jc w:val="right"/>
            </w:pPr>
            <w:r>
              <w:t>0.12 (0.06, 0.36)</w:t>
            </w:r>
          </w:p>
        </w:tc>
        <w:tc>
          <w:tcPr>
            <w:tcW w:w="0" w:type="auto"/>
          </w:tcPr>
          <w:p w14:paraId="1944BFB1" w14:textId="4DE19DCA" w:rsidR="00631545" w:rsidRDefault="00631545" w:rsidP="00631545">
            <w:pPr>
              <w:pStyle w:val="Tablecontent"/>
              <w:jc w:val="right"/>
            </w:pPr>
            <w:r>
              <w:t>81</w:t>
            </w:r>
          </w:p>
        </w:tc>
        <w:tc>
          <w:tcPr>
            <w:tcW w:w="0" w:type="auto"/>
          </w:tcPr>
          <w:p w14:paraId="03E3A27B" w14:textId="77777777" w:rsidR="00631545" w:rsidRDefault="00631545" w:rsidP="00631545">
            <w:pPr>
              <w:pStyle w:val="Tablecontent"/>
              <w:jc w:val="right"/>
            </w:pPr>
            <w:r>
              <w:t>0</w:t>
            </w:r>
          </w:p>
        </w:tc>
        <w:tc>
          <w:tcPr>
            <w:tcW w:w="0" w:type="auto"/>
          </w:tcPr>
          <w:p w14:paraId="220451AC" w14:textId="1A28FDBC" w:rsidR="00631545" w:rsidRDefault="00631545" w:rsidP="00631545">
            <w:pPr>
              <w:pStyle w:val="Tablecontent"/>
              <w:jc w:val="right"/>
            </w:pPr>
            <w:r>
              <w:t>0.27 (0.16, 0.6</w:t>
            </w:r>
            <w:r w:rsidR="00D90963">
              <w:t>2</w:t>
            </w:r>
            <w:r>
              <w:t>)</w:t>
            </w:r>
          </w:p>
        </w:tc>
        <w:tc>
          <w:tcPr>
            <w:tcW w:w="0" w:type="auto"/>
          </w:tcPr>
          <w:p w14:paraId="2AC935FD" w14:textId="68E79552" w:rsidR="00631545" w:rsidRPr="0039423C" w:rsidRDefault="00631545" w:rsidP="00631545">
            <w:pPr>
              <w:pStyle w:val="Tablecontent"/>
              <w:jc w:val="right"/>
              <w:rPr>
                <w:bCs/>
              </w:rPr>
            </w:pPr>
            <w:r w:rsidRPr="0039423C">
              <w:rPr>
                <w:bCs/>
              </w:rPr>
              <w:t>66</w:t>
            </w:r>
          </w:p>
        </w:tc>
        <w:tc>
          <w:tcPr>
            <w:tcW w:w="0" w:type="auto"/>
          </w:tcPr>
          <w:p w14:paraId="420DF57D" w14:textId="17585FD4" w:rsidR="00631545" w:rsidRDefault="00631545" w:rsidP="00631545">
            <w:pPr>
              <w:pStyle w:val="Tablecontent"/>
              <w:jc w:val="right"/>
              <w:rPr>
                <w:b/>
                <w:bCs/>
              </w:rPr>
            </w:pPr>
            <w:r>
              <w:t>0</w:t>
            </w:r>
          </w:p>
        </w:tc>
        <w:tc>
          <w:tcPr>
            <w:tcW w:w="0" w:type="auto"/>
          </w:tcPr>
          <w:p w14:paraId="6B83E278" w14:textId="419EBFF7" w:rsidR="00631545" w:rsidRDefault="00D90963" w:rsidP="00631545">
            <w:pPr>
              <w:pStyle w:val="Tablecontent"/>
              <w:jc w:val="right"/>
            </w:pPr>
            <w:r>
              <w:t>66</w:t>
            </w:r>
          </w:p>
        </w:tc>
        <w:tc>
          <w:tcPr>
            <w:tcW w:w="0" w:type="auto"/>
          </w:tcPr>
          <w:p w14:paraId="237583AC" w14:textId="1B64A1D8" w:rsidR="00631545" w:rsidRDefault="00D90963" w:rsidP="00631545">
            <w:pPr>
              <w:pStyle w:val="Tablecontent"/>
              <w:jc w:val="right"/>
            </w:pPr>
            <w:r>
              <w:t>47</w:t>
            </w:r>
          </w:p>
        </w:tc>
      </w:tr>
      <w:tr w:rsidR="00631545" w14:paraId="281B37BA" w14:textId="6E491B13" w:rsidTr="00631545">
        <w:tc>
          <w:tcPr>
            <w:tcW w:w="0" w:type="auto"/>
          </w:tcPr>
          <w:p w14:paraId="2E500C74" w14:textId="77777777" w:rsidR="00631545" w:rsidRDefault="00631545" w:rsidP="00631545">
            <w:pPr>
              <w:pStyle w:val="Tablecontent"/>
            </w:pPr>
          </w:p>
        </w:tc>
        <w:tc>
          <w:tcPr>
            <w:tcW w:w="0" w:type="auto"/>
          </w:tcPr>
          <w:p w14:paraId="74CD1D1F" w14:textId="77777777" w:rsidR="00631545" w:rsidRDefault="00631545" w:rsidP="00631545">
            <w:pPr>
              <w:pStyle w:val="Tablecontent"/>
            </w:pPr>
          </w:p>
        </w:tc>
        <w:tc>
          <w:tcPr>
            <w:tcW w:w="0" w:type="auto"/>
          </w:tcPr>
          <w:p w14:paraId="1C5BEDD8" w14:textId="77777777" w:rsidR="00631545" w:rsidRDefault="00631545" w:rsidP="00631545">
            <w:pPr>
              <w:pStyle w:val="Tablecontent"/>
            </w:pPr>
          </w:p>
        </w:tc>
        <w:tc>
          <w:tcPr>
            <w:tcW w:w="0" w:type="auto"/>
          </w:tcPr>
          <w:p w14:paraId="02915484" w14:textId="77777777" w:rsidR="00631545" w:rsidRDefault="00631545" w:rsidP="00631545">
            <w:pPr>
              <w:pStyle w:val="Tablecontent"/>
              <w:jc w:val="right"/>
            </w:pPr>
          </w:p>
        </w:tc>
        <w:tc>
          <w:tcPr>
            <w:tcW w:w="0" w:type="auto"/>
          </w:tcPr>
          <w:p w14:paraId="03B94F49" w14:textId="77777777" w:rsidR="00631545" w:rsidRDefault="00631545" w:rsidP="00631545">
            <w:pPr>
              <w:pStyle w:val="Tablecontent"/>
              <w:jc w:val="right"/>
            </w:pPr>
          </w:p>
        </w:tc>
        <w:tc>
          <w:tcPr>
            <w:tcW w:w="0" w:type="auto"/>
          </w:tcPr>
          <w:p w14:paraId="6D846F5D" w14:textId="3952F0CB" w:rsidR="00631545" w:rsidRDefault="00631545" w:rsidP="00631545">
            <w:pPr>
              <w:pStyle w:val="Tablecontent"/>
              <w:jc w:val="right"/>
            </w:pPr>
          </w:p>
        </w:tc>
        <w:tc>
          <w:tcPr>
            <w:tcW w:w="0" w:type="auto"/>
          </w:tcPr>
          <w:p w14:paraId="62F015AF" w14:textId="77777777" w:rsidR="00631545" w:rsidRDefault="00631545" w:rsidP="00631545">
            <w:pPr>
              <w:pStyle w:val="Tablecontent"/>
              <w:jc w:val="right"/>
            </w:pPr>
          </w:p>
        </w:tc>
        <w:tc>
          <w:tcPr>
            <w:tcW w:w="0" w:type="auto"/>
          </w:tcPr>
          <w:p w14:paraId="1B15DD1D" w14:textId="77777777" w:rsidR="00631545" w:rsidRDefault="00631545" w:rsidP="00631545">
            <w:pPr>
              <w:pStyle w:val="Tablecontent"/>
              <w:jc w:val="right"/>
            </w:pPr>
          </w:p>
        </w:tc>
        <w:tc>
          <w:tcPr>
            <w:tcW w:w="0" w:type="auto"/>
          </w:tcPr>
          <w:p w14:paraId="322FA7E0" w14:textId="77777777" w:rsidR="00631545" w:rsidRPr="0039423C" w:rsidRDefault="00631545" w:rsidP="00631545">
            <w:pPr>
              <w:pStyle w:val="Tablecontent"/>
              <w:jc w:val="right"/>
            </w:pPr>
          </w:p>
        </w:tc>
        <w:tc>
          <w:tcPr>
            <w:tcW w:w="0" w:type="auto"/>
          </w:tcPr>
          <w:p w14:paraId="6E681184" w14:textId="0428F445" w:rsidR="00631545" w:rsidRDefault="00631545" w:rsidP="00631545">
            <w:pPr>
              <w:pStyle w:val="Tablecontent"/>
              <w:jc w:val="right"/>
            </w:pPr>
          </w:p>
        </w:tc>
        <w:tc>
          <w:tcPr>
            <w:tcW w:w="0" w:type="auto"/>
          </w:tcPr>
          <w:p w14:paraId="72F5BD5F" w14:textId="77777777" w:rsidR="00631545" w:rsidRDefault="00631545" w:rsidP="00631545">
            <w:pPr>
              <w:pStyle w:val="Tablecontent"/>
              <w:jc w:val="right"/>
            </w:pPr>
          </w:p>
        </w:tc>
        <w:tc>
          <w:tcPr>
            <w:tcW w:w="0" w:type="auto"/>
          </w:tcPr>
          <w:p w14:paraId="05A08D95" w14:textId="77777777" w:rsidR="00631545" w:rsidRDefault="00631545" w:rsidP="00631545">
            <w:pPr>
              <w:pStyle w:val="Tablecontent"/>
              <w:jc w:val="right"/>
            </w:pPr>
          </w:p>
        </w:tc>
      </w:tr>
      <w:tr w:rsidR="00631545" w14:paraId="26E9699E" w14:textId="7B645355" w:rsidTr="00631545">
        <w:tc>
          <w:tcPr>
            <w:tcW w:w="0" w:type="auto"/>
          </w:tcPr>
          <w:p w14:paraId="7CB33CA5" w14:textId="77777777" w:rsidR="00631545" w:rsidRDefault="00631545" w:rsidP="00631545">
            <w:pPr>
              <w:pStyle w:val="Tablecontent"/>
            </w:pPr>
          </w:p>
        </w:tc>
        <w:tc>
          <w:tcPr>
            <w:tcW w:w="0" w:type="auto"/>
          </w:tcPr>
          <w:p w14:paraId="159DC150" w14:textId="77777777" w:rsidR="00631545" w:rsidRDefault="00631545" w:rsidP="00631545">
            <w:pPr>
              <w:pStyle w:val="Tablecontent"/>
            </w:pPr>
            <w:r>
              <w:t>65+</w:t>
            </w:r>
          </w:p>
        </w:tc>
        <w:tc>
          <w:tcPr>
            <w:tcW w:w="0" w:type="auto"/>
          </w:tcPr>
          <w:p w14:paraId="591ACF03" w14:textId="77777777" w:rsidR="00631545" w:rsidRDefault="00631545" w:rsidP="00631545">
            <w:pPr>
              <w:pStyle w:val="Tablecontent"/>
            </w:pPr>
            <w:r>
              <w:t>ALL</w:t>
            </w:r>
          </w:p>
        </w:tc>
        <w:tc>
          <w:tcPr>
            <w:tcW w:w="0" w:type="auto"/>
          </w:tcPr>
          <w:p w14:paraId="18A8412F" w14:textId="4F7674EA" w:rsidR="00631545" w:rsidRDefault="00D90963" w:rsidP="00631545">
            <w:pPr>
              <w:pStyle w:val="Tablecontent"/>
              <w:jc w:val="right"/>
            </w:pPr>
            <w:r>
              <w:t>3960</w:t>
            </w:r>
          </w:p>
        </w:tc>
        <w:tc>
          <w:tcPr>
            <w:tcW w:w="0" w:type="auto"/>
          </w:tcPr>
          <w:p w14:paraId="54B72EFA" w14:textId="77777777" w:rsidR="00631545" w:rsidRDefault="00631545" w:rsidP="00631545">
            <w:pPr>
              <w:pStyle w:val="Tablecontent"/>
              <w:jc w:val="right"/>
            </w:pPr>
            <w:r>
              <w:t>0.14 (0.06, 0.36)</w:t>
            </w:r>
          </w:p>
        </w:tc>
        <w:tc>
          <w:tcPr>
            <w:tcW w:w="0" w:type="auto"/>
          </w:tcPr>
          <w:p w14:paraId="3A40A1A4" w14:textId="35227940" w:rsidR="00631545" w:rsidRDefault="00631545" w:rsidP="00631545">
            <w:pPr>
              <w:pStyle w:val="Tablecontent"/>
              <w:jc w:val="right"/>
            </w:pPr>
            <w:r>
              <w:t>82</w:t>
            </w:r>
          </w:p>
        </w:tc>
        <w:tc>
          <w:tcPr>
            <w:tcW w:w="0" w:type="auto"/>
          </w:tcPr>
          <w:p w14:paraId="7E83114B" w14:textId="77777777" w:rsidR="00631545" w:rsidRDefault="00631545" w:rsidP="00631545">
            <w:pPr>
              <w:pStyle w:val="Tablecontent"/>
              <w:jc w:val="right"/>
            </w:pPr>
            <w:r>
              <w:t>0</w:t>
            </w:r>
          </w:p>
        </w:tc>
        <w:tc>
          <w:tcPr>
            <w:tcW w:w="0" w:type="auto"/>
          </w:tcPr>
          <w:p w14:paraId="0C5FA69E" w14:textId="7E0071D4" w:rsidR="00631545" w:rsidRDefault="00631545" w:rsidP="00631545">
            <w:pPr>
              <w:pStyle w:val="Tablecontent"/>
              <w:jc w:val="right"/>
            </w:pPr>
            <w:r>
              <w:t>0.19 (0.0</w:t>
            </w:r>
            <w:r w:rsidR="00D90963">
              <w:t>8</w:t>
            </w:r>
            <w:r>
              <w:t>, 0.4</w:t>
            </w:r>
            <w:r w:rsidR="00D90963">
              <w:t>2</w:t>
            </w:r>
            <w:r>
              <w:t>)</w:t>
            </w:r>
          </w:p>
        </w:tc>
        <w:tc>
          <w:tcPr>
            <w:tcW w:w="0" w:type="auto"/>
          </w:tcPr>
          <w:p w14:paraId="0B5B66BF" w14:textId="311F7931" w:rsidR="00631545" w:rsidRPr="0039423C" w:rsidRDefault="00631545" w:rsidP="00631545">
            <w:pPr>
              <w:pStyle w:val="Tablecontent"/>
              <w:jc w:val="right"/>
            </w:pPr>
            <w:r w:rsidRPr="0039423C">
              <w:t>77</w:t>
            </w:r>
          </w:p>
        </w:tc>
        <w:tc>
          <w:tcPr>
            <w:tcW w:w="0" w:type="auto"/>
          </w:tcPr>
          <w:p w14:paraId="4B19163A" w14:textId="1F792A50" w:rsidR="00631545" w:rsidRDefault="00631545" w:rsidP="00631545">
            <w:pPr>
              <w:pStyle w:val="Tablecontent"/>
              <w:jc w:val="right"/>
            </w:pPr>
            <w:r>
              <w:t>1</w:t>
            </w:r>
          </w:p>
        </w:tc>
        <w:tc>
          <w:tcPr>
            <w:tcW w:w="0" w:type="auto"/>
          </w:tcPr>
          <w:p w14:paraId="2F72A632" w14:textId="355F26D3" w:rsidR="00631545" w:rsidRDefault="00D90963" w:rsidP="00631545">
            <w:pPr>
              <w:pStyle w:val="Tablecontent"/>
              <w:jc w:val="right"/>
            </w:pPr>
            <w:r>
              <w:t>65</w:t>
            </w:r>
          </w:p>
        </w:tc>
        <w:tc>
          <w:tcPr>
            <w:tcW w:w="0" w:type="auto"/>
          </w:tcPr>
          <w:p w14:paraId="52DDEBA6" w14:textId="1592192C" w:rsidR="00631545" w:rsidRDefault="00D90963" w:rsidP="00631545">
            <w:pPr>
              <w:pStyle w:val="Tablecontent"/>
              <w:jc w:val="right"/>
            </w:pPr>
            <w:r>
              <w:t>59</w:t>
            </w:r>
          </w:p>
        </w:tc>
      </w:tr>
      <w:tr w:rsidR="00631545" w14:paraId="074C561A" w14:textId="26A61E3E" w:rsidTr="00631545">
        <w:tc>
          <w:tcPr>
            <w:tcW w:w="0" w:type="auto"/>
          </w:tcPr>
          <w:p w14:paraId="17414610" w14:textId="77777777" w:rsidR="00631545" w:rsidRDefault="00631545" w:rsidP="00631545">
            <w:pPr>
              <w:pStyle w:val="Tablecontent"/>
            </w:pPr>
          </w:p>
        </w:tc>
        <w:tc>
          <w:tcPr>
            <w:tcW w:w="0" w:type="auto"/>
          </w:tcPr>
          <w:p w14:paraId="781DF2CB" w14:textId="77777777" w:rsidR="00631545" w:rsidRDefault="00631545" w:rsidP="00631545">
            <w:pPr>
              <w:pStyle w:val="Tablecontent"/>
            </w:pPr>
          </w:p>
        </w:tc>
        <w:tc>
          <w:tcPr>
            <w:tcW w:w="0" w:type="auto"/>
          </w:tcPr>
          <w:p w14:paraId="65CBC94D" w14:textId="77777777" w:rsidR="00631545" w:rsidRDefault="00631545" w:rsidP="00631545">
            <w:pPr>
              <w:pStyle w:val="Tablecontent"/>
              <w:ind w:left="104"/>
            </w:pPr>
            <w:r>
              <w:t>NSU</w:t>
            </w:r>
          </w:p>
        </w:tc>
        <w:tc>
          <w:tcPr>
            <w:tcW w:w="0" w:type="auto"/>
          </w:tcPr>
          <w:p w14:paraId="3F474703" w14:textId="793F546F" w:rsidR="00631545" w:rsidRDefault="00D90963" w:rsidP="00631545">
            <w:pPr>
              <w:pStyle w:val="Tablecontent"/>
              <w:jc w:val="right"/>
            </w:pPr>
            <w:r>
              <w:t>2192</w:t>
            </w:r>
          </w:p>
        </w:tc>
        <w:tc>
          <w:tcPr>
            <w:tcW w:w="0" w:type="auto"/>
          </w:tcPr>
          <w:p w14:paraId="03702C22" w14:textId="77777777" w:rsidR="00631545" w:rsidRDefault="00631545" w:rsidP="00631545">
            <w:pPr>
              <w:pStyle w:val="Tablecontent"/>
              <w:jc w:val="right"/>
            </w:pPr>
            <w:r>
              <w:t>0.13 (0.06, 0.34)</w:t>
            </w:r>
          </w:p>
        </w:tc>
        <w:tc>
          <w:tcPr>
            <w:tcW w:w="0" w:type="auto"/>
          </w:tcPr>
          <w:p w14:paraId="0B2F64B3" w14:textId="3632F6C2" w:rsidR="00631545" w:rsidRDefault="00631545" w:rsidP="00631545">
            <w:pPr>
              <w:pStyle w:val="Tablecontent"/>
              <w:jc w:val="right"/>
            </w:pPr>
            <w:r>
              <w:t>83</w:t>
            </w:r>
          </w:p>
        </w:tc>
        <w:tc>
          <w:tcPr>
            <w:tcW w:w="0" w:type="auto"/>
          </w:tcPr>
          <w:p w14:paraId="28EA6124" w14:textId="77777777" w:rsidR="00631545" w:rsidRDefault="00631545" w:rsidP="00631545">
            <w:pPr>
              <w:pStyle w:val="Tablecontent"/>
              <w:jc w:val="right"/>
            </w:pPr>
            <w:r>
              <w:t>0</w:t>
            </w:r>
          </w:p>
        </w:tc>
        <w:tc>
          <w:tcPr>
            <w:tcW w:w="0" w:type="auto"/>
          </w:tcPr>
          <w:p w14:paraId="5F66DF31" w14:textId="77777777" w:rsidR="00631545" w:rsidRDefault="00631545" w:rsidP="00631545">
            <w:pPr>
              <w:pStyle w:val="Tablecontent"/>
              <w:jc w:val="right"/>
            </w:pPr>
            <w:r>
              <w:t>0.13 (0.06, 0.34)</w:t>
            </w:r>
          </w:p>
        </w:tc>
        <w:tc>
          <w:tcPr>
            <w:tcW w:w="0" w:type="auto"/>
          </w:tcPr>
          <w:p w14:paraId="1970DB57" w14:textId="06590CEB" w:rsidR="00631545" w:rsidRPr="0039423C" w:rsidRDefault="00631545" w:rsidP="00631545">
            <w:pPr>
              <w:pStyle w:val="Tablecontent"/>
              <w:jc w:val="right"/>
            </w:pPr>
            <w:r w:rsidRPr="0039423C">
              <w:t>83</w:t>
            </w:r>
          </w:p>
        </w:tc>
        <w:tc>
          <w:tcPr>
            <w:tcW w:w="0" w:type="auto"/>
          </w:tcPr>
          <w:p w14:paraId="2B47CB67" w14:textId="21513C49" w:rsidR="00631545" w:rsidRDefault="00631545" w:rsidP="00631545">
            <w:pPr>
              <w:pStyle w:val="Tablecontent"/>
              <w:jc w:val="right"/>
            </w:pPr>
            <w:r>
              <w:t>0</w:t>
            </w:r>
          </w:p>
        </w:tc>
        <w:tc>
          <w:tcPr>
            <w:tcW w:w="0" w:type="auto"/>
          </w:tcPr>
          <w:p w14:paraId="326D1011" w14:textId="77BCBCAC" w:rsidR="00631545" w:rsidRDefault="00D90963" w:rsidP="00631545">
            <w:pPr>
              <w:pStyle w:val="Tablecontent"/>
              <w:jc w:val="right"/>
            </w:pPr>
            <w:r>
              <w:t>67</w:t>
            </w:r>
          </w:p>
        </w:tc>
        <w:tc>
          <w:tcPr>
            <w:tcW w:w="0" w:type="auto"/>
          </w:tcPr>
          <w:p w14:paraId="4DE2E952" w14:textId="53ABC900" w:rsidR="00631545" w:rsidRDefault="00D90963" w:rsidP="00631545">
            <w:pPr>
              <w:pStyle w:val="Tablecontent"/>
              <w:jc w:val="right"/>
            </w:pPr>
            <w:r>
              <w:t>67</w:t>
            </w:r>
          </w:p>
        </w:tc>
      </w:tr>
      <w:tr w:rsidR="00631545" w14:paraId="3E9EA6B5" w14:textId="151DBC7E" w:rsidTr="00631545">
        <w:tc>
          <w:tcPr>
            <w:tcW w:w="0" w:type="auto"/>
          </w:tcPr>
          <w:p w14:paraId="16788234" w14:textId="77777777" w:rsidR="00631545" w:rsidRDefault="00631545" w:rsidP="00631545">
            <w:pPr>
              <w:pStyle w:val="Tablecontent"/>
            </w:pPr>
          </w:p>
        </w:tc>
        <w:tc>
          <w:tcPr>
            <w:tcW w:w="0" w:type="auto"/>
          </w:tcPr>
          <w:p w14:paraId="57A6A0F0" w14:textId="77777777" w:rsidR="00631545" w:rsidRDefault="00631545" w:rsidP="00631545">
            <w:pPr>
              <w:pStyle w:val="Tablecontent"/>
            </w:pPr>
          </w:p>
        </w:tc>
        <w:tc>
          <w:tcPr>
            <w:tcW w:w="0" w:type="auto"/>
          </w:tcPr>
          <w:p w14:paraId="5F85D16D" w14:textId="77777777" w:rsidR="00631545" w:rsidRDefault="00631545" w:rsidP="00631545">
            <w:pPr>
              <w:pStyle w:val="Tablecontent"/>
              <w:ind w:left="104"/>
            </w:pPr>
            <w:r>
              <w:t>SU</w:t>
            </w:r>
          </w:p>
        </w:tc>
        <w:tc>
          <w:tcPr>
            <w:tcW w:w="0" w:type="auto"/>
          </w:tcPr>
          <w:p w14:paraId="6AC5228C" w14:textId="27C3D42B" w:rsidR="00631545" w:rsidRDefault="00631545" w:rsidP="00631545">
            <w:pPr>
              <w:pStyle w:val="Tablecontent"/>
              <w:jc w:val="right"/>
            </w:pPr>
            <w:r>
              <w:t>17</w:t>
            </w:r>
            <w:r w:rsidR="00D90963">
              <w:t>68</w:t>
            </w:r>
          </w:p>
        </w:tc>
        <w:tc>
          <w:tcPr>
            <w:tcW w:w="0" w:type="auto"/>
          </w:tcPr>
          <w:p w14:paraId="3109B54E" w14:textId="461258D7" w:rsidR="00631545" w:rsidRDefault="00631545" w:rsidP="00631545">
            <w:pPr>
              <w:pStyle w:val="Tablecontent"/>
              <w:jc w:val="right"/>
            </w:pPr>
            <w:r>
              <w:t>0.15 (0.07, 0.3</w:t>
            </w:r>
            <w:r w:rsidR="00D90963">
              <w:t>7</w:t>
            </w:r>
            <w:r>
              <w:t>)</w:t>
            </w:r>
          </w:p>
        </w:tc>
        <w:tc>
          <w:tcPr>
            <w:tcW w:w="0" w:type="auto"/>
          </w:tcPr>
          <w:p w14:paraId="4797A2A5" w14:textId="67173876" w:rsidR="00631545" w:rsidRDefault="00631545" w:rsidP="00631545">
            <w:pPr>
              <w:pStyle w:val="Tablecontent"/>
              <w:jc w:val="right"/>
            </w:pPr>
            <w:r>
              <w:t>81</w:t>
            </w:r>
          </w:p>
        </w:tc>
        <w:tc>
          <w:tcPr>
            <w:tcW w:w="0" w:type="auto"/>
          </w:tcPr>
          <w:p w14:paraId="2E8F6A62" w14:textId="77777777" w:rsidR="00631545" w:rsidRDefault="00631545" w:rsidP="00631545">
            <w:pPr>
              <w:pStyle w:val="Tablecontent"/>
              <w:jc w:val="right"/>
            </w:pPr>
            <w:r>
              <w:t>0</w:t>
            </w:r>
          </w:p>
        </w:tc>
        <w:tc>
          <w:tcPr>
            <w:tcW w:w="0" w:type="auto"/>
          </w:tcPr>
          <w:p w14:paraId="01228ED2" w14:textId="2DEF9C07" w:rsidR="00631545" w:rsidRDefault="00631545" w:rsidP="00631545">
            <w:pPr>
              <w:pStyle w:val="Tablecontent"/>
              <w:jc w:val="right"/>
            </w:pPr>
            <w:r>
              <w:t>0.25 (0.14, 0.5</w:t>
            </w:r>
            <w:r w:rsidR="00D90963">
              <w:t>6</w:t>
            </w:r>
            <w:r>
              <w:t>)</w:t>
            </w:r>
          </w:p>
        </w:tc>
        <w:tc>
          <w:tcPr>
            <w:tcW w:w="0" w:type="auto"/>
          </w:tcPr>
          <w:p w14:paraId="784C3612" w14:textId="448276BD" w:rsidR="00631545" w:rsidRPr="0039423C" w:rsidRDefault="00631545" w:rsidP="00631545">
            <w:pPr>
              <w:pStyle w:val="Tablecontent"/>
              <w:jc w:val="right"/>
            </w:pPr>
            <w:r w:rsidRPr="0039423C">
              <w:t>69</w:t>
            </w:r>
          </w:p>
        </w:tc>
        <w:tc>
          <w:tcPr>
            <w:tcW w:w="0" w:type="auto"/>
          </w:tcPr>
          <w:p w14:paraId="5D87285D" w14:textId="5C120FAB" w:rsidR="00631545" w:rsidRDefault="00631545" w:rsidP="00631545">
            <w:pPr>
              <w:pStyle w:val="Tablecontent"/>
              <w:jc w:val="right"/>
            </w:pPr>
            <w:r>
              <w:t>1</w:t>
            </w:r>
          </w:p>
        </w:tc>
        <w:tc>
          <w:tcPr>
            <w:tcW w:w="0" w:type="auto"/>
          </w:tcPr>
          <w:p w14:paraId="44A86FB8" w14:textId="42A43DC4" w:rsidR="00631545" w:rsidRDefault="00D90963" w:rsidP="00631545">
            <w:pPr>
              <w:pStyle w:val="Tablecontent"/>
              <w:jc w:val="right"/>
            </w:pPr>
            <w:r>
              <w:t>64</w:t>
            </w:r>
          </w:p>
        </w:tc>
        <w:tc>
          <w:tcPr>
            <w:tcW w:w="0" w:type="auto"/>
          </w:tcPr>
          <w:p w14:paraId="30D4EF1D" w14:textId="7E0DA58C" w:rsidR="00631545" w:rsidRDefault="00D90963" w:rsidP="00631545">
            <w:pPr>
              <w:pStyle w:val="Tablecontent"/>
              <w:jc w:val="right"/>
            </w:pPr>
            <w:r>
              <w:t>50</w:t>
            </w:r>
          </w:p>
        </w:tc>
      </w:tr>
      <w:tr w:rsidR="00631545" w14:paraId="1B81FB76" w14:textId="73E5EDFE" w:rsidTr="00631545">
        <w:tc>
          <w:tcPr>
            <w:tcW w:w="0" w:type="auto"/>
          </w:tcPr>
          <w:p w14:paraId="7DF0CA62" w14:textId="77777777" w:rsidR="00631545" w:rsidRDefault="00631545" w:rsidP="00631545">
            <w:pPr>
              <w:pStyle w:val="Tablecontent"/>
            </w:pPr>
          </w:p>
        </w:tc>
        <w:tc>
          <w:tcPr>
            <w:tcW w:w="0" w:type="auto"/>
          </w:tcPr>
          <w:p w14:paraId="44BA3426" w14:textId="77777777" w:rsidR="00631545" w:rsidRDefault="00631545" w:rsidP="00631545">
            <w:pPr>
              <w:pStyle w:val="Tablecontent"/>
            </w:pPr>
          </w:p>
        </w:tc>
        <w:tc>
          <w:tcPr>
            <w:tcW w:w="0" w:type="auto"/>
          </w:tcPr>
          <w:p w14:paraId="347E641F" w14:textId="455BB55C" w:rsidR="00631545" w:rsidRDefault="00631545" w:rsidP="00631545">
            <w:pPr>
              <w:pStyle w:val="Tablecontent"/>
              <w:ind w:left="246"/>
            </w:pPr>
            <w:r>
              <w:t>SU</w:t>
            </w:r>
            <w:r>
              <w:noBreakHyphen/>
              <w:t>EPA/DHA</w:t>
            </w:r>
          </w:p>
        </w:tc>
        <w:tc>
          <w:tcPr>
            <w:tcW w:w="0" w:type="auto"/>
          </w:tcPr>
          <w:p w14:paraId="3B579027" w14:textId="7E383218" w:rsidR="00631545" w:rsidRDefault="00D90963" w:rsidP="00631545">
            <w:pPr>
              <w:pStyle w:val="Tablecontent"/>
              <w:jc w:val="right"/>
            </w:pPr>
            <w:r>
              <w:t>575</w:t>
            </w:r>
          </w:p>
        </w:tc>
        <w:tc>
          <w:tcPr>
            <w:tcW w:w="0" w:type="auto"/>
          </w:tcPr>
          <w:p w14:paraId="0F26F68E" w14:textId="64B72097" w:rsidR="00631545" w:rsidRDefault="00631545" w:rsidP="00631545">
            <w:pPr>
              <w:pStyle w:val="Tablecontent"/>
              <w:jc w:val="right"/>
            </w:pPr>
            <w:r>
              <w:t>0.16 (0.06, 0.3</w:t>
            </w:r>
            <w:r w:rsidR="00D90963">
              <w:t>7</w:t>
            </w:r>
            <w:r>
              <w:t>)</w:t>
            </w:r>
          </w:p>
        </w:tc>
        <w:tc>
          <w:tcPr>
            <w:tcW w:w="0" w:type="auto"/>
          </w:tcPr>
          <w:p w14:paraId="5A96FB85" w14:textId="4B4471CD" w:rsidR="00631545" w:rsidRDefault="00631545" w:rsidP="00631545">
            <w:pPr>
              <w:pStyle w:val="Tablecontent"/>
              <w:jc w:val="right"/>
            </w:pPr>
            <w:r>
              <w:t>8</w:t>
            </w:r>
            <w:r w:rsidR="00D90963">
              <w:t>1</w:t>
            </w:r>
          </w:p>
        </w:tc>
        <w:tc>
          <w:tcPr>
            <w:tcW w:w="0" w:type="auto"/>
          </w:tcPr>
          <w:p w14:paraId="61F2810F" w14:textId="77777777" w:rsidR="00631545" w:rsidRDefault="00631545" w:rsidP="00631545">
            <w:pPr>
              <w:pStyle w:val="Tablecontent"/>
              <w:jc w:val="right"/>
            </w:pPr>
            <w:r>
              <w:t>0</w:t>
            </w:r>
          </w:p>
        </w:tc>
        <w:tc>
          <w:tcPr>
            <w:tcW w:w="0" w:type="auto"/>
          </w:tcPr>
          <w:p w14:paraId="068FB9E4" w14:textId="5701B4A8" w:rsidR="00631545" w:rsidRDefault="00631545" w:rsidP="00631545">
            <w:pPr>
              <w:pStyle w:val="Tablecontent"/>
              <w:jc w:val="right"/>
            </w:pPr>
            <w:r>
              <w:t>0.16 (0.06, 0.3</w:t>
            </w:r>
            <w:r w:rsidR="00D90963">
              <w:t>7</w:t>
            </w:r>
            <w:r>
              <w:t>)</w:t>
            </w:r>
          </w:p>
        </w:tc>
        <w:tc>
          <w:tcPr>
            <w:tcW w:w="0" w:type="auto"/>
          </w:tcPr>
          <w:p w14:paraId="4453EDE9" w14:textId="252BAFF2" w:rsidR="00631545" w:rsidRPr="0039423C" w:rsidRDefault="00631545" w:rsidP="00631545">
            <w:pPr>
              <w:pStyle w:val="Tablecontent"/>
              <w:jc w:val="right"/>
            </w:pPr>
            <w:r w:rsidRPr="0039423C">
              <w:t>8</w:t>
            </w:r>
            <w:r w:rsidR="00D90963" w:rsidRPr="0039423C">
              <w:t>1</w:t>
            </w:r>
          </w:p>
        </w:tc>
        <w:tc>
          <w:tcPr>
            <w:tcW w:w="0" w:type="auto"/>
          </w:tcPr>
          <w:p w14:paraId="5CF881B9" w14:textId="0039D5D5" w:rsidR="00631545" w:rsidRDefault="00631545" w:rsidP="00631545">
            <w:pPr>
              <w:pStyle w:val="Tablecontent"/>
              <w:jc w:val="right"/>
            </w:pPr>
            <w:r>
              <w:t>0</w:t>
            </w:r>
          </w:p>
        </w:tc>
        <w:tc>
          <w:tcPr>
            <w:tcW w:w="0" w:type="auto"/>
          </w:tcPr>
          <w:p w14:paraId="0EBF6F57" w14:textId="53EF3C24" w:rsidR="00631545" w:rsidRDefault="00D90963" w:rsidP="00631545">
            <w:pPr>
              <w:pStyle w:val="Tablecontent"/>
              <w:jc w:val="right"/>
            </w:pPr>
            <w:r>
              <w:t>62</w:t>
            </w:r>
          </w:p>
        </w:tc>
        <w:tc>
          <w:tcPr>
            <w:tcW w:w="0" w:type="auto"/>
          </w:tcPr>
          <w:p w14:paraId="56E82DE5" w14:textId="32DABA52" w:rsidR="00631545" w:rsidRDefault="00D90963" w:rsidP="00631545">
            <w:pPr>
              <w:pStyle w:val="Tablecontent"/>
              <w:jc w:val="right"/>
            </w:pPr>
            <w:r>
              <w:t>62</w:t>
            </w:r>
          </w:p>
        </w:tc>
      </w:tr>
      <w:tr w:rsidR="00631545" w14:paraId="1DEA58A5" w14:textId="24359784" w:rsidTr="00631545">
        <w:tc>
          <w:tcPr>
            <w:tcW w:w="0" w:type="auto"/>
          </w:tcPr>
          <w:p w14:paraId="175D53C2" w14:textId="77777777" w:rsidR="00631545" w:rsidRDefault="00631545" w:rsidP="00631545">
            <w:pPr>
              <w:pStyle w:val="Tablecontent"/>
            </w:pPr>
          </w:p>
        </w:tc>
        <w:tc>
          <w:tcPr>
            <w:tcW w:w="0" w:type="auto"/>
          </w:tcPr>
          <w:p w14:paraId="7DB1D1D4" w14:textId="77777777" w:rsidR="00631545" w:rsidRDefault="00631545" w:rsidP="00631545">
            <w:pPr>
              <w:pStyle w:val="Tablecontent"/>
            </w:pPr>
          </w:p>
        </w:tc>
        <w:tc>
          <w:tcPr>
            <w:tcW w:w="0" w:type="auto"/>
          </w:tcPr>
          <w:p w14:paraId="340D3968" w14:textId="77777777" w:rsidR="00631545" w:rsidRDefault="00631545" w:rsidP="00631545">
            <w:pPr>
              <w:pStyle w:val="Tablecontent"/>
              <w:ind w:left="246"/>
            </w:pPr>
            <w:r>
              <w:t>SU+EPA/DHA</w:t>
            </w:r>
          </w:p>
        </w:tc>
        <w:tc>
          <w:tcPr>
            <w:tcW w:w="0" w:type="auto"/>
          </w:tcPr>
          <w:p w14:paraId="7629F148" w14:textId="3B0D0833" w:rsidR="00631545" w:rsidRDefault="00631545" w:rsidP="00631545">
            <w:pPr>
              <w:pStyle w:val="Tablecontent"/>
              <w:jc w:val="right"/>
            </w:pPr>
            <w:r>
              <w:t>11</w:t>
            </w:r>
            <w:r w:rsidR="00D90963">
              <w:t>93</w:t>
            </w:r>
          </w:p>
        </w:tc>
        <w:tc>
          <w:tcPr>
            <w:tcW w:w="0" w:type="auto"/>
          </w:tcPr>
          <w:p w14:paraId="29CF0F6A" w14:textId="13546A3E" w:rsidR="00631545" w:rsidRDefault="00631545" w:rsidP="00631545">
            <w:pPr>
              <w:pStyle w:val="Tablecontent"/>
              <w:jc w:val="right"/>
            </w:pPr>
            <w:r>
              <w:t>0.15 (0.07, 0.3</w:t>
            </w:r>
            <w:r w:rsidR="00D90963">
              <w:t>7</w:t>
            </w:r>
            <w:r>
              <w:t>)</w:t>
            </w:r>
          </w:p>
        </w:tc>
        <w:tc>
          <w:tcPr>
            <w:tcW w:w="0" w:type="auto"/>
          </w:tcPr>
          <w:p w14:paraId="54532059" w14:textId="068FDB99" w:rsidR="00631545" w:rsidRDefault="00631545" w:rsidP="00631545">
            <w:pPr>
              <w:pStyle w:val="Tablecontent"/>
              <w:jc w:val="right"/>
            </w:pPr>
            <w:r>
              <w:t>81</w:t>
            </w:r>
          </w:p>
        </w:tc>
        <w:tc>
          <w:tcPr>
            <w:tcW w:w="0" w:type="auto"/>
          </w:tcPr>
          <w:p w14:paraId="3940899A" w14:textId="77777777" w:rsidR="00631545" w:rsidRDefault="00631545" w:rsidP="00631545">
            <w:pPr>
              <w:pStyle w:val="Tablecontent"/>
              <w:jc w:val="right"/>
            </w:pPr>
            <w:r>
              <w:t>0</w:t>
            </w:r>
          </w:p>
        </w:tc>
        <w:tc>
          <w:tcPr>
            <w:tcW w:w="0" w:type="auto"/>
          </w:tcPr>
          <w:p w14:paraId="5201FA32" w14:textId="77777777" w:rsidR="00631545" w:rsidRDefault="00631545" w:rsidP="00631545">
            <w:pPr>
              <w:pStyle w:val="Tablecontent"/>
              <w:jc w:val="right"/>
            </w:pPr>
            <w:r>
              <w:t>0.31 (0.17, 0.71)</w:t>
            </w:r>
          </w:p>
        </w:tc>
        <w:tc>
          <w:tcPr>
            <w:tcW w:w="0" w:type="auto"/>
          </w:tcPr>
          <w:p w14:paraId="01D44B32" w14:textId="45CD0E17" w:rsidR="00631545" w:rsidRPr="0039423C" w:rsidRDefault="00631545" w:rsidP="00631545">
            <w:pPr>
              <w:pStyle w:val="Tablecontent"/>
              <w:jc w:val="right"/>
              <w:rPr>
                <w:bCs/>
              </w:rPr>
            </w:pPr>
            <w:r w:rsidRPr="0039423C">
              <w:rPr>
                <w:bCs/>
              </w:rPr>
              <w:t>63</w:t>
            </w:r>
          </w:p>
        </w:tc>
        <w:tc>
          <w:tcPr>
            <w:tcW w:w="0" w:type="auto"/>
          </w:tcPr>
          <w:p w14:paraId="43028211" w14:textId="66A26DA8" w:rsidR="00631545" w:rsidRDefault="00631545" w:rsidP="00631545">
            <w:pPr>
              <w:pStyle w:val="Tablecontent"/>
              <w:jc w:val="right"/>
              <w:rPr>
                <w:b/>
                <w:bCs/>
              </w:rPr>
            </w:pPr>
            <w:r>
              <w:t>1</w:t>
            </w:r>
          </w:p>
        </w:tc>
        <w:tc>
          <w:tcPr>
            <w:tcW w:w="0" w:type="auto"/>
          </w:tcPr>
          <w:p w14:paraId="0187927C" w14:textId="741D5D63" w:rsidR="00631545" w:rsidRDefault="00D90963" w:rsidP="00631545">
            <w:pPr>
              <w:pStyle w:val="Tablecontent"/>
              <w:jc w:val="right"/>
            </w:pPr>
            <w:r>
              <w:t>64</w:t>
            </w:r>
          </w:p>
        </w:tc>
        <w:tc>
          <w:tcPr>
            <w:tcW w:w="0" w:type="auto"/>
          </w:tcPr>
          <w:p w14:paraId="370256F4" w14:textId="281434DB" w:rsidR="00631545" w:rsidRDefault="00D90963" w:rsidP="00631545">
            <w:pPr>
              <w:pStyle w:val="Tablecontent"/>
              <w:jc w:val="right"/>
            </w:pPr>
            <w:r>
              <w:t>44</w:t>
            </w:r>
          </w:p>
        </w:tc>
      </w:tr>
      <w:tr w:rsidR="00631545" w14:paraId="0841E4F5" w14:textId="6FCEAABA" w:rsidTr="00631545">
        <w:tc>
          <w:tcPr>
            <w:tcW w:w="0" w:type="auto"/>
          </w:tcPr>
          <w:p w14:paraId="711A9A35" w14:textId="77777777" w:rsidR="00631545" w:rsidRDefault="00631545" w:rsidP="00631545">
            <w:pPr>
              <w:pStyle w:val="Tablecontent"/>
            </w:pPr>
          </w:p>
        </w:tc>
        <w:tc>
          <w:tcPr>
            <w:tcW w:w="0" w:type="auto"/>
          </w:tcPr>
          <w:p w14:paraId="4EE333D4" w14:textId="77777777" w:rsidR="00631545" w:rsidRDefault="00631545" w:rsidP="00631545">
            <w:pPr>
              <w:pStyle w:val="Tablecontent"/>
            </w:pPr>
          </w:p>
        </w:tc>
        <w:tc>
          <w:tcPr>
            <w:tcW w:w="0" w:type="auto"/>
          </w:tcPr>
          <w:p w14:paraId="0D6BC734" w14:textId="77777777" w:rsidR="00631545" w:rsidRDefault="00631545" w:rsidP="00631545">
            <w:pPr>
              <w:pStyle w:val="Tablecontent"/>
              <w:ind w:left="246"/>
            </w:pPr>
          </w:p>
        </w:tc>
        <w:tc>
          <w:tcPr>
            <w:tcW w:w="0" w:type="auto"/>
          </w:tcPr>
          <w:p w14:paraId="34A104AC" w14:textId="77777777" w:rsidR="00631545" w:rsidRDefault="00631545" w:rsidP="00631545">
            <w:pPr>
              <w:pStyle w:val="Tablecontent"/>
              <w:jc w:val="right"/>
            </w:pPr>
          </w:p>
        </w:tc>
        <w:tc>
          <w:tcPr>
            <w:tcW w:w="0" w:type="auto"/>
          </w:tcPr>
          <w:p w14:paraId="114B4F84" w14:textId="77777777" w:rsidR="00631545" w:rsidRDefault="00631545" w:rsidP="00631545">
            <w:pPr>
              <w:pStyle w:val="Tablecontent"/>
              <w:jc w:val="right"/>
            </w:pPr>
          </w:p>
        </w:tc>
        <w:tc>
          <w:tcPr>
            <w:tcW w:w="0" w:type="auto"/>
          </w:tcPr>
          <w:p w14:paraId="1AABDC09" w14:textId="03B3482A" w:rsidR="00631545" w:rsidRDefault="00631545" w:rsidP="00631545">
            <w:pPr>
              <w:pStyle w:val="Tablecontent"/>
              <w:jc w:val="right"/>
            </w:pPr>
          </w:p>
        </w:tc>
        <w:tc>
          <w:tcPr>
            <w:tcW w:w="0" w:type="auto"/>
          </w:tcPr>
          <w:p w14:paraId="3F82752B" w14:textId="77777777" w:rsidR="00631545" w:rsidRDefault="00631545" w:rsidP="00631545">
            <w:pPr>
              <w:pStyle w:val="Tablecontent"/>
              <w:jc w:val="right"/>
            </w:pPr>
          </w:p>
        </w:tc>
        <w:tc>
          <w:tcPr>
            <w:tcW w:w="0" w:type="auto"/>
          </w:tcPr>
          <w:p w14:paraId="6CA203BD" w14:textId="77777777" w:rsidR="00631545" w:rsidRDefault="00631545" w:rsidP="00631545">
            <w:pPr>
              <w:pStyle w:val="Tablecontent"/>
              <w:jc w:val="right"/>
            </w:pPr>
          </w:p>
        </w:tc>
        <w:tc>
          <w:tcPr>
            <w:tcW w:w="0" w:type="auto"/>
          </w:tcPr>
          <w:p w14:paraId="121F6620" w14:textId="77777777" w:rsidR="00631545" w:rsidRDefault="00631545" w:rsidP="00631545">
            <w:pPr>
              <w:pStyle w:val="Tablecontent"/>
              <w:jc w:val="right"/>
            </w:pPr>
          </w:p>
        </w:tc>
        <w:tc>
          <w:tcPr>
            <w:tcW w:w="0" w:type="auto"/>
          </w:tcPr>
          <w:p w14:paraId="1EEB5C65" w14:textId="48557968" w:rsidR="00631545" w:rsidRDefault="00631545" w:rsidP="00631545">
            <w:pPr>
              <w:pStyle w:val="Tablecontent"/>
              <w:jc w:val="right"/>
            </w:pPr>
          </w:p>
        </w:tc>
        <w:tc>
          <w:tcPr>
            <w:tcW w:w="0" w:type="auto"/>
          </w:tcPr>
          <w:p w14:paraId="50A664A8" w14:textId="77777777" w:rsidR="00631545" w:rsidRDefault="00631545" w:rsidP="00631545">
            <w:pPr>
              <w:pStyle w:val="Tablecontent"/>
              <w:jc w:val="right"/>
            </w:pPr>
          </w:p>
        </w:tc>
        <w:tc>
          <w:tcPr>
            <w:tcW w:w="0" w:type="auto"/>
          </w:tcPr>
          <w:p w14:paraId="66788479" w14:textId="77777777" w:rsidR="00631545" w:rsidRDefault="00631545" w:rsidP="00631545">
            <w:pPr>
              <w:pStyle w:val="Tablecontent"/>
              <w:jc w:val="right"/>
            </w:pPr>
          </w:p>
        </w:tc>
      </w:tr>
    </w:tbl>
    <w:p w14:paraId="20D8F797" w14:textId="004A5D02" w:rsidR="00133359" w:rsidRPr="00ED6425" w:rsidRDefault="7AF5BD86" w:rsidP="00133359">
      <w:pPr>
        <w:pStyle w:val="NoSpacing"/>
      </w:pPr>
      <w:r w:rsidRPr="00ED6425">
        <w:t xml:space="preserve">TNI, total nutrient intake (food + supplement); EPA, </w:t>
      </w:r>
      <w:proofErr w:type="spellStart"/>
      <w:r w:rsidRPr="00ED6425">
        <w:t>eicosapentaenoic</w:t>
      </w:r>
      <w:proofErr w:type="spellEnd"/>
      <w:r w:rsidRPr="00ED6425">
        <w:t xml:space="preserve"> acid; DHA, </w:t>
      </w:r>
      <w:proofErr w:type="spellStart"/>
      <w:r w:rsidRPr="00ED6425">
        <w:t>docosahexaenoic</w:t>
      </w:r>
      <w:proofErr w:type="spellEnd"/>
      <w:r w:rsidRPr="00ED6425">
        <w:t xml:space="preserve"> acid; NSU, non-supplement users; SU, supplement users; SU+EPA/DHA, supplement user consumes a EPA/DHA containing supplement (mostly cod liver oil and fish oil supplements); SU</w:t>
      </w:r>
      <w:r w:rsidR="00187FA6" w:rsidRPr="00ED6425">
        <w:noBreakHyphen/>
      </w:r>
      <w:r w:rsidRPr="00ED6425">
        <w:t>EPA/DHA, supplement user consumes a supplement without EPA/DHA; DRV, daily reference value; EAR, estimated average requirement</w:t>
      </w:r>
      <w:r w:rsidR="0094078B" w:rsidRPr="00ED6425">
        <w:t>; IQR, interquartile range</w:t>
      </w:r>
      <w:r w:rsidRPr="00ED6425">
        <w:t>.</w:t>
      </w:r>
    </w:p>
    <w:p w14:paraId="44D1216F" w14:textId="77777777" w:rsidR="00202EE2" w:rsidRPr="00ED6425" w:rsidRDefault="00202EE2" w:rsidP="00133359">
      <w:pPr>
        <w:pStyle w:val="NoSpacing"/>
      </w:pPr>
    </w:p>
    <w:p w14:paraId="6A9A2604" w14:textId="617C762B" w:rsidR="00E71106" w:rsidRPr="00ED6425" w:rsidRDefault="7AF5BD86" w:rsidP="00066CE3">
      <w:pPr>
        <w:pStyle w:val="NoSpacing"/>
      </w:pPr>
      <w:r w:rsidRPr="00ED6425">
        <w:t>* Amounts &gt; 5 g/d have been associated with adverse events, but EFSA has not set a TUL for</w:t>
      </w:r>
      <w:r w:rsidR="00460F25" w:rsidRPr="00ED6425">
        <w:t xml:space="preserve"> EPA+DHA </w:t>
      </w:r>
      <w:r w:rsidR="00460F25" w:rsidRPr="00ED6425">
        <w:fldChar w:fldCharType="begin" w:fldLock="1"/>
      </w:r>
      <w:r w:rsidR="009241D8" w:rsidRPr="00ED6425">
        <w:instrText>ADDIN CSL_CITATION { "citationItems" : [ { "id" : "ITEM-1", "itemData" : { "DOI" : "10.2903/j.efsa.2012.2815", "ISSN" : "1831-4732", "abstract" : "Following a request from the European Commission, the Panel on Dietetic Products, Nutrition and Allergies was asked to deliver a scientific opinion on the Tolerable Upper Intake Level (UL) of the n-3 LCPUFAs eicosapentaenoic acid (EPA), docosahexaenoic acid (DHA) and docosapentaenoic acid (DPA). Available data are insufficient to establish a UL for n-3 LCPUFA (individually or combined) for any population group. At observed intake levels, consumption of n-3 LCPUFA has not been associated with adverse effects in healthy children or adults. Long-term supplemental intakes of EPA and DHA combined up to about 5 g/day do not appear to increase the risk of spontaneous bleeding episodes or bleeding complications, or affect glucose homeostasis immune function or lipid peroxidation, provided the oxidative stability of the n-3 LCPUFAs is guaranteed. Supplemental intakes of EPA and DHA combined at doses of 2-6 g/day, and of DHA at doses of 2-4 g/day, induce an increase in LDL-cholesterol concentrations of about 3 % which may not have an adverse effect on cardiovascular disease risk, whereas EPA at doses up to 4 g/day has no significant effect on LDL cholesterol. Supplemental intakes of EPA and DHA combined at doses up to 5 g/day, and supplemental intakes of EPA alone up to 1.8 g/day, do not raise safety concerns for adults. Dietary recommendations for EPA and DHA based on cardiovascular risk considerations for European adults are between 250 and 500 mg/day. Supplemental intakes of DHA alone up to about 1 g/day do not raise safety concerns for the general population. No data are available for DPA when consumed alone. In the majority of the human studies considered, fish oils, also containing DPA in generally unknown (but relatively low) amounts, were the source of EPA and DHA. \u00a9 European Food Safety Authority, 2012.", "author" : [ { "dropping-particle" : "", "family" : "EFSA Panel on Dietetic Products Nutrition and Allergies (NDA)", "given" : "", "non-dropping-particle" : "", "parse-names" : false, "suffix" : "" } ], "container-title" : "EFSA Journal", "id" : "ITEM-1", "issue" : "7", "issued" : { "date-parts" : [ [ "2012" ] ] }, "page" : "1-48", "title" : "Scientific Opinion on the Tolerable Upper Intake Level of eicosapentaenoic acid (EPA), docosahexaenoic acid (DHA) and docosapentaenoic acid", "type" : "article-journal", "volume" : "10" }, "uris" : [ "http://www.mendeley.com/documents/?uuid=27386b07-de79-4520-9e2d-aa0451d7f443" ] } ], "mendeley" : { "formattedCitation" : "&lt;sup&gt;(111)&lt;/sup&gt;", "plainTextFormattedCitation" : "(111)", "previouslyFormattedCitation" : "&lt;sup&gt;(111)&lt;/sup&gt;" }, "properties" : { "noteIndex" : 0 }, "schema" : "https://github.com/citation-style-language/schema/raw/master/csl-citation.json" }</w:instrText>
      </w:r>
      <w:r w:rsidR="00460F25" w:rsidRPr="00ED6425">
        <w:fldChar w:fldCharType="separate"/>
      </w:r>
      <w:r w:rsidR="00C40694" w:rsidRPr="00ED6425">
        <w:rPr>
          <w:noProof/>
          <w:vertAlign w:val="superscript"/>
        </w:rPr>
        <w:t>(111)</w:t>
      </w:r>
      <w:r w:rsidR="00460F25" w:rsidRPr="00ED6425">
        <w:fldChar w:fldCharType="end"/>
      </w:r>
      <w:r w:rsidR="00460F25" w:rsidRPr="00ED6425">
        <w:t>.</w:t>
      </w:r>
    </w:p>
    <w:p w14:paraId="546EDFF2" w14:textId="6776A65E" w:rsidR="009241D8" w:rsidRPr="00ED6425" w:rsidRDefault="009241D8" w:rsidP="00066CE3">
      <w:pPr>
        <w:pStyle w:val="NoSpacing"/>
      </w:pPr>
      <w:r w:rsidRPr="00ED6425">
        <w:t xml:space="preserve">** Amounts of &gt;0.25 g/d have been associated with anti-arrhythmic effects </w:t>
      </w:r>
      <w:r w:rsidRPr="00ED6425">
        <w:fldChar w:fldCharType="begin" w:fldLock="1"/>
      </w:r>
      <w:r w:rsidRPr="00ED6425">
        <w:instrText>ADDIN CSL_CITATION { "citationItems" : [ { "id" : "ITEM-1", "itemData" : { "ISSN" : "0098-7484", "PMID" : "17047219", "abstract" : "CONTEXT: Fish (finfish or shellfish) may have health benefits and also contain contaminants, resulting in confusion over the role of fish consumption in a healthy diet. EVIDENCE ACQUISITION: We searched MEDLINE, governmental reports, and meta-analyses, supplemented by hand reviews of references and direct investigator contacts, to identify reports published through April 2006 evaluating (1) intake of fish or fish oil and cardiovascular risk, (2) effects of methylmercury and fish oil on early neurodevelopment, (3) risks of methylmercury for cardiovascular and neurologic outcomes in adults, and (4) health risks of dioxins and polychlorinated biphenyls in fish. We concentrated on studies evaluating risk in humans, focusing on evidence, when available, from randomized trials and large prospective studies. When possible, meta-analyses were performed to characterize benefits and risks most precisely. EVIDENCE SYNTHESIS: Modest consumption of fish (eg, 1-2 servings/wk), especially species higher in the n-3 fatty acids eicosapentaenoic acid (EPA) and docosahexaenoic acid (DHA), reduces risk of coronary death by 36% (95% confidence interval, 20%-50%; P&lt;.001) and total mortality by 17% (95% confidence interval, 0%-32%; P = .046) and may favorably affect other clinical outcomes. Intake of 250 mg/d of EPA and DHA appears sufficient for primary prevention. DHA appears beneficial for, and low-level methylmercury may adversely affect, early neurodevelopment. Women of childbearing age and nursing mothers should consume 2 seafood servings/wk, limiting intake of selected species. Health effects of low-level methylmercury in adults are not clearly established; methylmercury may modestly decrease the cardiovascular benefits of fish intake. A variety of seafood should be consumed; individuals with very high consumption (&gt; or =5 servings/wk) should limit intake of species highest in mercury levels. Levels of dioxins and polychlorinated biphenyls in fish are low, and potential carcinogenic and other effects are outweighed by potential benefits of fish intake and should have little impact on choices or consumption of seafood (women of childbearing age should consult regional advisories for locally caught freshwater fish). CONCLUSIONS: For major health outcomes among adults, based on both the strength of the evidence and the potential magnitudes of effect, the benefits of fish intake exceed the potential risks. For women of childbearing age, benefits of modest fish intake, exce\u2026", "author" : [ { "dropping-particle" : "", "family" : "Mozaffarian", "given" : "Dariush", "non-dropping-particle" : "", "parse-names" : false, "suffix" : "" }, { "dropping-particle" : "", "family" : "Rimm", "given" : "Eric B", "non-dropping-particle" : "", "parse-names" : false, "suffix" : "" } ], "container-title" : "JAMA : the journal of the American Medical Association", "id" : "ITEM-1", "issue" : "15", "issued" : { "date-parts" : [ [ "2006" ] ] }, "page" : "1885-1899", "title" : "Fish intake, contaminants, and human health: evaluating the risks and the benefits.", "type" : "article-journal", "volume" : "296" }, "uris" : [ "http://www.mendeley.com/documents/?uuid=4f46b852-178c-4908-b685-6b284bea6b79" ] } ], "mendeley" : { "formattedCitation" : "&lt;sup&gt;(105)&lt;/sup&gt;", "plainTextFormattedCitation" : "(105)" }, "properties" : { "noteIndex" : 0 }, "schema" : "https://github.com/citation-style-language/schema/raw/master/csl-citation.json" }</w:instrText>
      </w:r>
      <w:r w:rsidRPr="00ED6425">
        <w:fldChar w:fldCharType="separate"/>
      </w:r>
      <w:r w:rsidRPr="00ED6425">
        <w:rPr>
          <w:noProof/>
          <w:vertAlign w:val="superscript"/>
        </w:rPr>
        <w:t>(105)</w:t>
      </w:r>
      <w:r w:rsidRPr="00ED6425">
        <w:fldChar w:fldCharType="end"/>
      </w:r>
      <w:r w:rsidRPr="00ED6425">
        <w:t>.</w:t>
      </w:r>
    </w:p>
    <w:sectPr w:rsidR="009241D8" w:rsidRPr="00ED6425" w:rsidSect="00066CE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70AF3" w14:textId="77777777" w:rsidR="00A13C55" w:rsidRDefault="00A13C55" w:rsidP="0062658F">
      <w:pPr>
        <w:spacing w:after="0" w:line="240" w:lineRule="auto"/>
      </w:pPr>
      <w:r>
        <w:separator/>
      </w:r>
    </w:p>
  </w:endnote>
  <w:endnote w:type="continuationSeparator" w:id="0">
    <w:p w14:paraId="3D2D06FA" w14:textId="77777777" w:rsidR="00A13C55" w:rsidRDefault="00A13C55" w:rsidP="0062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Light">
    <w:altName w:val="Arial"/>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333503"/>
      <w:docPartObj>
        <w:docPartGallery w:val="Page Numbers (Bottom of Page)"/>
        <w:docPartUnique/>
      </w:docPartObj>
    </w:sdtPr>
    <w:sdtEndPr>
      <w:rPr>
        <w:noProof/>
      </w:rPr>
    </w:sdtEndPr>
    <w:sdtContent>
      <w:p w14:paraId="3D3D22A9" w14:textId="77777777" w:rsidR="000D68C9" w:rsidRDefault="000D68C9">
        <w:pPr>
          <w:pStyle w:val="Footer"/>
          <w:jc w:val="right"/>
        </w:pPr>
        <w:r>
          <w:fldChar w:fldCharType="begin"/>
        </w:r>
        <w:r>
          <w:instrText xml:space="preserve"> PAGE   \* MERGEFORMAT </w:instrText>
        </w:r>
        <w:r>
          <w:fldChar w:fldCharType="separate"/>
        </w:r>
        <w:r w:rsidR="00B171AC">
          <w:rPr>
            <w:noProof/>
          </w:rPr>
          <w:t>33</w:t>
        </w:r>
        <w:r>
          <w:rPr>
            <w:noProof/>
          </w:rPr>
          <w:fldChar w:fldCharType="end"/>
        </w:r>
      </w:p>
    </w:sdtContent>
  </w:sdt>
  <w:p w14:paraId="6BF7610E" w14:textId="77777777" w:rsidR="000D68C9" w:rsidRDefault="000D6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160EF" w14:textId="77777777" w:rsidR="00A13C55" w:rsidRDefault="00A13C55" w:rsidP="0062658F">
      <w:pPr>
        <w:spacing w:after="0" w:line="240" w:lineRule="auto"/>
      </w:pPr>
      <w:r>
        <w:separator/>
      </w:r>
    </w:p>
  </w:footnote>
  <w:footnote w:type="continuationSeparator" w:id="0">
    <w:p w14:paraId="71CAE59C" w14:textId="77777777" w:rsidR="00A13C55" w:rsidRDefault="00A13C55" w:rsidP="006265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F6A7F"/>
    <w:multiLevelType w:val="hybridMultilevel"/>
    <w:tmpl w:val="BF408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1BF351B"/>
    <w:multiLevelType w:val="hybridMultilevel"/>
    <w:tmpl w:val="F0300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DEC"/>
    <w:rsid w:val="00000066"/>
    <w:rsid w:val="0000230E"/>
    <w:rsid w:val="00005280"/>
    <w:rsid w:val="00006049"/>
    <w:rsid w:val="00006980"/>
    <w:rsid w:val="00007F2E"/>
    <w:rsid w:val="00011BA3"/>
    <w:rsid w:val="00013E3C"/>
    <w:rsid w:val="00014C90"/>
    <w:rsid w:val="00020660"/>
    <w:rsid w:val="000248C3"/>
    <w:rsid w:val="0002583C"/>
    <w:rsid w:val="00025CB1"/>
    <w:rsid w:val="000261CA"/>
    <w:rsid w:val="00027D65"/>
    <w:rsid w:val="000302F1"/>
    <w:rsid w:val="0003101A"/>
    <w:rsid w:val="00033905"/>
    <w:rsid w:val="00035670"/>
    <w:rsid w:val="00035689"/>
    <w:rsid w:val="00037801"/>
    <w:rsid w:val="0004143E"/>
    <w:rsid w:val="00043FD1"/>
    <w:rsid w:val="000457CD"/>
    <w:rsid w:val="00047F38"/>
    <w:rsid w:val="00053210"/>
    <w:rsid w:val="000534B7"/>
    <w:rsid w:val="00053842"/>
    <w:rsid w:val="00054360"/>
    <w:rsid w:val="000555B8"/>
    <w:rsid w:val="000555FC"/>
    <w:rsid w:val="000563FA"/>
    <w:rsid w:val="000564C6"/>
    <w:rsid w:val="000571AA"/>
    <w:rsid w:val="000579D8"/>
    <w:rsid w:val="00057FEE"/>
    <w:rsid w:val="0006238E"/>
    <w:rsid w:val="00063E7E"/>
    <w:rsid w:val="00066CE3"/>
    <w:rsid w:val="00073857"/>
    <w:rsid w:val="000827B3"/>
    <w:rsid w:val="00094AEB"/>
    <w:rsid w:val="00094DE5"/>
    <w:rsid w:val="00095399"/>
    <w:rsid w:val="0009564A"/>
    <w:rsid w:val="000A1A01"/>
    <w:rsid w:val="000A34F5"/>
    <w:rsid w:val="000A79AE"/>
    <w:rsid w:val="000B00DC"/>
    <w:rsid w:val="000B3BA9"/>
    <w:rsid w:val="000B7A8B"/>
    <w:rsid w:val="000C09EF"/>
    <w:rsid w:val="000C1920"/>
    <w:rsid w:val="000C1F2E"/>
    <w:rsid w:val="000C21AB"/>
    <w:rsid w:val="000C4B0C"/>
    <w:rsid w:val="000D24FB"/>
    <w:rsid w:val="000D38A4"/>
    <w:rsid w:val="000D3B4D"/>
    <w:rsid w:val="000D3FF8"/>
    <w:rsid w:val="000D68C9"/>
    <w:rsid w:val="000D7658"/>
    <w:rsid w:val="000E016A"/>
    <w:rsid w:val="000E4E17"/>
    <w:rsid w:val="000E5907"/>
    <w:rsid w:val="000E6A58"/>
    <w:rsid w:val="000F09BF"/>
    <w:rsid w:val="000F2053"/>
    <w:rsid w:val="000F2573"/>
    <w:rsid w:val="000F5622"/>
    <w:rsid w:val="00103760"/>
    <w:rsid w:val="001103E4"/>
    <w:rsid w:val="00121DA6"/>
    <w:rsid w:val="001221E1"/>
    <w:rsid w:val="00123012"/>
    <w:rsid w:val="00126AA1"/>
    <w:rsid w:val="00133359"/>
    <w:rsid w:val="00133C6B"/>
    <w:rsid w:val="00134029"/>
    <w:rsid w:val="00136E10"/>
    <w:rsid w:val="001478F1"/>
    <w:rsid w:val="00151D2A"/>
    <w:rsid w:val="00153164"/>
    <w:rsid w:val="00153444"/>
    <w:rsid w:val="0015521B"/>
    <w:rsid w:val="00157101"/>
    <w:rsid w:val="00161151"/>
    <w:rsid w:val="00161175"/>
    <w:rsid w:val="00163B48"/>
    <w:rsid w:val="00164442"/>
    <w:rsid w:val="00164713"/>
    <w:rsid w:val="00164AA7"/>
    <w:rsid w:val="00171CD4"/>
    <w:rsid w:val="00171E71"/>
    <w:rsid w:val="00183612"/>
    <w:rsid w:val="001847A3"/>
    <w:rsid w:val="00184894"/>
    <w:rsid w:val="00187F8A"/>
    <w:rsid w:val="00187FA6"/>
    <w:rsid w:val="00195EE5"/>
    <w:rsid w:val="00196267"/>
    <w:rsid w:val="001A27C5"/>
    <w:rsid w:val="001B0A82"/>
    <w:rsid w:val="001B1796"/>
    <w:rsid w:val="001B3AAB"/>
    <w:rsid w:val="001C0164"/>
    <w:rsid w:val="001C170B"/>
    <w:rsid w:val="001C1CFD"/>
    <w:rsid w:val="001D4B62"/>
    <w:rsid w:val="001D78C1"/>
    <w:rsid w:val="001D79F3"/>
    <w:rsid w:val="001D7FEA"/>
    <w:rsid w:val="001E5420"/>
    <w:rsid w:val="001E5D67"/>
    <w:rsid w:val="001E701D"/>
    <w:rsid w:val="001F229E"/>
    <w:rsid w:val="00200BD2"/>
    <w:rsid w:val="00200D5C"/>
    <w:rsid w:val="002010EA"/>
    <w:rsid w:val="00202EE2"/>
    <w:rsid w:val="00202FF7"/>
    <w:rsid w:val="00203432"/>
    <w:rsid w:val="00204DC4"/>
    <w:rsid w:val="00204E10"/>
    <w:rsid w:val="002069A0"/>
    <w:rsid w:val="00206C3E"/>
    <w:rsid w:val="00213288"/>
    <w:rsid w:val="00214062"/>
    <w:rsid w:val="00214346"/>
    <w:rsid w:val="0021588B"/>
    <w:rsid w:val="00215A2E"/>
    <w:rsid w:val="00224974"/>
    <w:rsid w:val="002249D4"/>
    <w:rsid w:val="002249FF"/>
    <w:rsid w:val="00226225"/>
    <w:rsid w:val="002313D8"/>
    <w:rsid w:val="00233485"/>
    <w:rsid w:val="00234F08"/>
    <w:rsid w:val="00235766"/>
    <w:rsid w:val="00235C3D"/>
    <w:rsid w:val="00237C27"/>
    <w:rsid w:val="0024381E"/>
    <w:rsid w:val="002448B0"/>
    <w:rsid w:val="0025127A"/>
    <w:rsid w:val="00252CE4"/>
    <w:rsid w:val="00253DF7"/>
    <w:rsid w:val="00261E07"/>
    <w:rsid w:val="002700B8"/>
    <w:rsid w:val="00272BC4"/>
    <w:rsid w:val="0027318F"/>
    <w:rsid w:val="00273F6D"/>
    <w:rsid w:val="00274946"/>
    <w:rsid w:val="00275087"/>
    <w:rsid w:val="00275540"/>
    <w:rsid w:val="00276875"/>
    <w:rsid w:val="00280E74"/>
    <w:rsid w:val="00284380"/>
    <w:rsid w:val="00292C74"/>
    <w:rsid w:val="0029374F"/>
    <w:rsid w:val="00293B03"/>
    <w:rsid w:val="00295457"/>
    <w:rsid w:val="0029545B"/>
    <w:rsid w:val="00295A40"/>
    <w:rsid w:val="00295EA1"/>
    <w:rsid w:val="002A19DB"/>
    <w:rsid w:val="002A236F"/>
    <w:rsid w:val="002A279B"/>
    <w:rsid w:val="002A28B5"/>
    <w:rsid w:val="002B0D51"/>
    <w:rsid w:val="002B2AD3"/>
    <w:rsid w:val="002B6B02"/>
    <w:rsid w:val="002C148C"/>
    <w:rsid w:val="002C14A8"/>
    <w:rsid w:val="002C30CA"/>
    <w:rsid w:val="002D2F97"/>
    <w:rsid w:val="002D3B61"/>
    <w:rsid w:val="002D3EA4"/>
    <w:rsid w:val="002D6035"/>
    <w:rsid w:val="002D6093"/>
    <w:rsid w:val="002D6BA0"/>
    <w:rsid w:val="002E0FEB"/>
    <w:rsid w:val="002E24AA"/>
    <w:rsid w:val="002E44C2"/>
    <w:rsid w:val="002E6177"/>
    <w:rsid w:val="002F03AE"/>
    <w:rsid w:val="002F0E49"/>
    <w:rsid w:val="002F494A"/>
    <w:rsid w:val="002F5815"/>
    <w:rsid w:val="00300D4C"/>
    <w:rsid w:val="003026DB"/>
    <w:rsid w:val="003034AE"/>
    <w:rsid w:val="003073AE"/>
    <w:rsid w:val="003132E6"/>
    <w:rsid w:val="00316B37"/>
    <w:rsid w:val="003211F3"/>
    <w:rsid w:val="003231FC"/>
    <w:rsid w:val="00335E44"/>
    <w:rsid w:val="00340801"/>
    <w:rsid w:val="00341AC4"/>
    <w:rsid w:val="00343F43"/>
    <w:rsid w:val="00346478"/>
    <w:rsid w:val="00347BEA"/>
    <w:rsid w:val="00353734"/>
    <w:rsid w:val="00357102"/>
    <w:rsid w:val="00362FE1"/>
    <w:rsid w:val="00363769"/>
    <w:rsid w:val="00363981"/>
    <w:rsid w:val="00365687"/>
    <w:rsid w:val="003723E1"/>
    <w:rsid w:val="00380E10"/>
    <w:rsid w:val="00383A79"/>
    <w:rsid w:val="00385043"/>
    <w:rsid w:val="00387C86"/>
    <w:rsid w:val="00391540"/>
    <w:rsid w:val="0039423C"/>
    <w:rsid w:val="00396114"/>
    <w:rsid w:val="00396A5C"/>
    <w:rsid w:val="00396D7C"/>
    <w:rsid w:val="003A70C1"/>
    <w:rsid w:val="003B3BBF"/>
    <w:rsid w:val="003B50B6"/>
    <w:rsid w:val="003C16A3"/>
    <w:rsid w:val="003C1D45"/>
    <w:rsid w:val="003C24D9"/>
    <w:rsid w:val="003C26BE"/>
    <w:rsid w:val="003C540C"/>
    <w:rsid w:val="003C63D5"/>
    <w:rsid w:val="003D16C8"/>
    <w:rsid w:val="003D28CB"/>
    <w:rsid w:val="003D3C5A"/>
    <w:rsid w:val="003E73CA"/>
    <w:rsid w:val="003F1278"/>
    <w:rsid w:val="003F27ED"/>
    <w:rsid w:val="00400110"/>
    <w:rsid w:val="00402CA3"/>
    <w:rsid w:val="004043B4"/>
    <w:rsid w:val="00407DD1"/>
    <w:rsid w:val="00415FF5"/>
    <w:rsid w:val="00421055"/>
    <w:rsid w:val="0043361B"/>
    <w:rsid w:val="00434C73"/>
    <w:rsid w:val="00435083"/>
    <w:rsid w:val="0044140C"/>
    <w:rsid w:val="0044364B"/>
    <w:rsid w:val="00444DC2"/>
    <w:rsid w:val="00447BF3"/>
    <w:rsid w:val="00457545"/>
    <w:rsid w:val="00460F25"/>
    <w:rsid w:val="00461A35"/>
    <w:rsid w:val="00461DFB"/>
    <w:rsid w:val="00462586"/>
    <w:rsid w:val="004636C7"/>
    <w:rsid w:val="0046435E"/>
    <w:rsid w:val="00464BA3"/>
    <w:rsid w:val="004656FE"/>
    <w:rsid w:val="00467B39"/>
    <w:rsid w:val="00470DB1"/>
    <w:rsid w:val="00472589"/>
    <w:rsid w:val="004818E1"/>
    <w:rsid w:val="0048612E"/>
    <w:rsid w:val="004900D6"/>
    <w:rsid w:val="004A058B"/>
    <w:rsid w:val="004A6F7C"/>
    <w:rsid w:val="004B0830"/>
    <w:rsid w:val="004B111E"/>
    <w:rsid w:val="004B12E1"/>
    <w:rsid w:val="004B7E19"/>
    <w:rsid w:val="004C05C0"/>
    <w:rsid w:val="004C18A3"/>
    <w:rsid w:val="004C2BB2"/>
    <w:rsid w:val="004C4306"/>
    <w:rsid w:val="004C4D44"/>
    <w:rsid w:val="004C70D8"/>
    <w:rsid w:val="004D5EED"/>
    <w:rsid w:val="004D7666"/>
    <w:rsid w:val="004D7866"/>
    <w:rsid w:val="004E3201"/>
    <w:rsid w:val="004E6952"/>
    <w:rsid w:val="004F1B88"/>
    <w:rsid w:val="004F3316"/>
    <w:rsid w:val="00500A35"/>
    <w:rsid w:val="00503A96"/>
    <w:rsid w:val="005042BB"/>
    <w:rsid w:val="00504812"/>
    <w:rsid w:val="00504E1C"/>
    <w:rsid w:val="005051F5"/>
    <w:rsid w:val="00507D2F"/>
    <w:rsid w:val="00511CAB"/>
    <w:rsid w:val="00513B55"/>
    <w:rsid w:val="005143AB"/>
    <w:rsid w:val="0051504D"/>
    <w:rsid w:val="00520CC2"/>
    <w:rsid w:val="00523158"/>
    <w:rsid w:val="00525291"/>
    <w:rsid w:val="005272DD"/>
    <w:rsid w:val="00531C48"/>
    <w:rsid w:val="005333CA"/>
    <w:rsid w:val="00537DB6"/>
    <w:rsid w:val="00540853"/>
    <w:rsid w:val="00542F3B"/>
    <w:rsid w:val="00543FCD"/>
    <w:rsid w:val="005456A5"/>
    <w:rsid w:val="0054744E"/>
    <w:rsid w:val="00551B45"/>
    <w:rsid w:val="00552A4B"/>
    <w:rsid w:val="00553304"/>
    <w:rsid w:val="0055513F"/>
    <w:rsid w:val="00555733"/>
    <w:rsid w:val="005640C7"/>
    <w:rsid w:val="0056498C"/>
    <w:rsid w:val="00570B79"/>
    <w:rsid w:val="00582C0E"/>
    <w:rsid w:val="00584A1D"/>
    <w:rsid w:val="00585FAE"/>
    <w:rsid w:val="005870CD"/>
    <w:rsid w:val="0059241E"/>
    <w:rsid w:val="005A1B20"/>
    <w:rsid w:val="005A28F3"/>
    <w:rsid w:val="005A4C43"/>
    <w:rsid w:val="005B02B6"/>
    <w:rsid w:val="005B090F"/>
    <w:rsid w:val="005B1A14"/>
    <w:rsid w:val="005B5E2A"/>
    <w:rsid w:val="005C6ED1"/>
    <w:rsid w:val="005C7D59"/>
    <w:rsid w:val="005C7F7E"/>
    <w:rsid w:val="005D2C94"/>
    <w:rsid w:val="005D2D2A"/>
    <w:rsid w:val="005D3F39"/>
    <w:rsid w:val="005D7139"/>
    <w:rsid w:val="005E08B2"/>
    <w:rsid w:val="005E0CD4"/>
    <w:rsid w:val="005F2336"/>
    <w:rsid w:val="005F3D7A"/>
    <w:rsid w:val="005F59EB"/>
    <w:rsid w:val="005F5BA4"/>
    <w:rsid w:val="005F5E75"/>
    <w:rsid w:val="005F6456"/>
    <w:rsid w:val="005F65B4"/>
    <w:rsid w:val="0060253E"/>
    <w:rsid w:val="00602E48"/>
    <w:rsid w:val="00604AC0"/>
    <w:rsid w:val="0060652D"/>
    <w:rsid w:val="006112F3"/>
    <w:rsid w:val="0061530A"/>
    <w:rsid w:val="00615354"/>
    <w:rsid w:val="00615644"/>
    <w:rsid w:val="0061758F"/>
    <w:rsid w:val="0062658F"/>
    <w:rsid w:val="00626BEE"/>
    <w:rsid w:val="006278C0"/>
    <w:rsid w:val="006302DB"/>
    <w:rsid w:val="006306F8"/>
    <w:rsid w:val="00631545"/>
    <w:rsid w:val="00635965"/>
    <w:rsid w:val="00643D01"/>
    <w:rsid w:val="0064433B"/>
    <w:rsid w:val="00644893"/>
    <w:rsid w:val="006637D2"/>
    <w:rsid w:val="006652A2"/>
    <w:rsid w:val="0066714B"/>
    <w:rsid w:val="006717B4"/>
    <w:rsid w:val="00672914"/>
    <w:rsid w:val="00680B2A"/>
    <w:rsid w:val="00685910"/>
    <w:rsid w:val="00686A32"/>
    <w:rsid w:val="006A0FEF"/>
    <w:rsid w:val="006A488F"/>
    <w:rsid w:val="006B0CF6"/>
    <w:rsid w:val="006B368F"/>
    <w:rsid w:val="006B79A1"/>
    <w:rsid w:val="006C0DBC"/>
    <w:rsid w:val="006D011C"/>
    <w:rsid w:val="006D0849"/>
    <w:rsid w:val="006D3CEA"/>
    <w:rsid w:val="006E158C"/>
    <w:rsid w:val="006E311E"/>
    <w:rsid w:val="006E37E7"/>
    <w:rsid w:val="006E3F82"/>
    <w:rsid w:val="006E4EFD"/>
    <w:rsid w:val="006E65BB"/>
    <w:rsid w:val="006E66CF"/>
    <w:rsid w:val="006F0D55"/>
    <w:rsid w:val="00702F45"/>
    <w:rsid w:val="007055AA"/>
    <w:rsid w:val="00707878"/>
    <w:rsid w:val="0071059C"/>
    <w:rsid w:val="00712706"/>
    <w:rsid w:val="00713C7C"/>
    <w:rsid w:val="007143F8"/>
    <w:rsid w:val="007158CC"/>
    <w:rsid w:val="0071618C"/>
    <w:rsid w:val="007203AC"/>
    <w:rsid w:val="00721B9D"/>
    <w:rsid w:val="00722849"/>
    <w:rsid w:val="00724B3A"/>
    <w:rsid w:val="0072616A"/>
    <w:rsid w:val="00733C74"/>
    <w:rsid w:val="0073572D"/>
    <w:rsid w:val="00737F1D"/>
    <w:rsid w:val="00743EE0"/>
    <w:rsid w:val="00750024"/>
    <w:rsid w:val="00751773"/>
    <w:rsid w:val="00757203"/>
    <w:rsid w:val="00762894"/>
    <w:rsid w:val="00763666"/>
    <w:rsid w:val="00764A43"/>
    <w:rsid w:val="007678FC"/>
    <w:rsid w:val="00770439"/>
    <w:rsid w:val="00783022"/>
    <w:rsid w:val="0078409A"/>
    <w:rsid w:val="00790745"/>
    <w:rsid w:val="00791748"/>
    <w:rsid w:val="00792286"/>
    <w:rsid w:val="00794680"/>
    <w:rsid w:val="007A0AE8"/>
    <w:rsid w:val="007A5ABA"/>
    <w:rsid w:val="007B6FC0"/>
    <w:rsid w:val="007B78C5"/>
    <w:rsid w:val="007C0662"/>
    <w:rsid w:val="007C3A20"/>
    <w:rsid w:val="007C4E04"/>
    <w:rsid w:val="007C5758"/>
    <w:rsid w:val="007D04A6"/>
    <w:rsid w:val="007D2DEC"/>
    <w:rsid w:val="007E6002"/>
    <w:rsid w:val="007E64F4"/>
    <w:rsid w:val="007F5705"/>
    <w:rsid w:val="007F7822"/>
    <w:rsid w:val="008020D7"/>
    <w:rsid w:val="008031FB"/>
    <w:rsid w:val="00805EFA"/>
    <w:rsid w:val="00822B87"/>
    <w:rsid w:val="00827898"/>
    <w:rsid w:val="008303E2"/>
    <w:rsid w:val="00835A93"/>
    <w:rsid w:val="00837132"/>
    <w:rsid w:val="00837CB1"/>
    <w:rsid w:val="00841DE6"/>
    <w:rsid w:val="008426B9"/>
    <w:rsid w:val="008474F3"/>
    <w:rsid w:val="0085177F"/>
    <w:rsid w:val="00856912"/>
    <w:rsid w:val="008619E3"/>
    <w:rsid w:val="008623E9"/>
    <w:rsid w:val="00864AC1"/>
    <w:rsid w:val="00865AC3"/>
    <w:rsid w:val="00867956"/>
    <w:rsid w:val="0088151F"/>
    <w:rsid w:val="00883DEE"/>
    <w:rsid w:val="00885088"/>
    <w:rsid w:val="0088619F"/>
    <w:rsid w:val="008901F0"/>
    <w:rsid w:val="0089042E"/>
    <w:rsid w:val="00890A20"/>
    <w:rsid w:val="00895C01"/>
    <w:rsid w:val="008A10B7"/>
    <w:rsid w:val="008A1BAF"/>
    <w:rsid w:val="008A3EB4"/>
    <w:rsid w:val="008A754C"/>
    <w:rsid w:val="008A7D64"/>
    <w:rsid w:val="008B0CD3"/>
    <w:rsid w:val="008B11CA"/>
    <w:rsid w:val="008B362B"/>
    <w:rsid w:val="008B5AC2"/>
    <w:rsid w:val="008B5B83"/>
    <w:rsid w:val="008B6EEC"/>
    <w:rsid w:val="008C312C"/>
    <w:rsid w:val="008C4D4C"/>
    <w:rsid w:val="008C6338"/>
    <w:rsid w:val="008D05FB"/>
    <w:rsid w:val="008D5033"/>
    <w:rsid w:val="008D7114"/>
    <w:rsid w:val="008E5A3B"/>
    <w:rsid w:val="008E6605"/>
    <w:rsid w:val="008E6693"/>
    <w:rsid w:val="008E68DA"/>
    <w:rsid w:val="008E7617"/>
    <w:rsid w:val="008F26F1"/>
    <w:rsid w:val="008F382E"/>
    <w:rsid w:val="008F4767"/>
    <w:rsid w:val="008F5DD1"/>
    <w:rsid w:val="008F7424"/>
    <w:rsid w:val="009065BE"/>
    <w:rsid w:val="00906838"/>
    <w:rsid w:val="009108D2"/>
    <w:rsid w:val="00911D36"/>
    <w:rsid w:val="00912BD8"/>
    <w:rsid w:val="00915C45"/>
    <w:rsid w:val="00916135"/>
    <w:rsid w:val="00923159"/>
    <w:rsid w:val="00923C7A"/>
    <w:rsid w:val="0092416A"/>
    <w:rsid w:val="009241D8"/>
    <w:rsid w:val="00925D69"/>
    <w:rsid w:val="009324EA"/>
    <w:rsid w:val="00933C11"/>
    <w:rsid w:val="00936E61"/>
    <w:rsid w:val="0094078B"/>
    <w:rsid w:val="00941436"/>
    <w:rsid w:val="0094146D"/>
    <w:rsid w:val="0094160A"/>
    <w:rsid w:val="00943CE6"/>
    <w:rsid w:val="00947433"/>
    <w:rsid w:val="0095392C"/>
    <w:rsid w:val="00955A4F"/>
    <w:rsid w:val="00956A47"/>
    <w:rsid w:val="00956C8A"/>
    <w:rsid w:val="009638D1"/>
    <w:rsid w:val="0097144D"/>
    <w:rsid w:val="009744D5"/>
    <w:rsid w:val="009755B7"/>
    <w:rsid w:val="00975B94"/>
    <w:rsid w:val="00983060"/>
    <w:rsid w:val="00983428"/>
    <w:rsid w:val="009874F6"/>
    <w:rsid w:val="009920DF"/>
    <w:rsid w:val="00996A3E"/>
    <w:rsid w:val="00997144"/>
    <w:rsid w:val="00997690"/>
    <w:rsid w:val="009A7027"/>
    <w:rsid w:val="009B0EAF"/>
    <w:rsid w:val="009B1547"/>
    <w:rsid w:val="009B2438"/>
    <w:rsid w:val="009B69F3"/>
    <w:rsid w:val="009C0C83"/>
    <w:rsid w:val="009C2EEE"/>
    <w:rsid w:val="009C7AE6"/>
    <w:rsid w:val="009D0728"/>
    <w:rsid w:val="009D250E"/>
    <w:rsid w:val="009D75FA"/>
    <w:rsid w:val="009E1092"/>
    <w:rsid w:val="009E1FFA"/>
    <w:rsid w:val="009E277D"/>
    <w:rsid w:val="009E64FA"/>
    <w:rsid w:val="009F505D"/>
    <w:rsid w:val="009F5A65"/>
    <w:rsid w:val="009F5C1E"/>
    <w:rsid w:val="009F608D"/>
    <w:rsid w:val="009F73AE"/>
    <w:rsid w:val="00A01C55"/>
    <w:rsid w:val="00A04EF3"/>
    <w:rsid w:val="00A103E4"/>
    <w:rsid w:val="00A111FE"/>
    <w:rsid w:val="00A13C55"/>
    <w:rsid w:val="00A16E2D"/>
    <w:rsid w:val="00A23D27"/>
    <w:rsid w:val="00A3262A"/>
    <w:rsid w:val="00A327C7"/>
    <w:rsid w:val="00A43D3A"/>
    <w:rsid w:val="00A43FC0"/>
    <w:rsid w:val="00A45B10"/>
    <w:rsid w:val="00A4718E"/>
    <w:rsid w:val="00A50791"/>
    <w:rsid w:val="00A523EE"/>
    <w:rsid w:val="00A64E8C"/>
    <w:rsid w:val="00A65233"/>
    <w:rsid w:val="00A73883"/>
    <w:rsid w:val="00A74654"/>
    <w:rsid w:val="00A74ACB"/>
    <w:rsid w:val="00A761EA"/>
    <w:rsid w:val="00A80EA6"/>
    <w:rsid w:val="00A82CF4"/>
    <w:rsid w:val="00A82E34"/>
    <w:rsid w:val="00A83BA1"/>
    <w:rsid w:val="00A86D61"/>
    <w:rsid w:val="00A96258"/>
    <w:rsid w:val="00A97DA6"/>
    <w:rsid w:val="00AA0D48"/>
    <w:rsid w:val="00AA791E"/>
    <w:rsid w:val="00AB1D9E"/>
    <w:rsid w:val="00AB25AD"/>
    <w:rsid w:val="00AB34ED"/>
    <w:rsid w:val="00AB72B7"/>
    <w:rsid w:val="00AC64CF"/>
    <w:rsid w:val="00AC7708"/>
    <w:rsid w:val="00AD3667"/>
    <w:rsid w:val="00AD45F5"/>
    <w:rsid w:val="00AD5AA8"/>
    <w:rsid w:val="00AD63ED"/>
    <w:rsid w:val="00AE18C9"/>
    <w:rsid w:val="00AE1CA1"/>
    <w:rsid w:val="00AE2634"/>
    <w:rsid w:val="00AE4B92"/>
    <w:rsid w:val="00AE6EB2"/>
    <w:rsid w:val="00AF09D0"/>
    <w:rsid w:val="00AF46EF"/>
    <w:rsid w:val="00B01FD1"/>
    <w:rsid w:val="00B079A9"/>
    <w:rsid w:val="00B07F0A"/>
    <w:rsid w:val="00B1233A"/>
    <w:rsid w:val="00B1291B"/>
    <w:rsid w:val="00B13B32"/>
    <w:rsid w:val="00B16631"/>
    <w:rsid w:val="00B16B69"/>
    <w:rsid w:val="00B171AC"/>
    <w:rsid w:val="00B2462F"/>
    <w:rsid w:val="00B2733A"/>
    <w:rsid w:val="00B30FFC"/>
    <w:rsid w:val="00B352BB"/>
    <w:rsid w:val="00B40843"/>
    <w:rsid w:val="00B4352F"/>
    <w:rsid w:val="00B4394D"/>
    <w:rsid w:val="00B527DC"/>
    <w:rsid w:val="00B53EFB"/>
    <w:rsid w:val="00B55FFE"/>
    <w:rsid w:val="00B5677C"/>
    <w:rsid w:val="00B63ECF"/>
    <w:rsid w:val="00B63EE5"/>
    <w:rsid w:val="00B67EF9"/>
    <w:rsid w:val="00B75B1D"/>
    <w:rsid w:val="00B75F1E"/>
    <w:rsid w:val="00B8111C"/>
    <w:rsid w:val="00B814CC"/>
    <w:rsid w:val="00B82869"/>
    <w:rsid w:val="00B82F11"/>
    <w:rsid w:val="00B83B13"/>
    <w:rsid w:val="00B83E4C"/>
    <w:rsid w:val="00B84FBA"/>
    <w:rsid w:val="00B878D3"/>
    <w:rsid w:val="00B9176D"/>
    <w:rsid w:val="00B94DC8"/>
    <w:rsid w:val="00B96E57"/>
    <w:rsid w:val="00BA3E5A"/>
    <w:rsid w:val="00BB576B"/>
    <w:rsid w:val="00BB6752"/>
    <w:rsid w:val="00BB712F"/>
    <w:rsid w:val="00BB71F6"/>
    <w:rsid w:val="00BC0815"/>
    <w:rsid w:val="00BC0A34"/>
    <w:rsid w:val="00BC6901"/>
    <w:rsid w:val="00BC6A05"/>
    <w:rsid w:val="00BD3793"/>
    <w:rsid w:val="00BD6170"/>
    <w:rsid w:val="00BE3C8A"/>
    <w:rsid w:val="00BE72CD"/>
    <w:rsid w:val="00BE744D"/>
    <w:rsid w:val="00BF0B8D"/>
    <w:rsid w:val="00BF4481"/>
    <w:rsid w:val="00C01280"/>
    <w:rsid w:val="00C05DEC"/>
    <w:rsid w:val="00C063D0"/>
    <w:rsid w:val="00C0701C"/>
    <w:rsid w:val="00C11B5A"/>
    <w:rsid w:val="00C12453"/>
    <w:rsid w:val="00C128C3"/>
    <w:rsid w:val="00C1396B"/>
    <w:rsid w:val="00C1597E"/>
    <w:rsid w:val="00C22E7A"/>
    <w:rsid w:val="00C24096"/>
    <w:rsid w:val="00C24620"/>
    <w:rsid w:val="00C36A52"/>
    <w:rsid w:val="00C40694"/>
    <w:rsid w:val="00C40BAC"/>
    <w:rsid w:val="00C4287D"/>
    <w:rsid w:val="00C43C71"/>
    <w:rsid w:val="00C4600E"/>
    <w:rsid w:val="00C61DFF"/>
    <w:rsid w:val="00C65918"/>
    <w:rsid w:val="00C7040B"/>
    <w:rsid w:val="00C7586D"/>
    <w:rsid w:val="00C76723"/>
    <w:rsid w:val="00C85D7F"/>
    <w:rsid w:val="00C85F58"/>
    <w:rsid w:val="00C86D3F"/>
    <w:rsid w:val="00C90995"/>
    <w:rsid w:val="00C91DAD"/>
    <w:rsid w:val="00C93627"/>
    <w:rsid w:val="00C96628"/>
    <w:rsid w:val="00CA108D"/>
    <w:rsid w:val="00CA3F97"/>
    <w:rsid w:val="00CA6079"/>
    <w:rsid w:val="00CA630F"/>
    <w:rsid w:val="00CA72C1"/>
    <w:rsid w:val="00CA7F8C"/>
    <w:rsid w:val="00CB0A4E"/>
    <w:rsid w:val="00CB3681"/>
    <w:rsid w:val="00CB4B94"/>
    <w:rsid w:val="00CB6538"/>
    <w:rsid w:val="00CC111C"/>
    <w:rsid w:val="00CC263B"/>
    <w:rsid w:val="00CC72A5"/>
    <w:rsid w:val="00CD2CB2"/>
    <w:rsid w:val="00CD6714"/>
    <w:rsid w:val="00CD6A22"/>
    <w:rsid w:val="00CE2EDD"/>
    <w:rsid w:val="00CE4120"/>
    <w:rsid w:val="00CE6E56"/>
    <w:rsid w:val="00CE72F5"/>
    <w:rsid w:val="00CF2299"/>
    <w:rsid w:val="00CF5725"/>
    <w:rsid w:val="00CF6576"/>
    <w:rsid w:val="00CF6AE8"/>
    <w:rsid w:val="00D032A5"/>
    <w:rsid w:val="00D03F95"/>
    <w:rsid w:val="00D05FDE"/>
    <w:rsid w:val="00D07464"/>
    <w:rsid w:val="00D1050E"/>
    <w:rsid w:val="00D122E8"/>
    <w:rsid w:val="00D145F1"/>
    <w:rsid w:val="00D14DD7"/>
    <w:rsid w:val="00D15DAC"/>
    <w:rsid w:val="00D236A5"/>
    <w:rsid w:val="00D309A9"/>
    <w:rsid w:val="00D33BC7"/>
    <w:rsid w:val="00D33C6F"/>
    <w:rsid w:val="00D34A30"/>
    <w:rsid w:val="00D36886"/>
    <w:rsid w:val="00D40A80"/>
    <w:rsid w:val="00D5024E"/>
    <w:rsid w:val="00D50B98"/>
    <w:rsid w:val="00D55873"/>
    <w:rsid w:val="00D559FE"/>
    <w:rsid w:val="00D5648B"/>
    <w:rsid w:val="00D57775"/>
    <w:rsid w:val="00D609C7"/>
    <w:rsid w:val="00D63DEF"/>
    <w:rsid w:val="00D63EB1"/>
    <w:rsid w:val="00D6548E"/>
    <w:rsid w:val="00D71666"/>
    <w:rsid w:val="00D71BB2"/>
    <w:rsid w:val="00D83C09"/>
    <w:rsid w:val="00D90963"/>
    <w:rsid w:val="00D94B52"/>
    <w:rsid w:val="00D94CC0"/>
    <w:rsid w:val="00D95F84"/>
    <w:rsid w:val="00D961D0"/>
    <w:rsid w:val="00D97B81"/>
    <w:rsid w:val="00DA2C41"/>
    <w:rsid w:val="00DA2F2A"/>
    <w:rsid w:val="00DA4664"/>
    <w:rsid w:val="00DA6C65"/>
    <w:rsid w:val="00DA6F1A"/>
    <w:rsid w:val="00DB1E58"/>
    <w:rsid w:val="00DB5AAF"/>
    <w:rsid w:val="00DB5EBC"/>
    <w:rsid w:val="00DB79AB"/>
    <w:rsid w:val="00DC13E4"/>
    <w:rsid w:val="00DC393D"/>
    <w:rsid w:val="00DC62C8"/>
    <w:rsid w:val="00DC63FD"/>
    <w:rsid w:val="00DC75FD"/>
    <w:rsid w:val="00DD1199"/>
    <w:rsid w:val="00DD4640"/>
    <w:rsid w:val="00DD6C0E"/>
    <w:rsid w:val="00DE358B"/>
    <w:rsid w:val="00DE3985"/>
    <w:rsid w:val="00DE406E"/>
    <w:rsid w:val="00DE637F"/>
    <w:rsid w:val="00DE6AEC"/>
    <w:rsid w:val="00DF1C83"/>
    <w:rsid w:val="00DF27CC"/>
    <w:rsid w:val="00DF332F"/>
    <w:rsid w:val="00DF60B7"/>
    <w:rsid w:val="00DF60EB"/>
    <w:rsid w:val="00DF7464"/>
    <w:rsid w:val="00E01726"/>
    <w:rsid w:val="00E02726"/>
    <w:rsid w:val="00E04768"/>
    <w:rsid w:val="00E05850"/>
    <w:rsid w:val="00E06C4B"/>
    <w:rsid w:val="00E10DDC"/>
    <w:rsid w:val="00E16884"/>
    <w:rsid w:val="00E1728D"/>
    <w:rsid w:val="00E230EC"/>
    <w:rsid w:val="00E254BA"/>
    <w:rsid w:val="00E31389"/>
    <w:rsid w:val="00E32F9E"/>
    <w:rsid w:val="00E34A98"/>
    <w:rsid w:val="00E37A29"/>
    <w:rsid w:val="00E426D6"/>
    <w:rsid w:val="00E5168E"/>
    <w:rsid w:val="00E566D6"/>
    <w:rsid w:val="00E57F94"/>
    <w:rsid w:val="00E60394"/>
    <w:rsid w:val="00E66FAF"/>
    <w:rsid w:val="00E70A36"/>
    <w:rsid w:val="00E70C70"/>
    <w:rsid w:val="00E71106"/>
    <w:rsid w:val="00E72599"/>
    <w:rsid w:val="00E7389C"/>
    <w:rsid w:val="00E76FC5"/>
    <w:rsid w:val="00E779F2"/>
    <w:rsid w:val="00E84C5D"/>
    <w:rsid w:val="00E87D56"/>
    <w:rsid w:val="00E90DDB"/>
    <w:rsid w:val="00E91156"/>
    <w:rsid w:val="00EA5A29"/>
    <w:rsid w:val="00EB1911"/>
    <w:rsid w:val="00EB4293"/>
    <w:rsid w:val="00EC0EC6"/>
    <w:rsid w:val="00EC102F"/>
    <w:rsid w:val="00EC2597"/>
    <w:rsid w:val="00EC2A88"/>
    <w:rsid w:val="00EC36C7"/>
    <w:rsid w:val="00EC3CAB"/>
    <w:rsid w:val="00EC4F16"/>
    <w:rsid w:val="00ED22E2"/>
    <w:rsid w:val="00ED485A"/>
    <w:rsid w:val="00ED6425"/>
    <w:rsid w:val="00ED6BDE"/>
    <w:rsid w:val="00ED6F70"/>
    <w:rsid w:val="00ED7818"/>
    <w:rsid w:val="00ED7B0D"/>
    <w:rsid w:val="00EE04A9"/>
    <w:rsid w:val="00EE0E3C"/>
    <w:rsid w:val="00EE2EA4"/>
    <w:rsid w:val="00EE531A"/>
    <w:rsid w:val="00EF01B1"/>
    <w:rsid w:val="00EF6AC0"/>
    <w:rsid w:val="00EF7657"/>
    <w:rsid w:val="00F0439A"/>
    <w:rsid w:val="00F05660"/>
    <w:rsid w:val="00F25E2F"/>
    <w:rsid w:val="00F26F22"/>
    <w:rsid w:val="00F30F58"/>
    <w:rsid w:val="00F32C61"/>
    <w:rsid w:val="00F3493B"/>
    <w:rsid w:val="00F34A58"/>
    <w:rsid w:val="00F34AE8"/>
    <w:rsid w:val="00F35388"/>
    <w:rsid w:val="00F44E4B"/>
    <w:rsid w:val="00F4799E"/>
    <w:rsid w:val="00F52914"/>
    <w:rsid w:val="00F552DD"/>
    <w:rsid w:val="00F5736B"/>
    <w:rsid w:val="00F67D89"/>
    <w:rsid w:val="00F70442"/>
    <w:rsid w:val="00F70499"/>
    <w:rsid w:val="00F70E5D"/>
    <w:rsid w:val="00F73689"/>
    <w:rsid w:val="00F74F4D"/>
    <w:rsid w:val="00F76D21"/>
    <w:rsid w:val="00F817D6"/>
    <w:rsid w:val="00F81936"/>
    <w:rsid w:val="00F828D5"/>
    <w:rsid w:val="00F83FBE"/>
    <w:rsid w:val="00F90B51"/>
    <w:rsid w:val="00F91C66"/>
    <w:rsid w:val="00F92E40"/>
    <w:rsid w:val="00F94372"/>
    <w:rsid w:val="00F95AFC"/>
    <w:rsid w:val="00FA0436"/>
    <w:rsid w:val="00FA08FF"/>
    <w:rsid w:val="00FA0AB8"/>
    <w:rsid w:val="00FA4EAD"/>
    <w:rsid w:val="00FB4514"/>
    <w:rsid w:val="00FB70EB"/>
    <w:rsid w:val="00FC30BB"/>
    <w:rsid w:val="00FC6D18"/>
    <w:rsid w:val="00FC7492"/>
    <w:rsid w:val="00FC7D33"/>
    <w:rsid w:val="00FD0F91"/>
    <w:rsid w:val="00FD390B"/>
    <w:rsid w:val="00FD6ACA"/>
    <w:rsid w:val="00FE6E41"/>
    <w:rsid w:val="00FF07B9"/>
    <w:rsid w:val="00FF3A57"/>
    <w:rsid w:val="00FF3F77"/>
    <w:rsid w:val="00FF5B24"/>
    <w:rsid w:val="0CB78F84"/>
    <w:rsid w:val="23D74BA3"/>
    <w:rsid w:val="2691C07B"/>
    <w:rsid w:val="3260BE44"/>
    <w:rsid w:val="344DBCEA"/>
    <w:rsid w:val="46A8D43A"/>
    <w:rsid w:val="4F1696A8"/>
    <w:rsid w:val="589C4AF9"/>
    <w:rsid w:val="6EC8BF7B"/>
    <w:rsid w:val="72121007"/>
    <w:rsid w:val="7471AC24"/>
    <w:rsid w:val="7AF5B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6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175"/>
    <w:pPr>
      <w:spacing w:line="360" w:lineRule="auto"/>
    </w:pPr>
    <w:rPr>
      <w:rFonts w:ascii="Times New Roman" w:hAnsi="Times New Roman"/>
      <w:sz w:val="24"/>
    </w:rPr>
  </w:style>
  <w:style w:type="paragraph" w:styleId="Heading1">
    <w:name w:val="heading 1"/>
    <w:basedOn w:val="Normal"/>
    <w:next w:val="Normal"/>
    <w:link w:val="Heading1Char"/>
    <w:uiPriority w:val="9"/>
    <w:qFormat/>
    <w:rsid w:val="00272BC4"/>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2BC4"/>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2BC4"/>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72BC4"/>
    <w:rPr>
      <w:rFonts w:ascii="Times New Roman" w:eastAsiaTheme="majorEastAsia" w:hAnsi="Times New Roman" w:cstheme="majorBidi"/>
      <w:spacing w:val="-10"/>
      <w:kern w:val="28"/>
      <w:sz w:val="56"/>
      <w:szCs w:val="56"/>
    </w:rPr>
  </w:style>
  <w:style w:type="paragraph" w:styleId="Subtitle">
    <w:name w:val="Subtitle"/>
    <w:basedOn w:val="Normal"/>
    <w:next w:val="Normal"/>
    <w:link w:val="SubtitleChar"/>
    <w:uiPriority w:val="11"/>
    <w:qFormat/>
    <w:rsid w:val="007D2DE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2DEC"/>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272BC4"/>
    <w:rPr>
      <w:rFonts w:ascii="Times New Roman" w:eastAsiaTheme="majorEastAsia" w:hAnsi="Times New Roman" w:cstheme="majorBidi"/>
      <w:color w:val="2F5496" w:themeColor="accent1" w:themeShade="BF"/>
      <w:sz w:val="32"/>
      <w:szCs w:val="32"/>
    </w:rPr>
  </w:style>
  <w:style w:type="character" w:customStyle="1" w:styleId="Heading2Char">
    <w:name w:val="Heading 2 Char"/>
    <w:basedOn w:val="DefaultParagraphFont"/>
    <w:link w:val="Heading2"/>
    <w:uiPriority w:val="9"/>
    <w:rsid w:val="00272BC4"/>
    <w:rPr>
      <w:rFonts w:ascii="Times New Roman" w:eastAsiaTheme="majorEastAsia" w:hAnsi="Times New Roman" w:cstheme="majorBidi"/>
      <w:color w:val="2F5496" w:themeColor="accent1" w:themeShade="BF"/>
      <w:sz w:val="26"/>
      <w:szCs w:val="26"/>
    </w:rPr>
  </w:style>
  <w:style w:type="paragraph" w:styleId="Quote">
    <w:name w:val="Quote"/>
    <w:basedOn w:val="Normal"/>
    <w:next w:val="Normal"/>
    <w:link w:val="QuoteChar"/>
    <w:uiPriority w:val="99"/>
    <w:qFormat/>
    <w:rsid w:val="00EF6AC0"/>
    <w:pPr>
      <w:spacing w:after="200"/>
      <w:jc w:val="both"/>
    </w:pPr>
    <w:rPr>
      <w:rFonts w:ascii="Arial" w:eastAsia="Calibri" w:hAnsi="Arial" w:cs="Times New Roman"/>
      <w:i/>
      <w:iCs/>
      <w:color w:val="000000"/>
    </w:rPr>
  </w:style>
  <w:style w:type="character" w:customStyle="1" w:styleId="QuoteChar">
    <w:name w:val="Quote Char"/>
    <w:basedOn w:val="DefaultParagraphFont"/>
    <w:link w:val="Quote"/>
    <w:uiPriority w:val="99"/>
    <w:rsid w:val="00EF6AC0"/>
    <w:rPr>
      <w:rFonts w:ascii="Arial" w:eastAsia="Calibri" w:hAnsi="Arial" w:cs="Times New Roman"/>
      <w:i/>
      <w:iCs/>
      <w:color w:val="000000"/>
      <w:sz w:val="24"/>
    </w:rPr>
  </w:style>
  <w:style w:type="character" w:styleId="Hyperlink">
    <w:name w:val="Hyperlink"/>
    <w:basedOn w:val="DefaultParagraphFont"/>
    <w:uiPriority w:val="99"/>
    <w:unhideWhenUsed/>
    <w:rsid w:val="00161175"/>
    <w:rPr>
      <w:color w:val="0563C1" w:themeColor="hyperlink"/>
      <w:u w:val="single"/>
    </w:rPr>
  </w:style>
  <w:style w:type="character" w:customStyle="1" w:styleId="UnresolvedMention">
    <w:name w:val="Unresolved Mention"/>
    <w:basedOn w:val="DefaultParagraphFont"/>
    <w:uiPriority w:val="99"/>
    <w:semiHidden/>
    <w:unhideWhenUsed/>
    <w:rsid w:val="00161175"/>
    <w:rPr>
      <w:color w:val="808080"/>
      <w:shd w:val="clear" w:color="auto" w:fill="E6E6E6"/>
    </w:rPr>
  </w:style>
  <w:style w:type="character" w:styleId="FollowedHyperlink">
    <w:name w:val="FollowedHyperlink"/>
    <w:basedOn w:val="DefaultParagraphFont"/>
    <w:uiPriority w:val="99"/>
    <w:semiHidden/>
    <w:unhideWhenUsed/>
    <w:rsid w:val="00C76723"/>
    <w:rPr>
      <w:color w:val="954F72" w:themeColor="followedHyperlink"/>
      <w:u w:val="single"/>
    </w:rPr>
  </w:style>
  <w:style w:type="paragraph" w:styleId="Caption">
    <w:name w:val="caption"/>
    <w:basedOn w:val="Normal"/>
    <w:next w:val="Normal"/>
    <w:qFormat/>
    <w:rsid w:val="00133C6B"/>
    <w:pPr>
      <w:spacing w:before="120" w:after="120" w:line="240" w:lineRule="auto"/>
      <w:jc w:val="both"/>
    </w:pPr>
    <w:rPr>
      <w:rFonts w:ascii="Arial" w:eastAsia="Times New Roman" w:hAnsi="Arial" w:cs="Times New Roman"/>
      <w:b/>
      <w:bCs/>
      <w:color w:val="2F5496" w:themeColor="accent1" w:themeShade="BF"/>
      <w:sz w:val="20"/>
      <w:szCs w:val="20"/>
    </w:rPr>
  </w:style>
  <w:style w:type="paragraph" w:styleId="NoSpacing">
    <w:name w:val="No Spacing"/>
    <w:link w:val="NoSpacingChar"/>
    <w:uiPriority w:val="1"/>
    <w:qFormat/>
    <w:rsid w:val="00133C6B"/>
    <w:pPr>
      <w:spacing w:after="0" w:line="240" w:lineRule="auto"/>
    </w:pPr>
    <w:rPr>
      <w:rFonts w:ascii="Arial" w:eastAsia="Calibri" w:hAnsi="Arial" w:cs="Times New Roman"/>
      <w:sz w:val="20"/>
    </w:rPr>
  </w:style>
  <w:style w:type="character" w:customStyle="1" w:styleId="NoSpacingChar">
    <w:name w:val="No Spacing Char"/>
    <w:basedOn w:val="DefaultParagraphFont"/>
    <w:link w:val="NoSpacing"/>
    <w:uiPriority w:val="1"/>
    <w:rsid w:val="00133C6B"/>
    <w:rPr>
      <w:rFonts w:ascii="Arial" w:eastAsia="Calibri" w:hAnsi="Arial" w:cs="Times New Roman"/>
      <w:sz w:val="20"/>
    </w:rPr>
  </w:style>
  <w:style w:type="paragraph" w:customStyle="1" w:styleId="Tablecontent">
    <w:name w:val="Table content"/>
    <w:basedOn w:val="NoSpacing"/>
    <w:link w:val="TablecontentChar"/>
    <w:qFormat/>
    <w:rsid w:val="00133C6B"/>
  </w:style>
  <w:style w:type="character" w:customStyle="1" w:styleId="TablecontentChar">
    <w:name w:val="Table content Char"/>
    <w:basedOn w:val="NoSpacingChar"/>
    <w:link w:val="Tablecontent"/>
    <w:rsid w:val="00133C6B"/>
    <w:rPr>
      <w:rFonts w:ascii="Arial" w:eastAsia="Calibri" w:hAnsi="Arial" w:cs="Times New Roman"/>
      <w:sz w:val="20"/>
    </w:rPr>
  </w:style>
  <w:style w:type="table" w:customStyle="1" w:styleId="TableDissertation">
    <w:name w:val="Table Dissertation"/>
    <w:basedOn w:val="TableNormal"/>
    <w:uiPriority w:val="99"/>
    <w:rsid w:val="00133C6B"/>
    <w:pPr>
      <w:spacing w:after="0" w:line="240" w:lineRule="auto"/>
    </w:pPr>
    <w:tblPr>
      <w:tblBorders>
        <w:top w:val="single" w:sz="4" w:space="0" w:color="auto"/>
        <w:bottom w:val="single" w:sz="4" w:space="0" w:color="auto"/>
      </w:tblBorders>
    </w:tblPr>
    <w:trPr>
      <w:cantSplit/>
    </w:trPr>
    <w:tcPr>
      <w:shd w:val="clear" w:color="auto" w:fill="auto"/>
    </w:tcPr>
    <w:tblStylePr w:type="firstRow">
      <w:rPr>
        <w:b/>
      </w:rPr>
      <w:tblPr/>
      <w:trPr>
        <w:cantSplit w:val="0"/>
        <w:tblHeader/>
      </w:trPr>
      <w:tcPr>
        <w:tcBorders>
          <w:top w:val="single" w:sz="4" w:space="0" w:color="auto"/>
          <w:left w:val="nil"/>
          <w:bottom w:val="single" w:sz="4" w:space="0" w:color="auto"/>
          <w:right w:val="nil"/>
          <w:insideH w:val="nil"/>
          <w:insideV w:val="nil"/>
        </w:tcBorders>
        <w:shd w:val="clear" w:color="auto" w:fill="D9E2F3" w:themeFill="accent1" w:themeFillTint="33"/>
      </w:tcPr>
    </w:tblStylePr>
    <w:tblStylePr w:type="lastRow">
      <w:tblPr/>
      <w:tcPr>
        <w:tcBorders>
          <w:top w:val="nil"/>
          <w:left w:val="nil"/>
          <w:bottom w:val="single" w:sz="4" w:space="0" w:color="auto"/>
          <w:right w:val="nil"/>
          <w:insideH w:val="nil"/>
          <w:insideV w:val="nil"/>
          <w:tl2br w:val="nil"/>
          <w:tr2bl w:val="nil"/>
        </w:tcBorders>
        <w:shd w:val="clear" w:color="auto" w:fill="auto"/>
      </w:tcPr>
    </w:tblStylePr>
  </w:style>
  <w:style w:type="paragraph" w:styleId="ListParagraph">
    <w:name w:val="List Paragraph"/>
    <w:basedOn w:val="Normal"/>
    <w:uiPriority w:val="34"/>
    <w:qFormat/>
    <w:rsid w:val="00F5736B"/>
    <w:pPr>
      <w:ind w:left="720"/>
      <w:contextualSpacing/>
    </w:pPr>
  </w:style>
  <w:style w:type="paragraph" w:styleId="Header">
    <w:name w:val="header"/>
    <w:basedOn w:val="Normal"/>
    <w:link w:val="HeaderChar"/>
    <w:uiPriority w:val="99"/>
    <w:unhideWhenUsed/>
    <w:rsid w:val="00626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58F"/>
    <w:rPr>
      <w:rFonts w:ascii="Times New Roman" w:hAnsi="Times New Roman"/>
      <w:sz w:val="24"/>
    </w:rPr>
  </w:style>
  <w:style w:type="paragraph" w:styleId="Footer">
    <w:name w:val="footer"/>
    <w:basedOn w:val="Normal"/>
    <w:link w:val="FooterChar"/>
    <w:uiPriority w:val="99"/>
    <w:unhideWhenUsed/>
    <w:rsid w:val="00626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58F"/>
    <w:rPr>
      <w:rFonts w:ascii="Times New Roman" w:hAnsi="Times New Roman"/>
      <w:sz w:val="24"/>
    </w:rPr>
  </w:style>
  <w:style w:type="table" w:styleId="TableGrid">
    <w:name w:val="Table Grid"/>
    <w:basedOn w:val="TableNormal"/>
    <w:uiPriority w:val="39"/>
    <w:rsid w:val="00520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762894"/>
    <w:rPr>
      <w:b/>
      <w:bCs/>
      <w:i/>
      <w:iCs/>
      <w:color w:val="4472C4" w:themeColor="accent1"/>
    </w:rPr>
  </w:style>
  <w:style w:type="character" w:styleId="PlaceholderText">
    <w:name w:val="Placeholder Text"/>
    <w:basedOn w:val="DefaultParagraphFont"/>
    <w:uiPriority w:val="99"/>
    <w:semiHidden/>
    <w:rsid w:val="00955A4F"/>
    <w:rPr>
      <w:color w:val="808080"/>
    </w:rPr>
  </w:style>
  <w:style w:type="character" w:styleId="LineNumber">
    <w:name w:val="line number"/>
    <w:basedOn w:val="DefaultParagraphFont"/>
    <w:uiPriority w:val="99"/>
    <w:semiHidden/>
    <w:unhideWhenUsed/>
    <w:rsid w:val="008020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175"/>
    <w:pPr>
      <w:spacing w:line="360" w:lineRule="auto"/>
    </w:pPr>
    <w:rPr>
      <w:rFonts w:ascii="Times New Roman" w:hAnsi="Times New Roman"/>
      <w:sz w:val="24"/>
    </w:rPr>
  </w:style>
  <w:style w:type="paragraph" w:styleId="Heading1">
    <w:name w:val="heading 1"/>
    <w:basedOn w:val="Normal"/>
    <w:next w:val="Normal"/>
    <w:link w:val="Heading1Char"/>
    <w:uiPriority w:val="9"/>
    <w:qFormat/>
    <w:rsid w:val="00272BC4"/>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2BC4"/>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2BC4"/>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72BC4"/>
    <w:rPr>
      <w:rFonts w:ascii="Times New Roman" w:eastAsiaTheme="majorEastAsia" w:hAnsi="Times New Roman" w:cstheme="majorBidi"/>
      <w:spacing w:val="-10"/>
      <w:kern w:val="28"/>
      <w:sz w:val="56"/>
      <w:szCs w:val="56"/>
    </w:rPr>
  </w:style>
  <w:style w:type="paragraph" w:styleId="Subtitle">
    <w:name w:val="Subtitle"/>
    <w:basedOn w:val="Normal"/>
    <w:next w:val="Normal"/>
    <w:link w:val="SubtitleChar"/>
    <w:uiPriority w:val="11"/>
    <w:qFormat/>
    <w:rsid w:val="007D2DE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2DEC"/>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272BC4"/>
    <w:rPr>
      <w:rFonts w:ascii="Times New Roman" w:eastAsiaTheme="majorEastAsia" w:hAnsi="Times New Roman" w:cstheme="majorBidi"/>
      <w:color w:val="2F5496" w:themeColor="accent1" w:themeShade="BF"/>
      <w:sz w:val="32"/>
      <w:szCs w:val="32"/>
    </w:rPr>
  </w:style>
  <w:style w:type="character" w:customStyle="1" w:styleId="Heading2Char">
    <w:name w:val="Heading 2 Char"/>
    <w:basedOn w:val="DefaultParagraphFont"/>
    <w:link w:val="Heading2"/>
    <w:uiPriority w:val="9"/>
    <w:rsid w:val="00272BC4"/>
    <w:rPr>
      <w:rFonts w:ascii="Times New Roman" w:eastAsiaTheme="majorEastAsia" w:hAnsi="Times New Roman" w:cstheme="majorBidi"/>
      <w:color w:val="2F5496" w:themeColor="accent1" w:themeShade="BF"/>
      <w:sz w:val="26"/>
      <w:szCs w:val="26"/>
    </w:rPr>
  </w:style>
  <w:style w:type="paragraph" w:styleId="Quote">
    <w:name w:val="Quote"/>
    <w:basedOn w:val="Normal"/>
    <w:next w:val="Normal"/>
    <w:link w:val="QuoteChar"/>
    <w:uiPriority w:val="99"/>
    <w:qFormat/>
    <w:rsid w:val="00EF6AC0"/>
    <w:pPr>
      <w:spacing w:after="200"/>
      <w:jc w:val="both"/>
    </w:pPr>
    <w:rPr>
      <w:rFonts w:ascii="Arial" w:eastAsia="Calibri" w:hAnsi="Arial" w:cs="Times New Roman"/>
      <w:i/>
      <w:iCs/>
      <w:color w:val="000000"/>
    </w:rPr>
  </w:style>
  <w:style w:type="character" w:customStyle="1" w:styleId="QuoteChar">
    <w:name w:val="Quote Char"/>
    <w:basedOn w:val="DefaultParagraphFont"/>
    <w:link w:val="Quote"/>
    <w:uiPriority w:val="99"/>
    <w:rsid w:val="00EF6AC0"/>
    <w:rPr>
      <w:rFonts w:ascii="Arial" w:eastAsia="Calibri" w:hAnsi="Arial" w:cs="Times New Roman"/>
      <w:i/>
      <w:iCs/>
      <w:color w:val="000000"/>
      <w:sz w:val="24"/>
    </w:rPr>
  </w:style>
  <w:style w:type="character" w:styleId="Hyperlink">
    <w:name w:val="Hyperlink"/>
    <w:basedOn w:val="DefaultParagraphFont"/>
    <w:uiPriority w:val="99"/>
    <w:unhideWhenUsed/>
    <w:rsid w:val="00161175"/>
    <w:rPr>
      <w:color w:val="0563C1" w:themeColor="hyperlink"/>
      <w:u w:val="single"/>
    </w:rPr>
  </w:style>
  <w:style w:type="character" w:customStyle="1" w:styleId="UnresolvedMention">
    <w:name w:val="Unresolved Mention"/>
    <w:basedOn w:val="DefaultParagraphFont"/>
    <w:uiPriority w:val="99"/>
    <w:semiHidden/>
    <w:unhideWhenUsed/>
    <w:rsid w:val="00161175"/>
    <w:rPr>
      <w:color w:val="808080"/>
      <w:shd w:val="clear" w:color="auto" w:fill="E6E6E6"/>
    </w:rPr>
  </w:style>
  <w:style w:type="character" w:styleId="FollowedHyperlink">
    <w:name w:val="FollowedHyperlink"/>
    <w:basedOn w:val="DefaultParagraphFont"/>
    <w:uiPriority w:val="99"/>
    <w:semiHidden/>
    <w:unhideWhenUsed/>
    <w:rsid w:val="00C76723"/>
    <w:rPr>
      <w:color w:val="954F72" w:themeColor="followedHyperlink"/>
      <w:u w:val="single"/>
    </w:rPr>
  </w:style>
  <w:style w:type="paragraph" w:styleId="Caption">
    <w:name w:val="caption"/>
    <w:basedOn w:val="Normal"/>
    <w:next w:val="Normal"/>
    <w:qFormat/>
    <w:rsid w:val="00133C6B"/>
    <w:pPr>
      <w:spacing w:before="120" w:after="120" w:line="240" w:lineRule="auto"/>
      <w:jc w:val="both"/>
    </w:pPr>
    <w:rPr>
      <w:rFonts w:ascii="Arial" w:eastAsia="Times New Roman" w:hAnsi="Arial" w:cs="Times New Roman"/>
      <w:b/>
      <w:bCs/>
      <w:color w:val="2F5496" w:themeColor="accent1" w:themeShade="BF"/>
      <w:sz w:val="20"/>
      <w:szCs w:val="20"/>
    </w:rPr>
  </w:style>
  <w:style w:type="paragraph" w:styleId="NoSpacing">
    <w:name w:val="No Spacing"/>
    <w:link w:val="NoSpacingChar"/>
    <w:uiPriority w:val="1"/>
    <w:qFormat/>
    <w:rsid w:val="00133C6B"/>
    <w:pPr>
      <w:spacing w:after="0" w:line="240" w:lineRule="auto"/>
    </w:pPr>
    <w:rPr>
      <w:rFonts w:ascii="Arial" w:eastAsia="Calibri" w:hAnsi="Arial" w:cs="Times New Roman"/>
      <w:sz w:val="20"/>
    </w:rPr>
  </w:style>
  <w:style w:type="character" w:customStyle="1" w:styleId="NoSpacingChar">
    <w:name w:val="No Spacing Char"/>
    <w:basedOn w:val="DefaultParagraphFont"/>
    <w:link w:val="NoSpacing"/>
    <w:uiPriority w:val="1"/>
    <w:rsid w:val="00133C6B"/>
    <w:rPr>
      <w:rFonts w:ascii="Arial" w:eastAsia="Calibri" w:hAnsi="Arial" w:cs="Times New Roman"/>
      <w:sz w:val="20"/>
    </w:rPr>
  </w:style>
  <w:style w:type="paragraph" w:customStyle="1" w:styleId="Tablecontent">
    <w:name w:val="Table content"/>
    <w:basedOn w:val="NoSpacing"/>
    <w:link w:val="TablecontentChar"/>
    <w:qFormat/>
    <w:rsid w:val="00133C6B"/>
  </w:style>
  <w:style w:type="character" w:customStyle="1" w:styleId="TablecontentChar">
    <w:name w:val="Table content Char"/>
    <w:basedOn w:val="NoSpacingChar"/>
    <w:link w:val="Tablecontent"/>
    <w:rsid w:val="00133C6B"/>
    <w:rPr>
      <w:rFonts w:ascii="Arial" w:eastAsia="Calibri" w:hAnsi="Arial" w:cs="Times New Roman"/>
      <w:sz w:val="20"/>
    </w:rPr>
  </w:style>
  <w:style w:type="table" w:customStyle="1" w:styleId="TableDissertation">
    <w:name w:val="Table Dissertation"/>
    <w:basedOn w:val="TableNormal"/>
    <w:uiPriority w:val="99"/>
    <w:rsid w:val="00133C6B"/>
    <w:pPr>
      <w:spacing w:after="0" w:line="240" w:lineRule="auto"/>
    </w:pPr>
    <w:tblPr>
      <w:tblBorders>
        <w:top w:val="single" w:sz="4" w:space="0" w:color="auto"/>
        <w:bottom w:val="single" w:sz="4" w:space="0" w:color="auto"/>
      </w:tblBorders>
    </w:tblPr>
    <w:trPr>
      <w:cantSplit/>
    </w:trPr>
    <w:tcPr>
      <w:shd w:val="clear" w:color="auto" w:fill="auto"/>
    </w:tcPr>
    <w:tblStylePr w:type="firstRow">
      <w:rPr>
        <w:b/>
      </w:rPr>
      <w:tblPr/>
      <w:trPr>
        <w:cantSplit w:val="0"/>
        <w:tblHeader/>
      </w:trPr>
      <w:tcPr>
        <w:tcBorders>
          <w:top w:val="single" w:sz="4" w:space="0" w:color="auto"/>
          <w:left w:val="nil"/>
          <w:bottom w:val="single" w:sz="4" w:space="0" w:color="auto"/>
          <w:right w:val="nil"/>
          <w:insideH w:val="nil"/>
          <w:insideV w:val="nil"/>
        </w:tcBorders>
        <w:shd w:val="clear" w:color="auto" w:fill="D9E2F3" w:themeFill="accent1" w:themeFillTint="33"/>
      </w:tcPr>
    </w:tblStylePr>
    <w:tblStylePr w:type="lastRow">
      <w:tblPr/>
      <w:tcPr>
        <w:tcBorders>
          <w:top w:val="nil"/>
          <w:left w:val="nil"/>
          <w:bottom w:val="single" w:sz="4" w:space="0" w:color="auto"/>
          <w:right w:val="nil"/>
          <w:insideH w:val="nil"/>
          <w:insideV w:val="nil"/>
          <w:tl2br w:val="nil"/>
          <w:tr2bl w:val="nil"/>
        </w:tcBorders>
        <w:shd w:val="clear" w:color="auto" w:fill="auto"/>
      </w:tcPr>
    </w:tblStylePr>
  </w:style>
  <w:style w:type="paragraph" w:styleId="ListParagraph">
    <w:name w:val="List Paragraph"/>
    <w:basedOn w:val="Normal"/>
    <w:uiPriority w:val="34"/>
    <w:qFormat/>
    <w:rsid w:val="00F5736B"/>
    <w:pPr>
      <w:ind w:left="720"/>
      <w:contextualSpacing/>
    </w:pPr>
  </w:style>
  <w:style w:type="paragraph" w:styleId="Header">
    <w:name w:val="header"/>
    <w:basedOn w:val="Normal"/>
    <w:link w:val="HeaderChar"/>
    <w:uiPriority w:val="99"/>
    <w:unhideWhenUsed/>
    <w:rsid w:val="00626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58F"/>
    <w:rPr>
      <w:rFonts w:ascii="Times New Roman" w:hAnsi="Times New Roman"/>
      <w:sz w:val="24"/>
    </w:rPr>
  </w:style>
  <w:style w:type="paragraph" w:styleId="Footer">
    <w:name w:val="footer"/>
    <w:basedOn w:val="Normal"/>
    <w:link w:val="FooterChar"/>
    <w:uiPriority w:val="99"/>
    <w:unhideWhenUsed/>
    <w:rsid w:val="00626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58F"/>
    <w:rPr>
      <w:rFonts w:ascii="Times New Roman" w:hAnsi="Times New Roman"/>
      <w:sz w:val="24"/>
    </w:rPr>
  </w:style>
  <w:style w:type="table" w:styleId="TableGrid">
    <w:name w:val="Table Grid"/>
    <w:basedOn w:val="TableNormal"/>
    <w:uiPriority w:val="39"/>
    <w:rsid w:val="00520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762894"/>
    <w:rPr>
      <w:b/>
      <w:bCs/>
      <w:i/>
      <w:iCs/>
      <w:color w:val="4472C4" w:themeColor="accent1"/>
    </w:rPr>
  </w:style>
  <w:style w:type="character" w:styleId="PlaceholderText">
    <w:name w:val="Placeholder Text"/>
    <w:basedOn w:val="DefaultParagraphFont"/>
    <w:uiPriority w:val="99"/>
    <w:semiHidden/>
    <w:rsid w:val="00955A4F"/>
    <w:rPr>
      <w:color w:val="808080"/>
    </w:rPr>
  </w:style>
  <w:style w:type="character" w:styleId="LineNumber">
    <w:name w:val="line number"/>
    <w:basedOn w:val="DefaultParagraphFont"/>
    <w:uiPriority w:val="99"/>
    <w:semiHidden/>
    <w:unhideWhenUsed/>
    <w:rsid w:val="00802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40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arleen.lentjes@phpc.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69937-5F03-4399-AD62-4245BB2E8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88767</Words>
  <Characters>505977</Characters>
  <Application>Microsoft Office Word</Application>
  <DocSecurity>0</DocSecurity>
  <Lines>4216</Lines>
  <Paragraphs>1187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Lentjes</dc:creator>
  <cp:keywords/>
  <dc:description/>
  <cp:lastModifiedBy>Senthil C. Kumari</cp:lastModifiedBy>
  <cp:revision>3</cp:revision>
  <cp:lastPrinted>2018-05-02T17:05:00Z</cp:lastPrinted>
  <dcterms:created xsi:type="dcterms:W3CDTF">2018-08-23T10:28:00Z</dcterms:created>
  <dcterms:modified xsi:type="dcterms:W3CDTF">2018-10-26T07:03:00Z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4a3e10c2-82f1-3962-8090-208bff1818a1</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http://www.zotero.org/styles/circulation</vt:lpwstr>
  </property>
  <property fmtid="{D5CDD505-2E9C-101B-9397-08002B2CF9AE}" pid="11" name="Mendeley Recent Style Name 3_1">
    <vt:lpwstr>Circulation</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(author-date)</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http://www.zotero.org/styles/journal-of-epidemiology-and-community-health</vt:lpwstr>
  </property>
  <property fmtid="{D5CDD505-2E9C-101B-9397-08002B2CF9AE}" pid="17" name="Mendeley Recent Style Name 6_1">
    <vt:lpwstr>Journal of Epidemiology and Community Health</vt:lpwstr>
  </property>
  <property fmtid="{D5CDD505-2E9C-101B-9397-08002B2CF9AE}" pid="18" name="Mendeley Recent Style Id 7_1">
    <vt:lpwstr>http://www.zotero.org/styles/nutrients</vt:lpwstr>
  </property>
  <property fmtid="{D5CDD505-2E9C-101B-9397-08002B2CF9AE}" pid="19" name="Mendeley Recent Style Name 7_1">
    <vt:lpwstr>Nutrients</vt:lpwstr>
  </property>
  <property fmtid="{D5CDD505-2E9C-101B-9397-08002B2CF9AE}" pid="20" name="Mendeley Recent Style Id 8_1">
    <vt:lpwstr>http://www.zotero.org/styles/public-health-nutrition</vt:lpwstr>
  </property>
  <property fmtid="{D5CDD505-2E9C-101B-9397-08002B2CF9AE}" pid="21" name="Mendeley Recent Style Name 8_1">
    <vt:lpwstr>Public Health Nutrition</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Citation Style_1">
    <vt:lpwstr>http://www.zotero.org/styles/public-health-nutrition</vt:lpwstr>
  </property>
</Properties>
</file>