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E0FC8" w14:textId="61C010D0" w:rsidR="00871273" w:rsidRDefault="00C96EE6" w:rsidP="000C4C5B">
      <w:pPr>
        <w:jc w:val="both"/>
        <w:rPr>
          <w:b/>
        </w:rPr>
      </w:pPr>
      <w:r>
        <w:rPr>
          <w:b/>
        </w:rPr>
        <w:t xml:space="preserve">Supplementary Information </w:t>
      </w:r>
    </w:p>
    <w:p w14:paraId="465045CC" w14:textId="34125C0D" w:rsidR="00C96EE6" w:rsidRDefault="00C96EE6" w:rsidP="000C4C5B">
      <w:pPr>
        <w:jc w:val="both"/>
      </w:pPr>
      <w:bookmarkStart w:id="0" w:name="_GoBack"/>
      <w:r>
        <w:t xml:space="preserve">In order to test for the robustness of our modeling approach to </w:t>
      </w:r>
      <w:r w:rsidR="00325F20">
        <w:t xml:space="preserve">single vs trickle </w:t>
      </w:r>
      <w:r>
        <w:t xml:space="preserve">infection regimes, we used </w:t>
      </w:r>
      <w:bookmarkEnd w:id="0"/>
      <w:r>
        <w:t xml:space="preserve">data from single dose infection published by Hong et al. (1986). Briefly, 14 week old naïve lambs were infected with a single dose of 3000, 10 000 or 33 000 </w:t>
      </w:r>
      <w:proofErr w:type="spellStart"/>
      <w:r>
        <w:rPr>
          <w:i/>
        </w:rPr>
        <w:t>Teladorsagia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circumcincta</w:t>
      </w:r>
      <w:proofErr w:type="spellEnd"/>
      <w:r>
        <w:t xml:space="preserve"> larvae. On 8 occasions between day 10 and day 77, 2 lambs from each group were sacrificed and their worm burdens </w:t>
      </w:r>
      <w:r w:rsidR="00AA23E6">
        <w:t xml:space="preserve">(differentiated by stage) </w:t>
      </w:r>
      <w:r>
        <w:t xml:space="preserve">were counted. </w:t>
      </w:r>
    </w:p>
    <w:p w14:paraId="109278AE" w14:textId="6C5D54FD" w:rsidR="00C96EE6" w:rsidRDefault="00C96EE6" w:rsidP="000C4C5B">
      <w:pPr>
        <w:jc w:val="both"/>
      </w:pPr>
      <w:r>
        <w:t>In order to parameterize our model, we fixed the starting dose and allowed the establishment of a fraction ε of these larvae. All param</w:t>
      </w:r>
      <w:r w:rsidR="003128D5">
        <w:t>eters were fitted using a non-linear</w:t>
      </w:r>
      <w:r>
        <w:t xml:space="preserve"> least square method</w:t>
      </w:r>
      <w:r w:rsidR="00AD08EE">
        <w:t xml:space="preserve"> as described in the main text of the manuscript</w:t>
      </w:r>
      <w:r>
        <w:t xml:space="preserve">. </w:t>
      </w:r>
    </w:p>
    <w:p w14:paraId="5E2C6F52" w14:textId="0A8D1735" w:rsidR="003128D5" w:rsidRDefault="00C96EE6" w:rsidP="000C4C5B">
      <w:pPr>
        <w:jc w:val="both"/>
      </w:pPr>
      <w:r>
        <w:t xml:space="preserve">Overall, our model </w:t>
      </w:r>
      <w:r w:rsidR="00B02468">
        <w:t>captures a great deal of variance in</w:t>
      </w:r>
      <w:r>
        <w:t xml:space="preserve"> total worm burdens for all three doses</w:t>
      </w:r>
      <w:r w:rsidR="003128D5">
        <w:t xml:space="preserve"> (supplementary figure, right hand side panels)</w:t>
      </w:r>
      <w:r>
        <w:t xml:space="preserve">. </w:t>
      </w:r>
      <w:r w:rsidR="00B02468">
        <w:t>T</w:t>
      </w:r>
      <w:r>
        <w:t>he adult nematode fits are even better described</w:t>
      </w:r>
      <w:r w:rsidR="003128D5">
        <w:t xml:space="preserve"> (supplementary figure, left hand side panels)</w:t>
      </w:r>
      <w:r>
        <w:t xml:space="preserve">. </w:t>
      </w:r>
      <w:r w:rsidR="003128D5">
        <w:t>Interestingly, immunity appears to exhibit dose-dependence similar to that observed in the trickle infection</w:t>
      </w:r>
      <w:r w:rsidR="00B02468">
        <w:t>s described in the main article</w:t>
      </w:r>
      <w:r w:rsidR="003128D5">
        <w:t xml:space="preserve">: </w:t>
      </w:r>
      <w:r w:rsidR="003128D5" w:rsidRPr="000C4C5B">
        <w:rPr>
          <w:i/>
        </w:rPr>
        <w:t>ν</w:t>
      </w:r>
      <w:r w:rsidR="003128D5">
        <w:t xml:space="preserve"> is highest at the lowest infective dose and decreases with increasing dose. The main difference between trickle and single infections appears to be the role of the establishment factor: while </w:t>
      </w:r>
      <w:r w:rsidR="003128D5" w:rsidRPr="000C4C5B">
        <w:rPr>
          <w:i/>
        </w:rPr>
        <w:t>ε</w:t>
      </w:r>
      <w:r w:rsidR="003128D5">
        <w:t xml:space="preserve"> has a very limited effect in the trickle case, it appears to be instrumental in the fitting of single dose infection.</w:t>
      </w:r>
      <w:r w:rsidR="001A734C">
        <w:t xml:space="preserve"> Given the extremely large doses, </w:t>
      </w:r>
      <w:r w:rsidR="005C0A23">
        <w:t xml:space="preserve">a crucial role for </w:t>
      </w:r>
      <w:r w:rsidR="001A734C">
        <w:t xml:space="preserve">establishment </w:t>
      </w:r>
      <w:r w:rsidR="005C0A23">
        <w:t xml:space="preserve">success </w:t>
      </w:r>
      <w:r w:rsidR="00ED3840">
        <w:t xml:space="preserve">in single infection </w:t>
      </w:r>
      <w:r w:rsidR="005C0A23">
        <w:t>is unsurprising</w:t>
      </w:r>
      <w:r w:rsidR="000C4C5B">
        <w:t xml:space="preserve"> and could be mediated biologically by inter-individual competition between larvae for attachment space in the stomach</w:t>
      </w:r>
      <w:r w:rsidR="00ED3840">
        <w:t>.</w:t>
      </w:r>
    </w:p>
    <w:p w14:paraId="69B77AE6" w14:textId="77777777" w:rsidR="003128D5" w:rsidRDefault="003128D5"/>
    <w:p w14:paraId="3EF2A8CA" w14:textId="77777777" w:rsidR="003128D5" w:rsidRDefault="003128D5">
      <w:r w:rsidRPr="003128D5">
        <w:rPr>
          <w:noProof/>
        </w:rPr>
        <w:lastRenderedPageBreak/>
        <w:drawing>
          <wp:inline distT="0" distB="0" distL="0" distR="0" wp14:anchorId="7646E33E" wp14:editId="1888C999">
            <wp:extent cx="5943600" cy="8522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2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2220C" w14:textId="77777777" w:rsidR="003128D5" w:rsidRDefault="003128D5" w:rsidP="003128D5">
      <w:pPr>
        <w:spacing w:line="480" w:lineRule="auto"/>
      </w:pPr>
      <w:r>
        <w:lastRenderedPageBreak/>
        <w:t xml:space="preserve">Supplementary figure: Adult (left) and total (right) </w:t>
      </w:r>
      <w:r w:rsidRPr="00021BCC">
        <w:t xml:space="preserve">worm burdens for different trickle infection regimes. Dots represent the worm count data presented in Hong et al. (1986). Curves represent nonlinear least squares fit of dose-dependent immune parameters 3000 larvae: </w:t>
      </w:r>
      <w:r w:rsidRPr="00021BCC">
        <w:rPr>
          <w:i/>
        </w:rPr>
        <w:t>ν</w:t>
      </w:r>
      <w:r w:rsidRPr="00021BCC">
        <w:t xml:space="preserve"> = </w:t>
      </w:r>
      <w:r w:rsidR="00021BCC" w:rsidRPr="00021BCC">
        <w:t>1.4</w:t>
      </w:r>
      <w:r w:rsidRPr="00021BCC">
        <w:t>*10</w:t>
      </w:r>
      <w:r w:rsidRPr="00021BCC">
        <w:rPr>
          <w:vertAlign w:val="superscript"/>
        </w:rPr>
        <w:t xml:space="preserve">-5, </w:t>
      </w:r>
      <w:r w:rsidRPr="00021BCC">
        <w:rPr>
          <w:i/>
        </w:rPr>
        <w:t>β</w:t>
      </w:r>
      <w:r w:rsidRPr="00021BCC">
        <w:rPr>
          <w:i/>
          <w:vertAlign w:val="subscript"/>
        </w:rPr>
        <w:t>1</w:t>
      </w:r>
      <w:r w:rsidR="00021BCC" w:rsidRPr="00021BCC">
        <w:t xml:space="preserve"> = 0.4</w:t>
      </w:r>
      <w:r w:rsidRPr="00021BCC">
        <w:t xml:space="preserve">5, </w:t>
      </w:r>
      <w:r w:rsidRPr="00021BCC">
        <w:rPr>
          <w:i/>
        </w:rPr>
        <w:t>β</w:t>
      </w:r>
      <w:r w:rsidRPr="00021BCC">
        <w:rPr>
          <w:i/>
          <w:vertAlign w:val="subscript"/>
        </w:rPr>
        <w:t>2</w:t>
      </w:r>
      <w:r w:rsidR="00021BCC" w:rsidRPr="00021BCC">
        <w:t xml:space="preserve"> = 1.73, </w:t>
      </w:r>
      <w:r w:rsidR="00021BCC" w:rsidRPr="00021BCC">
        <w:rPr>
          <w:i/>
        </w:rPr>
        <w:t>ε</w:t>
      </w:r>
      <w:r w:rsidR="00021BCC" w:rsidRPr="00021BCC">
        <w:t xml:space="preserve"> = 0.56</w:t>
      </w:r>
      <w:r w:rsidRPr="00021BCC">
        <w:t xml:space="preserve">; 10000 larvae: </w:t>
      </w:r>
      <w:r w:rsidRPr="00021BCC">
        <w:rPr>
          <w:i/>
        </w:rPr>
        <w:t>ν</w:t>
      </w:r>
      <w:r w:rsidR="00021BCC" w:rsidRPr="00021BCC">
        <w:t xml:space="preserve"> = 0.5</w:t>
      </w:r>
      <w:r w:rsidRPr="00021BCC">
        <w:t>*10</w:t>
      </w:r>
      <w:r w:rsidRPr="00021BCC">
        <w:rPr>
          <w:vertAlign w:val="superscript"/>
        </w:rPr>
        <w:t xml:space="preserve">-5, </w:t>
      </w:r>
      <w:r w:rsidRPr="00021BCC">
        <w:rPr>
          <w:i/>
        </w:rPr>
        <w:t>β</w:t>
      </w:r>
      <w:r w:rsidRPr="00021BCC">
        <w:rPr>
          <w:i/>
          <w:vertAlign w:val="subscript"/>
        </w:rPr>
        <w:t>1</w:t>
      </w:r>
      <w:r w:rsidR="00021BCC" w:rsidRPr="00021BCC">
        <w:t xml:space="preserve"> = 0.52</w:t>
      </w:r>
      <w:r w:rsidRPr="00021BCC">
        <w:t xml:space="preserve">, </w:t>
      </w:r>
      <w:r w:rsidRPr="00021BCC">
        <w:rPr>
          <w:i/>
        </w:rPr>
        <w:t>β</w:t>
      </w:r>
      <w:r w:rsidRPr="00021BCC">
        <w:rPr>
          <w:i/>
          <w:vertAlign w:val="subscript"/>
        </w:rPr>
        <w:t>2</w:t>
      </w:r>
      <w:r w:rsidR="00021BCC" w:rsidRPr="00021BCC">
        <w:t xml:space="preserve"> = 2.95, </w:t>
      </w:r>
      <w:r w:rsidR="00021BCC" w:rsidRPr="00021BCC">
        <w:rPr>
          <w:i/>
        </w:rPr>
        <w:t xml:space="preserve">ε </w:t>
      </w:r>
      <w:r w:rsidR="00021BCC" w:rsidRPr="00021BCC">
        <w:t>= 0.7</w:t>
      </w:r>
      <w:r w:rsidRPr="00021BCC">
        <w:t xml:space="preserve">; 33000 larvae: </w:t>
      </w:r>
      <w:r w:rsidRPr="00021BCC">
        <w:rPr>
          <w:i/>
        </w:rPr>
        <w:t>ν</w:t>
      </w:r>
      <w:r w:rsidR="00021BCC" w:rsidRPr="00021BCC">
        <w:t xml:space="preserve"> = 0.1</w:t>
      </w:r>
      <w:r w:rsidRPr="00021BCC">
        <w:t>*10</w:t>
      </w:r>
      <w:r w:rsidRPr="00021BCC">
        <w:rPr>
          <w:vertAlign w:val="superscript"/>
        </w:rPr>
        <w:t xml:space="preserve">-5, </w:t>
      </w:r>
      <w:r w:rsidRPr="00021BCC">
        <w:rPr>
          <w:i/>
        </w:rPr>
        <w:t>β</w:t>
      </w:r>
      <w:r w:rsidRPr="00021BCC">
        <w:rPr>
          <w:i/>
          <w:vertAlign w:val="subscript"/>
        </w:rPr>
        <w:t>1</w:t>
      </w:r>
      <w:r w:rsidR="00021BCC" w:rsidRPr="00021BCC">
        <w:t xml:space="preserve"> = 0.45</w:t>
      </w:r>
      <w:r w:rsidRPr="00021BCC">
        <w:t xml:space="preserve">, </w:t>
      </w:r>
      <w:r w:rsidRPr="00021BCC">
        <w:rPr>
          <w:i/>
        </w:rPr>
        <w:t>β</w:t>
      </w:r>
      <w:r w:rsidRPr="00021BCC">
        <w:rPr>
          <w:i/>
          <w:vertAlign w:val="subscript"/>
        </w:rPr>
        <w:t>2</w:t>
      </w:r>
      <w:r w:rsidR="00021BCC" w:rsidRPr="00021BCC">
        <w:t xml:space="preserve"> = 3.66, </w:t>
      </w:r>
      <w:r w:rsidR="00021BCC" w:rsidRPr="00021BCC">
        <w:rPr>
          <w:i/>
        </w:rPr>
        <w:t>ε</w:t>
      </w:r>
      <w:r w:rsidR="00021BCC" w:rsidRPr="00021BCC">
        <w:t xml:space="preserve"> = 0.89</w:t>
      </w:r>
      <w:r w:rsidRPr="00021BCC">
        <w:t xml:space="preserve">. Other parameter values: </w:t>
      </w:r>
      <w:r w:rsidRPr="00021BCC">
        <w:rPr>
          <w:i/>
        </w:rPr>
        <w:t>µ</w:t>
      </w:r>
      <w:r w:rsidRPr="00021BCC">
        <w:rPr>
          <w:i/>
          <w:vertAlign w:val="subscript"/>
        </w:rPr>
        <w:t>L</w:t>
      </w:r>
      <w:r w:rsidRPr="00021BCC">
        <w:t xml:space="preserve"> = 0; </w:t>
      </w:r>
      <w:r w:rsidRPr="00021BCC">
        <w:rPr>
          <w:i/>
        </w:rPr>
        <w:t>µ</w:t>
      </w:r>
      <w:r w:rsidRPr="00021BCC">
        <w:rPr>
          <w:i/>
          <w:vertAlign w:val="subscript"/>
        </w:rPr>
        <w:t>M</w:t>
      </w:r>
      <w:r w:rsidRPr="00021BCC">
        <w:t xml:space="preserve"> = 0.02; </w:t>
      </w:r>
      <w:r w:rsidRPr="00021BCC">
        <w:rPr>
          <w:i/>
        </w:rPr>
        <w:t>µ</w:t>
      </w:r>
      <w:r w:rsidRPr="00021BCC">
        <w:rPr>
          <w:i/>
          <w:vertAlign w:val="subscript"/>
        </w:rPr>
        <w:t>I</w:t>
      </w:r>
      <w:r w:rsidRPr="00021BCC">
        <w:t xml:space="preserve"> = 0; γ = 0.1;</w:t>
      </w:r>
      <w:r w:rsidR="00021BCC" w:rsidRPr="00021BCC">
        <w:t xml:space="preserve"> α = 0.</w:t>
      </w:r>
    </w:p>
    <w:p w14:paraId="4A21304D" w14:textId="77777777" w:rsidR="003128D5" w:rsidRPr="00C96EE6" w:rsidRDefault="003128D5"/>
    <w:sectPr w:rsidR="003128D5" w:rsidRPr="00C96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E6"/>
    <w:rsid w:val="00021BCC"/>
    <w:rsid w:val="000C4C5B"/>
    <w:rsid w:val="001A734C"/>
    <w:rsid w:val="003128D5"/>
    <w:rsid w:val="00325F20"/>
    <w:rsid w:val="003864C8"/>
    <w:rsid w:val="005C0A23"/>
    <w:rsid w:val="00871273"/>
    <w:rsid w:val="00AA23E6"/>
    <w:rsid w:val="00AD08EE"/>
    <w:rsid w:val="00AF0A6D"/>
    <w:rsid w:val="00B02468"/>
    <w:rsid w:val="00C96EE6"/>
    <w:rsid w:val="00D153A4"/>
    <w:rsid w:val="00DF5A03"/>
    <w:rsid w:val="00ED3840"/>
    <w:rsid w:val="00F1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E26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8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153A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53A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53A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3A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3A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8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153A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53A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53A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3A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3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Garnier</dc:creator>
  <cp:lastModifiedBy>Romain Garnier</cp:lastModifiedBy>
  <cp:revision>2</cp:revision>
  <dcterms:created xsi:type="dcterms:W3CDTF">2015-07-13T18:43:00Z</dcterms:created>
  <dcterms:modified xsi:type="dcterms:W3CDTF">2015-07-13T18:43:00Z</dcterms:modified>
</cp:coreProperties>
</file>