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299" w:rsidRPr="002D705F" w:rsidRDefault="00347589" w:rsidP="004D5299">
      <w:pPr>
        <w:spacing w:line="480" w:lineRule="auto"/>
        <w:rPr>
          <w:sz w:val="24"/>
          <w:szCs w:val="24"/>
          <w:lang w:val="en-US"/>
        </w:rPr>
      </w:pPr>
      <w:proofErr w:type="gramStart"/>
      <w:r w:rsidRPr="00E91029">
        <w:rPr>
          <w:sz w:val="24"/>
          <w:szCs w:val="24"/>
          <w:lang w:val="en-US"/>
        </w:rPr>
        <w:t>Supplementary S</w:t>
      </w:r>
      <w:r w:rsidR="00BC7AA4">
        <w:rPr>
          <w:sz w:val="24"/>
          <w:szCs w:val="24"/>
          <w:lang w:val="en-US"/>
        </w:rPr>
        <w:t>5</w:t>
      </w:r>
      <w:r w:rsidR="00396D62" w:rsidRPr="00E91029">
        <w:rPr>
          <w:sz w:val="24"/>
          <w:szCs w:val="24"/>
          <w:lang w:val="en-US"/>
        </w:rPr>
        <w:t>.</w:t>
      </w:r>
      <w:proofErr w:type="gramEnd"/>
      <w:r w:rsidR="004D5299" w:rsidRPr="004D5299">
        <w:rPr>
          <w:sz w:val="24"/>
          <w:szCs w:val="24"/>
          <w:lang w:val="en-US"/>
        </w:rPr>
        <w:t xml:space="preserve"> Variance partition analysis of </w:t>
      </w:r>
      <w:r w:rsidR="00724F79">
        <w:rPr>
          <w:sz w:val="24"/>
          <w:szCs w:val="24"/>
          <w:lang w:val="en-US"/>
        </w:rPr>
        <w:t>lice</w:t>
      </w:r>
      <w:r w:rsidR="004D5299" w:rsidRPr="004D5299">
        <w:rPr>
          <w:sz w:val="24"/>
          <w:szCs w:val="24"/>
          <w:lang w:val="en-US"/>
        </w:rPr>
        <w:t xml:space="preserve"> (Phthiraptera) associated with small-mammals in woodland patches of a savanna region in Brazil. Composition, Richness and Abundance were considered independently as response variable and host identity (identity), use of vertical stratum (stratification), host body mass (mass) and seasonality of captures (seasonality) were considered as predictors. The p value was obtained by 1000 permutation. Significant results are in bold.</w:t>
      </w:r>
      <w:r w:rsidR="002D705F">
        <w:rPr>
          <w:sz w:val="24"/>
          <w:szCs w:val="24"/>
          <w:lang w:val="en-US"/>
        </w:rPr>
        <w:t xml:space="preserve"> </w:t>
      </w:r>
      <w:proofErr w:type="spellStart"/>
      <w:proofErr w:type="gramStart"/>
      <w:r w:rsidR="00724F79" w:rsidRPr="00197938">
        <w:rPr>
          <w:sz w:val="24"/>
          <w:szCs w:val="24"/>
          <w:lang w:val="en-US"/>
        </w:rPr>
        <w:t>D</w:t>
      </w:r>
      <w:bookmarkStart w:id="0" w:name="_GoBack"/>
      <w:bookmarkEnd w:id="0"/>
      <w:r w:rsidR="00724F79" w:rsidRPr="00197938">
        <w:rPr>
          <w:sz w:val="24"/>
          <w:szCs w:val="24"/>
          <w:lang w:val="en-US"/>
        </w:rPr>
        <w:t>f</w:t>
      </w:r>
      <w:proofErr w:type="spellEnd"/>
      <w:proofErr w:type="gramEnd"/>
      <w:r w:rsidR="00724F79" w:rsidRPr="00197938">
        <w:rPr>
          <w:sz w:val="24"/>
          <w:szCs w:val="24"/>
          <w:lang w:val="en-US"/>
        </w:rPr>
        <w:t xml:space="preserve">: Degrees of freedom; </w:t>
      </w:r>
      <w:r w:rsidR="00724F79">
        <w:rPr>
          <w:sz w:val="24"/>
          <w:szCs w:val="24"/>
          <w:lang w:val="en-US"/>
        </w:rPr>
        <w:t>R</w:t>
      </w:r>
      <w:r w:rsidR="00724F79">
        <w:rPr>
          <w:sz w:val="24"/>
          <w:szCs w:val="24"/>
          <w:vertAlign w:val="superscript"/>
          <w:lang w:val="en-US"/>
        </w:rPr>
        <w:t>2</w:t>
      </w:r>
      <w:r w:rsidR="00724F79">
        <w:rPr>
          <w:sz w:val="24"/>
          <w:szCs w:val="24"/>
          <w:lang w:val="en-US"/>
        </w:rPr>
        <w:t xml:space="preserve">: </w:t>
      </w:r>
      <w:r w:rsidR="00724F79" w:rsidRPr="008936D3">
        <w:rPr>
          <w:sz w:val="24"/>
          <w:szCs w:val="24"/>
          <w:lang w:val="en-US"/>
        </w:rPr>
        <w:t>R-squared</w:t>
      </w:r>
      <w:r w:rsidR="00724F79">
        <w:rPr>
          <w:sz w:val="24"/>
          <w:szCs w:val="24"/>
          <w:lang w:val="en-US"/>
        </w:rPr>
        <w:t xml:space="preserve">; </w:t>
      </w:r>
      <w:r w:rsidR="00724F79" w:rsidRPr="00197938">
        <w:rPr>
          <w:sz w:val="24"/>
          <w:szCs w:val="24"/>
          <w:lang w:val="en-US"/>
        </w:rPr>
        <w:t xml:space="preserve">Adj. R²: </w:t>
      </w:r>
      <w:proofErr w:type="spellStart"/>
      <w:r w:rsidR="00724F79" w:rsidRPr="00197938">
        <w:rPr>
          <w:sz w:val="24"/>
          <w:szCs w:val="24"/>
          <w:lang w:val="en-US"/>
        </w:rPr>
        <w:t>Ajusted</w:t>
      </w:r>
      <w:proofErr w:type="spellEnd"/>
      <w:r w:rsidR="00724F79" w:rsidRPr="00197938">
        <w:rPr>
          <w:sz w:val="24"/>
          <w:szCs w:val="24"/>
          <w:lang w:val="en-US"/>
        </w:rPr>
        <w:t xml:space="preserve"> </w:t>
      </w:r>
      <w:r w:rsidR="00724F79" w:rsidRPr="008936D3">
        <w:rPr>
          <w:sz w:val="24"/>
          <w:szCs w:val="24"/>
          <w:lang w:val="en-US"/>
        </w:rPr>
        <w:t>R-squared</w:t>
      </w:r>
      <w:r w:rsidR="00724F79" w:rsidRPr="00197938">
        <w:rPr>
          <w:sz w:val="24"/>
          <w:szCs w:val="24"/>
          <w:lang w:val="en-US"/>
        </w:rPr>
        <w:t xml:space="preserve">; </w:t>
      </w:r>
      <w:r w:rsidR="00724F79">
        <w:rPr>
          <w:sz w:val="24"/>
          <w:szCs w:val="24"/>
          <w:lang w:val="en-US"/>
        </w:rPr>
        <w:t xml:space="preserve">F: </w:t>
      </w:r>
      <w:r w:rsidR="00724F79" w:rsidRPr="008936D3">
        <w:rPr>
          <w:i/>
          <w:sz w:val="24"/>
          <w:szCs w:val="24"/>
          <w:lang w:val="en-US"/>
        </w:rPr>
        <w:t>F</w:t>
      </w:r>
      <w:r w:rsidR="00724F79" w:rsidRPr="00197938">
        <w:rPr>
          <w:sz w:val="24"/>
          <w:szCs w:val="24"/>
          <w:lang w:val="en-US"/>
        </w:rPr>
        <w:t>-statistic P: p-value</w:t>
      </w:r>
      <w:r w:rsidR="00EF1CC6" w:rsidRPr="00EF1CC6">
        <w:rPr>
          <w:sz w:val="24"/>
          <w:szCs w:val="24"/>
          <w:lang w:val="en-US"/>
        </w:rPr>
        <w:t>.</w:t>
      </w:r>
    </w:p>
    <w:tbl>
      <w:tblPr>
        <w:tblStyle w:val="Tabelacomgrade"/>
        <w:tblW w:w="14034" w:type="dxa"/>
        <w:tblInd w:w="10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
        <w:gridCol w:w="765"/>
        <w:gridCol w:w="766"/>
        <w:gridCol w:w="765"/>
        <w:gridCol w:w="766"/>
        <w:gridCol w:w="236"/>
        <w:gridCol w:w="718"/>
        <w:gridCol w:w="718"/>
        <w:gridCol w:w="718"/>
        <w:gridCol w:w="718"/>
        <w:gridCol w:w="719"/>
        <w:gridCol w:w="236"/>
        <w:gridCol w:w="718"/>
        <w:gridCol w:w="718"/>
        <w:gridCol w:w="719"/>
        <w:gridCol w:w="718"/>
        <w:gridCol w:w="719"/>
      </w:tblGrid>
      <w:tr w:rsidR="00396D62" w:rsidRPr="00AD2948" w:rsidTr="00347589">
        <w:tc>
          <w:tcPr>
            <w:tcW w:w="2552" w:type="dxa"/>
            <w:tcBorders>
              <w:bottom w:val="nil"/>
            </w:tcBorders>
            <w:vAlign w:val="center"/>
          </w:tcPr>
          <w:p w:rsidR="00396D62" w:rsidRPr="00AD2948" w:rsidRDefault="00396D62" w:rsidP="00347589">
            <w:pPr>
              <w:spacing w:after="120"/>
              <w:jc w:val="center"/>
              <w:rPr>
                <w:b/>
                <w:sz w:val="16"/>
                <w:szCs w:val="16"/>
                <w:lang w:val="en-US"/>
              </w:rPr>
            </w:pPr>
          </w:p>
        </w:tc>
        <w:tc>
          <w:tcPr>
            <w:tcW w:w="3827"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Composition</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1"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Richness</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2"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Abundance</w:t>
            </w:r>
          </w:p>
        </w:tc>
      </w:tr>
      <w:tr w:rsidR="00396D62" w:rsidRPr="00AD2948" w:rsidTr="00347589">
        <w:tc>
          <w:tcPr>
            <w:tcW w:w="2552"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r>
      <w:tr w:rsidR="00396D62" w:rsidRPr="00AD2948" w:rsidTr="00347589">
        <w:tc>
          <w:tcPr>
            <w:tcW w:w="2552" w:type="dxa"/>
            <w:tcBorders>
              <w:top w:val="single" w:sz="4" w:space="0" w:color="auto"/>
            </w:tcBorders>
            <w:vAlign w:val="center"/>
          </w:tcPr>
          <w:p w:rsidR="00396D62" w:rsidRPr="00AD2948" w:rsidRDefault="00AD2948" w:rsidP="00347589">
            <w:pPr>
              <w:spacing w:after="120"/>
              <w:rPr>
                <w:sz w:val="16"/>
                <w:szCs w:val="16"/>
                <w:lang w:val="en-US"/>
              </w:rPr>
            </w:pPr>
            <w:r>
              <w:rPr>
                <w:sz w:val="16"/>
                <w:szCs w:val="16"/>
                <w:lang w:val="en-US"/>
              </w:rPr>
              <w:t>I</w:t>
            </w:r>
            <w:r w:rsidRPr="00AD2948">
              <w:rPr>
                <w:sz w:val="16"/>
                <w:szCs w:val="16"/>
                <w:lang w:val="en-US"/>
              </w:rPr>
              <w:t>dentity</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0.522</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81.146</w:t>
            </w:r>
          </w:p>
        </w:tc>
        <w:tc>
          <w:tcPr>
            <w:tcW w:w="766"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103.72</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0.564</w:t>
            </w:r>
          </w:p>
        </w:tc>
        <w:tc>
          <w:tcPr>
            <w:tcW w:w="719"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0.558</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10.499</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0.020</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0.067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0.066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73.449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0.078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0.077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86.43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0.081</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0.080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19.811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0.062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0.061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67.881</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67.019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0.055</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0.055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16.82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0.010</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0.007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7.539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5.557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4.5785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0.010</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75.734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96.773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9.8021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75.679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96.807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0.565</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9.79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0.010</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75.757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96.873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9.8426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0.025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0.085</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47.775</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52.062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0.091</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0.090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12.159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0.073</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0.071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40.409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0.082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0.080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45.86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0.087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0.085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12.04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lastRenderedPageBreak/>
              <w:t>Mass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0.069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0.067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37.957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36.428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0.062</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0.060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10.68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70.954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90.76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9.1804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0.020</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Stratification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71.017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90.784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9.2319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Mass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70.974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90.853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0.565</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9.2201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 +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0.091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0.089</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34.430</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36.546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0.097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0.095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9.5488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All</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0.521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66.802</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0.590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0.583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85.507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0.566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0.559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8.6808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0.020</w:t>
            </w:r>
          </w:p>
        </w:tc>
      </w:tr>
      <w:tr w:rsidR="00396D62" w:rsidRPr="00AD2948" w:rsidTr="00347589">
        <w:tc>
          <w:tcPr>
            <w:tcW w:w="2552" w:type="dxa"/>
            <w:vAlign w:val="center"/>
          </w:tcPr>
          <w:p w:rsidR="00396D62" w:rsidRPr="00AD2948" w:rsidRDefault="00AD2948" w:rsidP="00AD2948">
            <w:pPr>
              <w:spacing w:after="120"/>
              <w:rPr>
                <w:b/>
                <w:sz w:val="16"/>
                <w:szCs w:val="16"/>
                <w:lang w:val="en-US"/>
              </w:rPr>
            </w:pPr>
            <w:r>
              <w:rPr>
                <w:sz w:val="16"/>
                <w:szCs w:val="16"/>
                <w:lang w:val="en-US"/>
              </w:rPr>
              <w:t>Only</w:t>
            </w:r>
            <w:r w:rsidR="00396D62" w:rsidRPr="00AD2948">
              <w:rPr>
                <w:sz w:val="16"/>
                <w:szCs w:val="16"/>
                <w:lang w:val="en-US"/>
              </w:rPr>
              <w:t xml:space="preserve"> </w:t>
            </w:r>
            <w:r>
              <w:rPr>
                <w:sz w:val="16"/>
                <w:szCs w:val="16"/>
                <w:lang w:val="en-US"/>
              </w:rPr>
              <w:t>i</w:t>
            </w:r>
            <w:r w:rsidRPr="00AD2948">
              <w:rPr>
                <w:sz w:val="16"/>
                <w:szCs w:val="16"/>
                <w:lang w:val="en-US"/>
              </w:rPr>
              <w:t>dentity</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14</w:t>
            </w:r>
          </w:p>
        </w:tc>
        <w:tc>
          <w:tcPr>
            <w:tcW w:w="765" w:type="dxa"/>
            <w:vAlign w:val="center"/>
          </w:tcPr>
          <w:p w:rsidR="00396D62" w:rsidRPr="00AD2948" w:rsidRDefault="00396D62" w:rsidP="00347589">
            <w:pPr>
              <w:spacing w:after="120"/>
              <w:jc w:val="center"/>
              <w:rPr>
                <w:bCs/>
                <w:sz w:val="16"/>
                <w:szCs w:val="16"/>
                <w:lang w:val="en-US"/>
              </w:rPr>
            </w:pPr>
          </w:p>
        </w:tc>
        <w:tc>
          <w:tcPr>
            <w:tcW w:w="766" w:type="dxa"/>
            <w:vAlign w:val="center"/>
          </w:tcPr>
          <w:p w:rsidR="00396D62" w:rsidRPr="00AD2948" w:rsidRDefault="00396D62" w:rsidP="00347589">
            <w:pPr>
              <w:spacing w:after="120"/>
              <w:jc w:val="center"/>
              <w:rPr>
                <w:bCs/>
                <w:sz w:val="16"/>
                <w:szCs w:val="16"/>
                <w:lang w:val="en-US"/>
              </w:rPr>
            </w:pPr>
            <w:r w:rsidRPr="00AD2948">
              <w:rPr>
                <w:sz w:val="16"/>
                <w:szCs w:val="16"/>
                <w:lang w:val="en-US"/>
              </w:rPr>
              <w:t>0.432</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67.086</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0.489</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86.827</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0.464</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8.2912</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0.020</w:t>
            </w:r>
          </w:p>
        </w:tc>
      </w:tr>
      <w:tr w:rsidR="00396D62" w:rsidRPr="00AD2948" w:rsidTr="00347589">
        <w:tc>
          <w:tcPr>
            <w:tcW w:w="2552" w:type="dxa"/>
            <w:vAlign w:val="center"/>
          </w:tcPr>
          <w:p w:rsidR="00396D62" w:rsidRPr="00AD2948" w:rsidRDefault="00AD2948" w:rsidP="00AD2948">
            <w:pPr>
              <w:spacing w:after="120"/>
              <w:rPr>
                <w:b/>
                <w:sz w:val="16"/>
                <w:szCs w:val="16"/>
                <w:lang w:val="en-US"/>
              </w:rPr>
            </w:pPr>
            <w:r>
              <w:rPr>
                <w:sz w:val="16"/>
                <w:szCs w:val="16"/>
                <w:lang w:val="en-US"/>
              </w:rPr>
              <w:t>Only</w:t>
            </w:r>
            <w:r w:rsidR="00396D62" w:rsidRPr="00AD2948">
              <w:rPr>
                <w:sz w:val="16"/>
                <w:szCs w:val="16"/>
                <w:lang w:val="en-US"/>
              </w:rPr>
              <w:t xml:space="preserve"> </w:t>
            </w: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0.547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0.680</w:t>
            </w:r>
          </w:p>
        </w:tc>
        <w:tc>
          <w:tcPr>
            <w:tcW w:w="236"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0.576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0.460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0.1724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0.625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0.225</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0.935</w:t>
            </w:r>
          </w:p>
        </w:tc>
        <w:tc>
          <w:tcPr>
            <w:tcW w:w="236"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1.028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0.335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0.880</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 sex</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0.702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0.645</w:t>
            </w:r>
          </w:p>
        </w:tc>
        <w:tc>
          <w:tcPr>
            <w:tcW w:w="236"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1.184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0.290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0.727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0.445</w:t>
            </w:r>
          </w:p>
        </w:tc>
      </w:tr>
    </w:tbl>
    <w:p w:rsidR="005F1363" w:rsidRPr="00E91029" w:rsidRDefault="005F1363" w:rsidP="00396D62">
      <w:pPr>
        <w:spacing w:line="480" w:lineRule="auto"/>
        <w:rPr>
          <w:sz w:val="24"/>
          <w:szCs w:val="24"/>
          <w:lang w:val="en-US"/>
        </w:rPr>
      </w:pPr>
    </w:p>
    <w:sectPr w:rsidR="005F1363" w:rsidRPr="00E91029" w:rsidSect="00183A47">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DejaVu Sans">
    <w:altName w:val="MS Mincho"/>
    <w:charset w:val="80"/>
    <w:family w:val="auto"/>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Lohit Hind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2888CA6"/>
    <w:lvl w:ilvl="0" w:tplc="3FCCFBD0">
      <w:start w:val="1"/>
      <w:numFmt w:val="lowerRoman"/>
      <w:lvlText w:val="%1."/>
      <w:lvlJc w:val="left"/>
      <w:pPr>
        <w:tabs>
          <w:tab w:val="num" w:pos="707"/>
        </w:tabs>
        <w:ind w:left="707" w:hanging="347"/>
      </w:pPr>
      <w:rPr>
        <w:rFonts w:ascii="Times New Roman" w:eastAsia="Times New Roman" w:hAnsi="Times New Roman" w:cs="Times New Roman"/>
        <w:b w:val="0"/>
        <w:bCs w:val="0"/>
        <w:i w:val="0"/>
        <w:iCs w:val="0"/>
        <w:strike w:val="0"/>
        <w:color w:val="000000"/>
        <w:sz w:val="24"/>
        <w:szCs w:val="24"/>
        <w:u w:val="none"/>
      </w:rPr>
    </w:lvl>
    <w:lvl w:ilvl="1" w:tplc="50CAD906">
      <w:start w:val="1"/>
      <w:numFmt w:val="bullet"/>
      <w:lvlText w:val="●"/>
      <w:lvlJc w:val="left"/>
      <w:pPr>
        <w:tabs>
          <w:tab w:val="num" w:pos="1414"/>
        </w:tabs>
        <w:ind w:left="1414" w:hanging="334"/>
      </w:pPr>
      <w:rPr>
        <w:rFonts w:ascii="Times New Roman" w:eastAsia="Times New Roman" w:hAnsi="Times New Roman"/>
        <w:b w:val="0"/>
        <w:i w:val="0"/>
        <w:strike w:val="0"/>
        <w:color w:val="000000"/>
        <w:sz w:val="24"/>
        <w:u w:val="none"/>
      </w:rPr>
    </w:lvl>
    <w:lvl w:ilvl="2" w:tplc="661A61A8">
      <w:start w:val="1"/>
      <w:numFmt w:val="bullet"/>
      <w:lvlText w:val="●"/>
      <w:lvlJc w:val="right"/>
      <w:pPr>
        <w:tabs>
          <w:tab w:val="num" w:pos="2121"/>
        </w:tabs>
        <w:ind w:left="2121" w:hanging="141"/>
      </w:pPr>
      <w:rPr>
        <w:rFonts w:ascii="Times New Roman" w:eastAsia="Times New Roman" w:hAnsi="Times New Roman"/>
        <w:b w:val="0"/>
        <w:i w:val="0"/>
        <w:strike w:val="0"/>
        <w:color w:val="000000"/>
        <w:sz w:val="24"/>
        <w:u w:val="none"/>
      </w:rPr>
    </w:lvl>
    <w:lvl w:ilvl="3" w:tplc="C02CCAF8">
      <w:start w:val="1"/>
      <w:numFmt w:val="bullet"/>
      <w:lvlText w:val="●"/>
      <w:lvlJc w:val="left"/>
      <w:pPr>
        <w:tabs>
          <w:tab w:val="num" w:pos="2828"/>
        </w:tabs>
        <w:ind w:left="2828" w:hanging="308"/>
      </w:pPr>
      <w:rPr>
        <w:rFonts w:ascii="Times New Roman" w:eastAsia="Times New Roman" w:hAnsi="Times New Roman"/>
        <w:b w:val="0"/>
        <w:i w:val="0"/>
        <w:strike w:val="0"/>
        <w:color w:val="000000"/>
        <w:sz w:val="24"/>
        <w:u w:val="none"/>
      </w:rPr>
    </w:lvl>
    <w:lvl w:ilvl="4" w:tplc="39FAAD9E">
      <w:start w:val="1"/>
      <w:numFmt w:val="bullet"/>
      <w:lvlText w:val="●"/>
      <w:lvlJc w:val="left"/>
      <w:pPr>
        <w:tabs>
          <w:tab w:val="num" w:pos="3535"/>
        </w:tabs>
        <w:ind w:left="3535" w:hanging="295"/>
      </w:pPr>
      <w:rPr>
        <w:rFonts w:ascii="Times New Roman" w:eastAsia="Times New Roman" w:hAnsi="Times New Roman"/>
        <w:b w:val="0"/>
        <w:i w:val="0"/>
        <w:strike w:val="0"/>
        <w:color w:val="000000"/>
        <w:sz w:val="24"/>
        <w:u w:val="none"/>
      </w:rPr>
    </w:lvl>
    <w:lvl w:ilvl="5" w:tplc="2222DAEC">
      <w:start w:val="1"/>
      <w:numFmt w:val="bullet"/>
      <w:lvlText w:val="●"/>
      <w:lvlJc w:val="right"/>
      <w:pPr>
        <w:tabs>
          <w:tab w:val="num" w:pos="4242"/>
        </w:tabs>
        <w:ind w:left="4242" w:hanging="102"/>
      </w:pPr>
      <w:rPr>
        <w:rFonts w:ascii="Times New Roman" w:eastAsia="Times New Roman" w:hAnsi="Times New Roman"/>
        <w:b w:val="0"/>
        <w:i w:val="0"/>
        <w:strike w:val="0"/>
        <w:color w:val="000000"/>
        <w:sz w:val="24"/>
        <w:u w:val="none"/>
      </w:rPr>
    </w:lvl>
    <w:lvl w:ilvl="6" w:tplc="1C7AF5E8">
      <w:start w:val="1"/>
      <w:numFmt w:val="bullet"/>
      <w:lvlText w:val="●"/>
      <w:lvlJc w:val="left"/>
      <w:pPr>
        <w:tabs>
          <w:tab w:val="num" w:pos="4949"/>
        </w:tabs>
        <w:ind w:left="4949" w:hanging="269"/>
      </w:pPr>
      <w:rPr>
        <w:rFonts w:ascii="Times New Roman" w:eastAsia="Times New Roman" w:hAnsi="Times New Roman"/>
        <w:b w:val="0"/>
        <w:i w:val="0"/>
        <w:strike w:val="0"/>
        <w:color w:val="000000"/>
        <w:sz w:val="24"/>
        <w:u w:val="none"/>
      </w:rPr>
    </w:lvl>
    <w:lvl w:ilvl="7" w:tplc="6E96C976">
      <w:start w:val="1"/>
      <w:numFmt w:val="bullet"/>
      <w:lvlText w:val="●"/>
      <w:lvlJc w:val="left"/>
      <w:pPr>
        <w:tabs>
          <w:tab w:val="num" w:pos="5656"/>
        </w:tabs>
        <w:ind w:left="5656" w:hanging="256"/>
      </w:pPr>
      <w:rPr>
        <w:rFonts w:ascii="Times New Roman" w:eastAsia="Times New Roman" w:hAnsi="Times New Roman"/>
        <w:b w:val="0"/>
        <w:i w:val="0"/>
        <w:strike w:val="0"/>
        <w:color w:val="000000"/>
        <w:sz w:val="24"/>
        <w:u w:val="none"/>
      </w:rPr>
    </w:lvl>
    <w:lvl w:ilvl="8" w:tplc="3118BA2C">
      <w:start w:val="1"/>
      <w:numFmt w:val="bullet"/>
      <w:lvlText w:val="●"/>
      <w:lvlJc w:val="right"/>
      <w:pPr>
        <w:tabs>
          <w:tab w:val="num" w:pos="6363"/>
        </w:tabs>
        <w:ind w:left="6363" w:hanging="63"/>
      </w:pPr>
      <w:rPr>
        <w:rFonts w:ascii="Times New Roman" w:eastAsia="Times New Roman" w:hAnsi="Times New Roman"/>
        <w:b w:val="0"/>
        <w:i w:val="0"/>
        <w:strike w:val="0"/>
        <w:color w:val="000000"/>
        <w:sz w:val="24"/>
        <w:u w:val="none"/>
      </w:rPr>
    </w:lvl>
  </w:abstractNum>
  <w:abstractNum w:abstractNumId="1">
    <w:nsid w:val="0E9A5BC4"/>
    <w:multiLevelType w:val="hybridMultilevel"/>
    <w:tmpl w:val="787C9C14"/>
    <w:lvl w:ilvl="0" w:tplc="1DFE160A">
      <w:start w:val="1"/>
      <w:numFmt w:val="bullet"/>
      <w:lvlText w:val="•"/>
      <w:lvlJc w:val="left"/>
      <w:pPr>
        <w:tabs>
          <w:tab w:val="num" w:pos="720"/>
        </w:tabs>
        <w:ind w:left="720" w:hanging="360"/>
      </w:pPr>
      <w:rPr>
        <w:rFonts w:ascii="Arial" w:hAnsi="Arial" w:hint="default"/>
      </w:rPr>
    </w:lvl>
    <w:lvl w:ilvl="1" w:tplc="FAA88C90" w:tentative="1">
      <w:start w:val="1"/>
      <w:numFmt w:val="bullet"/>
      <w:lvlText w:val="•"/>
      <w:lvlJc w:val="left"/>
      <w:pPr>
        <w:tabs>
          <w:tab w:val="num" w:pos="1440"/>
        </w:tabs>
        <w:ind w:left="1440" w:hanging="360"/>
      </w:pPr>
      <w:rPr>
        <w:rFonts w:ascii="Arial" w:hAnsi="Arial" w:hint="default"/>
      </w:rPr>
    </w:lvl>
    <w:lvl w:ilvl="2" w:tplc="148A76A6" w:tentative="1">
      <w:start w:val="1"/>
      <w:numFmt w:val="bullet"/>
      <w:lvlText w:val="•"/>
      <w:lvlJc w:val="left"/>
      <w:pPr>
        <w:tabs>
          <w:tab w:val="num" w:pos="2160"/>
        </w:tabs>
        <w:ind w:left="2160" w:hanging="360"/>
      </w:pPr>
      <w:rPr>
        <w:rFonts w:ascii="Arial" w:hAnsi="Arial" w:hint="default"/>
      </w:rPr>
    </w:lvl>
    <w:lvl w:ilvl="3" w:tplc="51E8CC9A" w:tentative="1">
      <w:start w:val="1"/>
      <w:numFmt w:val="bullet"/>
      <w:lvlText w:val="•"/>
      <w:lvlJc w:val="left"/>
      <w:pPr>
        <w:tabs>
          <w:tab w:val="num" w:pos="2880"/>
        </w:tabs>
        <w:ind w:left="2880" w:hanging="360"/>
      </w:pPr>
      <w:rPr>
        <w:rFonts w:ascii="Arial" w:hAnsi="Arial" w:hint="default"/>
      </w:rPr>
    </w:lvl>
    <w:lvl w:ilvl="4" w:tplc="CF70AE30" w:tentative="1">
      <w:start w:val="1"/>
      <w:numFmt w:val="bullet"/>
      <w:lvlText w:val="•"/>
      <w:lvlJc w:val="left"/>
      <w:pPr>
        <w:tabs>
          <w:tab w:val="num" w:pos="3600"/>
        </w:tabs>
        <w:ind w:left="3600" w:hanging="360"/>
      </w:pPr>
      <w:rPr>
        <w:rFonts w:ascii="Arial" w:hAnsi="Arial" w:hint="default"/>
      </w:rPr>
    </w:lvl>
    <w:lvl w:ilvl="5" w:tplc="1B2A9482" w:tentative="1">
      <w:start w:val="1"/>
      <w:numFmt w:val="bullet"/>
      <w:lvlText w:val="•"/>
      <w:lvlJc w:val="left"/>
      <w:pPr>
        <w:tabs>
          <w:tab w:val="num" w:pos="4320"/>
        </w:tabs>
        <w:ind w:left="4320" w:hanging="360"/>
      </w:pPr>
      <w:rPr>
        <w:rFonts w:ascii="Arial" w:hAnsi="Arial" w:hint="default"/>
      </w:rPr>
    </w:lvl>
    <w:lvl w:ilvl="6" w:tplc="DAFA4608" w:tentative="1">
      <w:start w:val="1"/>
      <w:numFmt w:val="bullet"/>
      <w:lvlText w:val="•"/>
      <w:lvlJc w:val="left"/>
      <w:pPr>
        <w:tabs>
          <w:tab w:val="num" w:pos="5040"/>
        </w:tabs>
        <w:ind w:left="5040" w:hanging="360"/>
      </w:pPr>
      <w:rPr>
        <w:rFonts w:ascii="Arial" w:hAnsi="Arial" w:hint="default"/>
      </w:rPr>
    </w:lvl>
    <w:lvl w:ilvl="7" w:tplc="F340A75A" w:tentative="1">
      <w:start w:val="1"/>
      <w:numFmt w:val="bullet"/>
      <w:lvlText w:val="•"/>
      <w:lvlJc w:val="left"/>
      <w:pPr>
        <w:tabs>
          <w:tab w:val="num" w:pos="5760"/>
        </w:tabs>
        <w:ind w:left="5760" w:hanging="360"/>
      </w:pPr>
      <w:rPr>
        <w:rFonts w:ascii="Arial" w:hAnsi="Arial" w:hint="default"/>
      </w:rPr>
    </w:lvl>
    <w:lvl w:ilvl="8" w:tplc="D73A4964" w:tentative="1">
      <w:start w:val="1"/>
      <w:numFmt w:val="bullet"/>
      <w:lvlText w:val="•"/>
      <w:lvlJc w:val="left"/>
      <w:pPr>
        <w:tabs>
          <w:tab w:val="num" w:pos="6480"/>
        </w:tabs>
        <w:ind w:left="6480" w:hanging="360"/>
      </w:pPr>
      <w:rPr>
        <w:rFonts w:ascii="Arial" w:hAnsi="Arial" w:hint="default"/>
      </w:rPr>
    </w:lvl>
  </w:abstractNum>
  <w:abstractNum w:abstractNumId="2">
    <w:nsid w:val="10D55DB5"/>
    <w:multiLevelType w:val="hybridMultilevel"/>
    <w:tmpl w:val="255A3CB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63D7412"/>
    <w:multiLevelType w:val="hybridMultilevel"/>
    <w:tmpl w:val="DB6C6FE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34A3EBE"/>
    <w:multiLevelType w:val="hybridMultilevel"/>
    <w:tmpl w:val="916684E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67000EA"/>
    <w:multiLevelType w:val="hybridMultilevel"/>
    <w:tmpl w:val="FAF0970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1E5"/>
    <w:rsid w:val="0018218F"/>
    <w:rsid w:val="00183A47"/>
    <w:rsid w:val="001C07C4"/>
    <w:rsid w:val="00222455"/>
    <w:rsid w:val="002D705F"/>
    <w:rsid w:val="00347589"/>
    <w:rsid w:val="00396D62"/>
    <w:rsid w:val="004B1305"/>
    <w:rsid w:val="004D5299"/>
    <w:rsid w:val="00592104"/>
    <w:rsid w:val="005F1363"/>
    <w:rsid w:val="00653766"/>
    <w:rsid w:val="00661E40"/>
    <w:rsid w:val="00724F79"/>
    <w:rsid w:val="008431BC"/>
    <w:rsid w:val="008F1AB1"/>
    <w:rsid w:val="009523E5"/>
    <w:rsid w:val="009F6210"/>
    <w:rsid w:val="00A951E5"/>
    <w:rsid w:val="00AB29CE"/>
    <w:rsid w:val="00AD2948"/>
    <w:rsid w:val="00BC7AA4"/>
    <w:rsid w:val="00C426FC"/>
    <w:rsid w:val="00C526F2"/>
    <w:rsid w:val="00CE4B05"/>
    <w:rsid w:val="00CF7B15"/>
    <w:rsid w:val="00DE49EA"/>
    <w:rsid w:val="00E91029"/>
    <w:rsid w:val="00EF1CC6"/>
    <w:rsid w:val="00F835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401</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26</cp:revision>
  <dcterms:created xsi:type="dcterms:W3CDTF">2014-12-30T02:49:00Z</dcterms:created>
  <dcterms:modified xsi:type="dcterms:W3CDTF">2016-09-06T02:26:00Z</dcterms:modified>
</cp:coreProperties>
</file>