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CC" w:rsidRDefault="002029CC" w:rsidP="002029CC">
      <w:pPr>
        <w:spacing w:after="0" w:line="480" w:lineRule="auto"/>
        <w:jc w:val="both"/>
        <w:rPr>
          <w:rFonts w:eastAsia="Calibri" w:cs="AdvPTimes"/>
          <w:b/>
          <w:bCs/>
          <w:color w:val="000000"/>
          <w:lang w:val="en-US"/>
        </w:rPr>
      </w:pPr>
      <w:r>
        <w:rPr>
          <w:rFonts w:eastAsia="Calibri" w:cs="AdvPTimes"/>
          <w:b/>
          <w:bCs/>
          <w:color w:val="000000"/>
          <w:lang w:val="en-US"/>
        </w:rPr>
        <w:t>LEGENDS FOR SUPPLEMENTARY MATERIAL</w:t>
      </w:r>
    </w:p>
    <w:p w:rsidR="00946CF4" w:rsidRPr="00946CF4" w:rsidRDefault="00946CF4" w:rsidP="002029CC">
      <w:pPr>
        <w:spacing w:after="0" w:line="480" w:lineRule="auto"/>
        <w:jc w:val="both"/>
        <w:rPr>
          <w:rFonts w:eastAsia="Calibri" w:cs="AdvPTimes"/>
          <w:b/>
          <w:bCs/>
          <w:color w:val="000000"/>
          <w:lang w:val="en-US"/>
        </w:rPr>
      </w:pPr>
      <w:r w:rsidRPr="00946CF4">
        <w:rPr>
          <w:rFonts w:eastAsia="Calibri" w:cs="AdvPTimes"/>
          <w:b/>
          <w:bCs/>
          <w:color w:val="000000"/>
          <w:lang w:val="en-US"/>
        </w:rPr>
        <w:t xml:space="preserve">Table S1. </w:t>
      </w:r>
      <w:r w:rsidRPr="00946CF4">
        <w:rPr>
          <w:rFonts w:eastAsia="Calibri" w:cs="AdvPTimes"/>
          <w:color w:val="000000"/>
          <w:lang w:val="en-US"/>
        </w:rPr>
        <w:t xml:space="preserve">Collection sites (coordinates and quadrats of central European zoological mapping grid) pertaining to </w:t>
      </w:r>
      <w:proofErr w:type="spellStart"/>
      <w:r w:rsidRPr="00946CF4">
        <w:rPr>
          <w:rFonts w:eastAsia="Calibri" w:cs="AdvPTimes"/>
          <w:color w:val="000000"/>
          <w:lang w:val="en-US"/>
        </w:rPr>
        <w:t>Cyclocoelidae</w:t>
      </w:r>
      <w:proofErr w:type="spellEnd"/>
      <w:r w:rsidRPr="00946CF4">
        <w:rPr>
          <w:rFonts w:eastAsia="Calibri" w:cs="AdvPTimes"/>
          <w:color w:val="000000"/>
          <w:lang w:val="en-US"/>
        </w:rPr>
        <w:t xml:space="preserve"> specimens examined for the analysis of prevalence and intensity of infection, and identification numbers of the examined specimens deposited in the </w:t>
      </w:r>
      <w:proofErr w:type="spellStart"/>
      <w:r w:rsidRPr="00946CF4">
        <w:rPr>
          <w:rFonts w:eastAsia="Calibri" w:cs="AdvPTimes"/>
          <w:color w:val="000000"/>
          <w:lang w:val="en-US"/>
        </w:rPr>
        <w:t>Commenius</w:t>
      </w:r>
      <w:proofErr w:type="spellEnd"/>
      <w:r w:rsidRPr="00946CF4">
        <w:rPr>
          <w:rFonts w:eastAsia="Calibri" w:cs="AdvPTimes"/>
          <w:color w:val="000000"/>
          <w:lang w:val="en-US"/>
        </w:rPr>
        <w:t xml:space="preserve"> Museum, </w:t>
      </w:r>
      <w:proofErr w:type="spellStart"/>
      <w:r w:rsidRPr="00946CF4">
        <w:rPr>
          <w:rFonts w:eastAsia="Calibri" w:cs="AdvPTimes"/>
          <w:color w:val="000000"/>
          <w:lang w:val="en-US"/>
        </w:rPr>
        <w:t>Přerov</w:t>
      </w:r>
      <w:proofErr w:type="spellEnd"/>
      <w:r w:rsidRPr="00946CF4">
        <w:rPr>
          <w:rFonts w:eastAsia="Calibri" w:cs="AdvPTimes"/>
          <w:color w:val="000000"/>
          <w:lang w:val="en-US"/>
        </w:rPr>
        <w:t>, Czech Republic.</w:t>
      </w:r>
    </w:p>
    <w:p w:rsidR="00AC178E" w:rsidRDefault="00AC178E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1E472A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S2.</w:t>
      </w:r>
      <w:r w:rsidRPr="001E472A">
        <w:rPr>
          <w:rFonts w:asciiTheme="minorHAnsi" w:eastAsiaTheme="minorHAnsi" w:hAnsiTheme="minorHAnsi" w:cs="AdvPTimes"/>
          <w:color w:val="000000"/>
          <w:lang w:val="en-US"/>
        </w:rPr>
        <w:t xml:space="preserve"> Alignment of trimmed ITS2 locus corresponding to nt. </w:t>
      </w:r>
      <w:r w:rsidRPr="001E472A">
        <w:rPr>
          <w:lang w:val="en-US"/>
        </w:rPr>
        <w:t xml:space="preserve">3-565 (563 </w:t>
      </w:r>
      <w:proofErr w:type="spellStart"/>
      <w:r w:rsidRPr="001E472A">
        <w:rPr>
          <w:lang w:val="en-US"/>
        </w:rPr>
        <w:t>bp</w:t>
      </w:r>
      <w:proofErr w:type="spellEnd"/>
      <w:r w:rsidRPr="001E472A">
        <w:rPr>
          <w:lang w:val="en-US"/>
        </w:rPr>
        <w:t xml:space="preserve">) of </w:t>
      </w:r>
      <w:proofErr w:type="spellStart"/>
      <w:r w:rsidRPr="001E472A">
        <w:rPr>
          <w:rFonts w:cs="Calibri"/>
          <w:i/>
          <w:iCs/>
          <w:lang w:val="en-US"/>
        </w:rPr>
        <w:t>Circumvitellatrema</w:t>
      </w:r>
      <w:proofErr w:type="spellEnd"/>
      <w:r w:rsidRPr="001E472A">
        <w:rPr>
          <w:rFonts w:cs="Calibri"/>
          <w:b/>
          <w:bCs/>
          <w:lang w:val="en-US"/>
        </w:rPr>
        <w:t xml:space="preserve"> </w:t>
      </w:r>
      <w:proofErr w:type="spellStart"/>
      <w:r w:rsidRPr="00365965">
        <w:rPr>
          <w:rFonts w:cs="Calibri"/>
          <w:i/>
          <w:iCs/>
          <w:lang w:val="en-US"/>
        </w:rPr>
        <w:t>momota</w:t>
      </w:r>
      <w:proofErr w:type="spellEnd"/>
      <w:r w:rsidRPr="00365965">
        <w:rPr>
          <w:rFonts w:cs="Calibri"/>
          <w:b/>
          <w:bCs/>
          <w:lang w:val="en-US"/>
        </w:rPr>
        <w:t xml:space="preserve"> </w:t>
      </w:r>
      <w:r w:rsidRPr="00365965">
        <w:rPr>
          <w:rFonts w:cs="Calibri"/>
          <w:lang w:val="en-US"/>
        </w:rPr>
        <w:t>JQ886068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 xml:space="preserve">, which consisted of </w:t>
      </w:r>
      <w:r w:rsidRPr="00365965">
        <w:rPr>
          <w:lang w:val="en-US"/>
        </w:rPr>
        <w:t>partial 5.8S rDNA and partial (close to full-length) ITS2 sequences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>.</w:t>
      </w:r>
    </w:p>
    <w:p w:rsidR="00A52A0F" w:rsidRDefault="00A52A0F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365965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S3.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 xml:space="preserve"> Alignment of trimmed 18S rDNA locus</w:t>
      </w:r>
      <w:r w:rsidRPr="00365965">
        <w:rPr>
          <w:lang w:val="en-US"/>
        </w:rPr>
        <w:t xml:space="preserve"> 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 xml:space="preserve">corresponding to nt. </w:t>
      </w:r>
      <w:r w:rsidRPr="00365965">
        <w:rPr>
          <w:lang w:val="en-US"/>
        </w:rPr>
        <w:t xml:space="preserve">142-726 (585 </w:t>
      </w:r>
      <w:proofErr w:type="spellStart"/>
      <w:r w:rsidRPr="00365965">
        <w:rPr>
          <w:lang w:val="en-US"/>
        </w:rPr>
        <w:t>bp</w:t>
      </w:r>
      <w:proofErr w:type="spellEnd"/>
      <w:r w:rsidRPr="00365965">
        <w:rPr>
          <w:lang w:val="en-US"/>
        </w:rPr>
        <w:t xml:space="preserve">) of </w:t>
      </w:r>
      <w:proofErr w:type="spellStart"/>
      <w:r w:rsidRPr="00365965">
        <w:rPr>
          <w:i/>
          <w:iCs/>
          <w:lang w:val="en-US"/>
        </w:rPr>
        <w:t>Cyclocoelum</w:t>
      </w:r>
      <w:proofErr w:type="spellEnd"/>
      <w:r w:rsidRPr="00365965">
        <w:rPr>
          <w:i/>
          <w:iCs/>
          <w:lang w:val="en-US"/>
        </w:rPr>
        <w:t xml:space="preserve"> </w:t>
      </w:r>
      <w:proofErr w:type="spellStart"/>
      <w:r w:rsidRPr="00365965">
        <w:rPr>
          <w:i/>
          <w:iCs/>
          <w:lang w:val="en-US"/>
        </w:rPr>
        <w:t>mutabile</w:t>
      </w:r>
      <w:proofErr w:type="spellEnd"/>
      <w:r w:rsidRPr="00365965">
        <w:rPr>
          <w:lang w:val="en-US"/>
        </w:rPr>
        <w:t xml:space="preserve"> AJ287494</w:t>
      </w:r>
      <w:r w:rsidRPr="001E472A">
        <w:rPr>
          <w:rFonts w:asciiTheme="minorHAnsi" w:eastAsiaTheme="minorHAnsi" w:hAnsiTheme="minorHAnsi" w:cs="AdvPTimes"/>
          <w:color w:val="000000"/>
          <w:lang w:val="en-US"/>
        </w:rPr>
        <w:t xml:space="preserve">, which consisted of </w:t>
      </w:r>
      <w:r w:rsidRPr="001F3B2E">
        <w:rPr>
          <w:lang w:val="en-US"/>
        </w:rPr>
        <w:t xml:space="preserve">partial LSU </w:t>
      </w:r>
      <w:proofErr w:type="spellStart"/>
      <w:r w:rsidRPr="001F3B2E">
        <w:rPr>
          <w:lang w:val="en-US"/>
        </w:rPr>
        <w:t>rRNA</w:t>
      </w:r>
      <w:proofErr w:type="spellEnd"/>
      <w:r w:rsidRPr="001F3B2E">
        <w:rPr>
          <w:lang w:val="en-US"/>
        </w:rPr>
        <w:t xml:space="preserve"> coding sequence</w:t>
      </w:r>
      <w:r w:rsidRPr="001E472A">
        <w:rPr>
          <w:rFonts w:asciiTheme="minorHAnsi" w:eastAsiaTheme="minorHAnsi" w:hAnsiTheme="minorHAnsi" w:cs="AdvPTimes"/>
          <w:color w:val="000000"/>
          <w:lang w:val="en-US"/>
        </w:rPr>
        <w:t>.</w:t>
      </w:r>
      <w:r>
        <w:rPr>
          <w:rFonts w:asciiTheme="minorHAnsi" w:eastAsiaTheme="minorHAnsi" w:hAnsiTheme="minorHAnsi" w:cs="AdvPTimes"/>
          <w:color w:val="000000"/>
          <w:lang w:val="en-US"/>
        </w:rPr>
        <w:t xml:space="preserve"> Note the supposedly incorrect species identification of previously published specimen AJ287494, which probably represents </w:t>
      </w:r>
      <w:proofErr w:type="spellStart"/>
      <w:r w:rsidRPr="00365965">
        <w:rPr>
          <w:rFonts w:asciiTheme="minorHAnsi" w:eastAsiaTheme="minorHAnsi" w:hAnsiTheme="minorHAnsi" w:cs="AdvPTimes"/>
          <w:i/>
          <w:iCs/>
          <w:color w:val="000000"/>
          <w:lang w:val="en-US"/>
        </w:rPr>
        <w:t>Harrahium</w:t>
      </w:r>
      <w:proofErr w:type="spellEnd"/>
      <w:r>
        <w:rPr>
          <w:rFonts w:asciiTheme="minorHAnsi" w:eastAsiaTheme="minorHAnsi" w:hAnsiTheme="minorHAnsi" w:cs="AdvPTimes"/>
          <w:color w:val="000000"/>
          <w:lang w:val="en-US"/>
        </w:rPr>
        <w:t xml:space="preserve"> sp. Also the host species of this specimen (</w:t>
      </w:r>
      <w:proofErr w:type="spellStart"/>
      <w:r w:rsidRPr="00365965">
        <w:rPr>
          <w:rFonts w:asciiTheme="minorHAnsi" w:eastAsiaTheme="minorHAnsi" w:hAnsiTheme="minorHAnsi" w:cs="AdvPTimes"/>
          <w:i/>
          <w:iCs/>
          <w:color w:val="000000"/>
          <w:lang w:val="en-US"/>
        </w:rPr>
        <w:t>Calidris</w:t>
      </w:r>
      <w:proofErr w:type="spellEnd"/>
      <w:r w:rsidRPr="00365965">
        <w:rPr>
          <w:rFonts w:asciiTheme="minorHAnsi" w:eastAsiaTheme="minorHAnsi" w:hAnsiTheme="minorHAnsi" w:cs="AdvPTimes"/>
          <w:i/>
          <w:iCs/>
          <w:color w:val="000000"/>
          <w:lang w:val="en-US"/>
        </w:rPr>
        <w:t xml:space="preserve"> </w:t>
      </w:r>
      <w:proofErr w:type="spellStart"/>
      <w:r w:rsidRPr="00365965">
        <w:rPr>
          <w:rFonts w:asciiTheme="minorHAnsi" w:eastAsiaTheme="minorHAnsi" w:hAnsiTheme="minorHAnsi" w:cs="AdvPTimes"/>
          <w:i/>
          <w:iCs/>
          <w:color w:val="000000"/>
          <w:lang w:val="en-US"/>
        </w:rPr>
        <w:t>canutus</w:t>
      </w:r>
      <w:proofErr w:type="spellEnd"/>
      <w:r>
        <w:rPr>
          <w:rFonts w:asciiTheme="minorHAnsi" w:eastAsiaTheme="minorHAnsi" w:hAnsiTheme="minorHAnsi" w:cs="AdvPTimes"/>
          <w:color w:val="000000"/>
          <w:lang w:val="en-US"/>
        </w:rPr>
        <w:t xml:space="preserve">) does not match the original species 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>identification.</w:t>
      </w:r>
    </w:p>
    <w:p w:rsidR="00AC178E" w:rsidRDefault="00AC178E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365965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S4.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 xml:space="preserve"> Alignment of trimmed CO1 locus corresponding to nt. </w:t>
      </w:r>
      <w:r w:rsidRPr="00365965">
        <w:rPr>
          <w:lang w:val="en-US"/>
        </w:rPr>
        <w:t xml:space="preserve">49-351 (303 </w:t>
      </w:r>
      <w:proofErr w:type="spellStart"/>
      <w:r w:rsidRPr="00365965">
        <w:rPr>
          <w:lang w:val="en-US"/>
        </w:rPr>
        <w:t>bp</w:t>
      </w:r>
      <w:proofErr w:type="spellEnd"/>
      <w:r w:rsidRPr="00365965">
        <w:rPr>
          <w:lang w:val="en-US"/>
        </w:rPr>
        <w:t xml:space="preserve">) of </w:t>
      </w:r>
      <w:proofErr w:type="spellStart"/>
      <w:r w:rsidRPr="00365965">
        <w:rPr>
          <w:i/>
          <w:iCs/>
          <w:lang w:val="en-US"/>
        </w:rPr>
        <w:t>Philophthalmus</w:t>
      </w:r>
      <w:proofErr w:type="spellEnd"/>
      <w:r w:rsidRPr="00365965">
        <w:rPr>
          <w:i/>
          <w:iCs/>
          <w:lang w:val="en-US"/>
        </w:rPr>
        <w:t xml:space="preserve"> </w:t>
      </w:r>
      <w:proofErr w:type="spellStart"/>
      <w:r w:rsidRPr="00365965">
        <w:rPr>
          <w:i/>
          <w:iCs/>
          <w:lang w:val="en-US"/>
        </w:rPr>
        <w:t>gralli</w:t>
      </w:r>
      <w:proofErr w:type="spellEnd"/>
      <w:r w:rsidRPr="00365965">
        <w:rPr>
          <w:lang w:val="en-US"/>
        </w:rPr>
        <w:t xml:space="preserve"> JQ675731</w:t>
      </w:r>
      <w:r w:rsidRPr="00365965">
        <w:rPr>
          <w:rFonts w:asciiTheme="minorHAnsi" w:eastAsiaTheme="minorHAnsi" w:hAnsiTheme="minorHAnsi" w:cs="AdvPTimes"/>
          <w:color w:val="000000"/>
          <w:lang w:val="en-US"/>
        </w:rPr>
        <w:t xml:space="preserve">, which </w:t>
      </w:r>
      <w:r w:rsidRPr="00DD7D00">
        <w:rPr>
          <w:rFonts w:asciiTheme="minorHAnsi" w:eastAsiaTheme="minorHAnsi" w:hAnsiTheme="minorHAnsi" w:cs="AdvPTimes"/>
          <w:color w:val="000000"/>
          <w:lang w:val="en-US"/>
        </w:rPr>
        <w:t xml:space="preserve">consisted of </w:t>
      </w:r>
      <w:r w:rsidRPr="00DD7D00">
        <w:rPr>
          <w:lang w:val="en-US"/>
        </w:rPr>
        <w:t>partial CO1 coding sequence</w:t>
      </w:r>
      <w:r w:rsidRPr="00DD7D00">
        <w:rPr>
          <w:rFonts w:asciiTheme="minorHAnsi" w:eastAsiaTheme="minorHAnsi" w:hAnsiTheme="minorHAnsi" w:cs="AdvPTimes"/>
          <w:color w:val="000000"/>
          <w:lang w:val="en-US"/>
        </w:rPr>
        <w:t>.</w:t>
      </w:r>
    </w:p>
    <w:p w:rsidR="00AC178E" w:rsidRPr="00DD7D00" w:rsidRDefault="00AC178E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</w:p>
    <w:p w:rsidR="00946CF4" w:rsidRPr="006875B8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DD7D00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S5.</w:t>
      </w:r>
      <w:r w:rsidRPr="00DD7D00">
        <w:rPr>
          <w:rFonts w:asciiTheme="minorHAnsi" w:eastAsiaTheme="minorHAnsi" w:hAnsiTheme="minorHAnsi" w:cs="AdvPTimes"/>
          <w:color w:val="000000"/>
          <w:lang w:val="en-US"/>
        </w:rPr>
        <w:t xml:space="preserve"> Alignment of</w:t>
      </w:r>
      <w:r w:rsidRPr="001E472A">
        <w:rPr>
          <w:rFonts w:asciiTheme="minorHAnsi" w:eastAsiaTheme="minorHAnsi" w:hAnsiTheme="minorHAnsi" w:cs="AdvPTimes"/>
          <w:color w:val="000000"/>
          <w:lang w:val="en-US"/>
        </w:rPr>
        <w:t xml:space="preserve"> trimmed </w:t>
      </w:r>
      <w:r>
        <w:rPr>
          <w:rFonts w:asciiTheme="minorHAnsi" w:eastAsiaTheme="minorHAnsi" w:hAnsiTheme="minorHAnsi" w:cs="AdvPTimes"/>
          <w:color w:val="000000"/>
          <w:lang w:val="en-US"/>
        </w:rPr>
        <w:t>ND1</w:t>
      </w:r>
      <w:r w:rsidRPr="001E472A">
        <w:rPr>
          <w:rFonts w:asciiTheme="minorHAnsi" w:eastAsiaTheme="minorHAnsi" w:hAnsiTheme="minorHAnsi" w:cs="AdvPTimes"/>
          <w:color w:val="000000"/>
          <w:lang w:val="en-US"/>
        </w:rPr>
        <w:t xml:space="preserve"> locus corresponding to nt. </w:t>
      </w:r>
      <w:r w:rsidRPr="00E93B84">
        <w:rPr>
          <w:lang w:val="en-US"/>
        </w:rPr>
        <w:t xml:space="preserve">1-435 (435 </w:t>
      </w:r>
      <w:proofErr w:type="spellStart"/>
      <w:r w:rsidRPr="00E93B84">
        <w:rPr>
          <w:lang w:val="en-US"/>
        </w:rPr>
        <w:t>bp</w:t>
      </w:r>
      <w:proofErr w:type="spellEnd"/>
      <w:r w:rsidRPr="00E93B84">
        <w:rPr>
          <w:lang w:val="en-US"/>
        </w:rPr>
        <w:t xml:space="preserve">) of </w:t>
      </w:r>
      <w:proofErr w:type="spellStart"/>
      <w:r w:rsidRPr="00E93B84">
        <w:rPr>
          <w:i/>
          <w:iCs/>
          <w:lang w:val="en-US"/>
        </w:rPr>
        <w:t>Parafasciolopsis</w:t>
      </w:r>
      <w:proofErr w:type="spellEnd"/>
      <w:r w:rsidRPr="00E93B84">
        <w:rPr>
          <w:i/>
          <w:iCs/>
          <w:lang w:val="en-US"/>
        </w:rPr>
        <w:t xml:space="preserve"> </w:t>
      </w:r>
      <w:proofErr w:type="spellStart"/>
      <w:r w:rsidRPr="006875B8">
        <w:rPr>
          <w:i/>
          <w:iCs/>
          <w:lang w:val="en-US"/>
        </w:rPr>
        <w:t>fasciolaemorpha</w:t>
      </w:r>
      <w:proofErr w:type="spellEnd"/>
      <w:r w:rsidRPr="006875B8">
        <w:rPr>
          <w:lang w:val="en-US"/>
        </w:rPr>
        <w:t xml:space="preserve"> EF612500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, which consisted of </w:t>
      </w:r>
      <w:r w:rsidRPr="006875B8">
        <w:rPr>
          <w:lang w:val="en-US"/>
        </w:rPr>
        <w:t>partial ND1 coding sequence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>.</w:t>
      </w:r>
    </w:p>
    <w:p w:rsidR="00C7600E" w:rsidRDefault="00C7600E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</w:pPr>
    </w:p>
    <w:p w:rsidR="00A52A0F" w:rsidRDefault="00A52A0F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  <w:sectPr w:rsidR="00A52A0F" w:rsidSect="002029CC">
          <w:footerReference w:type="default" r:id="rId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6875B8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S6.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 Maximum likelihood fits of 24 nucleotide substitution models for the ITS2 locus (10 sequences with a total of 593 positions in the final dataset), with all sites used for the analyses, including the gaps. 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lastRenderedPageBreak/>
        <w:t>For each model, we calculated the Bayesian information crite</w:t>
      </w:r>
      <w:r w:rsidR="00A957E8">
        <w:rPr>
          <w:rFonts w:asciiTheme="minorHAnsi" w:eastAsiaTheme="minorHAnsi" w:hAnsiTheme="minorHAnsi" w:cs="AdvPTimes"/>
          <w:color w:val="000000"/>
          <w:lang w:val="en-US"/>
        </w:rPr>
        <w:t>r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ion, </w:t>
      </w:r>
      <w:proofErr w:type="spellStart"/>
      <w:r w:rsidRPr="006875B8">
        <w:rPr>
          <w:rFonts w:asciiTheme="minorHAnsi" w:eastAsiaTheme="minorHAnsi" w:hAnsiTheme="minorHAnsi" w:cs="AdvPTimes"/>
          <w:color w:val="000000"/>
          <w:lang w:val="en-US"/>
        </w:rPr>
        <w:t>Akaike</w:t>
      </w:r>
      <w:proofErr w:type="spellEnd"/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 information criterion (corrected) and maximum likelihood values.</w:t>
      </w:r>
    </w:p>
    <w:p w:rsidR="00AC178E" w:rsidRDefault="00AC178E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6875B8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S7.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 Maximum likelihood fits of 24 nucleotide substitution models for the 18S rDNA locus (8 sequences with a total of 587 positions in the final dataset), with all sites used for the analyses, including the gaps. For each model, we calculated the Bayesian information crite</w:t>
      </w:r>
      <w:r w:rsidR="00AC178E">
        <w:rPr>
          <w:rFonts w:asciiTheme="minorHAnsi" w:eastAsiaTheme="minorHAnsi" w:hAnsiTheme="minorHAnsi" w:cs="AdvPTimes"/>
          <w:color w:val="000000"/>
          <w:lang w:val="en-US"/>
        </w:rPr>
        <w:t>r</w:t>
      </w:r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ion, </w:t>
      </w:r>
      <w:proofErr w:type="spellStart"/>
      <w:r w:rsidRPr="006875B8">
        <w:rPr>
          <w:rFonts w:asciiTheme="minorHAnsi" w:eastAsiaTheme="minorHAnsi" w:hAnsiTheme="minorHAnsi" w:cs="AdvPTimes"/>
          <w:color w:val="000000"/>
          <w:lang w:val="en-US"/>
        </w:rPr>
        <w:t>Akaike</w:t>
      </w:r>
      <w:proofErr w:type="spellEnd"/>
      <w:r w:rsidRPr="006875B8">
        <w:rPr>
          <w:rFonts w:asciiTheme="minorHAnsi" w:eastAsiaTheme="minorHAnsi" w:hAnsiTheme="minorHAnsi" w:cs="AdvPTimes"/>
          <w:color w:val="000000"/>
          <w:lang w:val="en-US"/>
        </w:rPr>
        <w:t xml:space="preserve"> information criterion (corrected) </w:t>
      </w:r>
      <w:r w:rsidRPr="00A06DD6">
        <w:rPr>
          <w:rFonts w:asciiTheme="minorHAnsi" w:eastAsiaTheme="minorHAnsi" w:hAnsiTheme="minorHAnsi" w:cs="AdvPTimes"/>
          <w:color w:val="000000"/>
          <w:lang w:val="en-US"/>
        </w:rPr>
        <w:t>and maximum likelihood values.</w:t>
      </w:r>
    </w:p>
    <w:p w:rsidR="00AC178E" w:rsidRDefault="00AC178E" w:rsidP="002029CC">
      <w:pPr>
        <w:spacing w:after="0" w:line="480" w:lineRule="auto"/>
        <w:jc w:val="both"/>
        <w:rPr>
          <w:rFonts w:eastAsia="Calibri" w:cs="Arial"/>
          <w:lang w:val="en-CA"/>
        </w:rPr>
      </w:pPr>
    </w:p>
    <w:p w:rsidR="00946CF4" w:rsidRPr="00A06DD6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A06DD6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S8.</w:t>
      </w:r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 Maximum likelihood fits of 24 nucleotide substitution models for the CO1 locus (9 sequences with a total of 306 positions in the final dataset), with all sites used for the analyses, including the gaps. For each model, we calculated the Bayesian information </w:t>
      </w:r>
      <w:proofErr w:type="spellStart"/>
      <w:r w:rsidRPr="00A06DD6">
        <w:rPr>
          <w:rFonts w:asciiTheme="minorHAnsi" w:eastAsiaTheme="minorHAnsi" w:hAnsiTheme="minorHAnsi" w:cs="AdvPTimes"/>
          <w:color w:val="000000"/>
          <w:lang w:val="en-US"/>
        </w:rPr>
        <w:t>critetion</w:t>
      </w:r>
      <w:proofErr w:type="spellEnd"/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, </w:t>
      </w:r>
      <w:proofErr w:type="spellStart"/>
      <w:r w:rsidRPr="00A06DD6">
        <w:rPr>
          <w:rFonts w:asciiTheme="minorHAnsi" w:eastAsiaTheme="minorHAnsi" w:hAnsiTheme="minorHAnsi" w:cs="AdvPTimes"/>
          <w:color w:val="000000"/>
          <w:lang w:val="en-US"/>
        </w:rPr>
        <w:t>Akaike</w:t>
      </w:r>
      <w:proofErr w:type="spellEnd"/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 information criterion (corrected) and maximum likelihood values.</w:t>
      </w:r>
    </w:p>
    <w:p w:rsidR="002029CC" w:rsidRDefault="002029CC" w:rsidP="002029CC">
      <w:pPr>
        <w:spacing w:after="0" w:line="480" w:lineRule="auto"/>
        <w:jc w:val="both"/>
        <w:rPr>
          <w:rFonts w:asciiTheme="minorHAnsi" w:eastAsiaTheme="minorHAnsi" w:hAnsiTheme="minorHAnsi" w:cs="AdvPTimes"/>
          <w:b/>
          <w:bCs/>
          <w:color w:val="000000"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  <w:r w:rsidRPr="00A06DD6">
        <w:rPr>
          <w:rFonts w:asciiTheme="minorHAnsi" w:eastAsiaTheme="minorHAnsi" w:hAnsiTheme="minorHAnsi" w:cs="AdvPTimes"/>
          <w:b/>
          <w:bCs/>
          <w:color w:val="000000"/>
          <w:lang w:val="en-US"/>
        </w:rPr>
        <w:t>Table S9.</w:t>
      </w:r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 Maximum likelihood fits of 24 nucleotide substitution models for the ND1 locus (11 sequences with a total of 435 positions in the final dataset), with all sites used for the analyses, including the gaps. For each model, we calculated the Bayesian information </w:t>
      </w:r>
      <w:proofErr w:type="spellStart"/>
      <w:r w:rsidRPr="00A06DD6">
        <w:rPr>
          <w:rFonts w:asciiTheme="minorHAnsi" w:eastAsiaTheme="minorHAnsi" w:hAnsiTheme="minorHAnsi" w:cs="AdvPTimes"/>
          <w:color w:val="000000"/>
          <w:lang w:val="en-US"/>
        </w:rPr>
        <w:t>critetion</w:t>
      </w:r>
      <w:proofErr w:type="spellEnd"/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, </w:t>
      </w:r>
      <w:proofErr w:type="spellStart"/>
      <w:r w:rsidRPr="00A06DD6">
        <w:rPr>
          <w:rFonts w:asciiTheme="minorHAnsi" w:eastAsiaTheme="minorHAnsi" w:hAnsiTheme="minorHAnsi" w:cs="AdvPTimes"/>
          <w:color w:val="000000"/>
          <w:lang w:val="en-US"/>
        </w:rPr>
        <w:t>Akaike</w:t>
      </w:r>
      <w:proofErr w:type="spellEnd"/>
      <w:r w:rsidRPr="00A06DD6">
        <w:rPr>
          <w:rFonts w:asciiTheme="minorHAnsi" w:eastAsiaTheme="minorHAnsi" w:hAnsiTheme="minorHAnsi" w:cs="AdvPTimes"/>
          <w:color w:val="000000"/>
          <w:lang w:val="en-US"/>
        </w:rPr>
        <w:t xml:space="preserve"> information criterion (corrected) and </w:t>
      </w:r>
      <w:r w:rsidRPr="00D94320">
        <w:rPr>
          <w:rFonts w:asciiTheme="minorHAnsi" w:eastAsiaTheme="minorHAnsi" w:hAnsiTheme="minorHAnsi" w:cs="AdvPTimes"/>
          <w:color w:val="000000"/>
          <w:lang w:val="en-US"/>
        </w:rPr>
        <w:t>maximum likelihood values.</w:t>
      </w:r>
    </w:p>
    <w:p w:rsidR="00AC178E" w:rsidRPr="00D94320" w:rsidRDefault="00AC178E" w:rsidP="002029CC">
      <w:pPr>
        <w:spacing w:after="0" w:line="480" w:lineRule="auto"/>
        <w:jc w:val="both"/>
        <w:rPr>
          <w:rFonts w:asciiTheme="minorHAnsi" w:eastAsiaTheme="minorHAnsi" w:hAnsiTheme="minorHAnsi" w:cs="AdvPTimes"/>
          <w:color w:val="000000"/>
          <w:lang w:val="en-US"/>
        </w:rPr>
      </w:pPr>
    </w:p>
    <w:p w:rsidR="00946CF4" w:rsidRPr="00D94320" w:rsidRDefault="00946CF4" w:rsidP="002029CC">
      <w:pPr>
        <w:spacing w:after="0" w:line="480" w:lineRule="auto"/>
        <w:jc w:val="both"/>
        <w:rPr>
          <w:rFonts w:cs="Calibri"/>
          <w:lang w:val="en-US"/>
        </w:rPr>
      </w:pPr>
      <w:r w:rsidRPr="00D94320">
        <w:rPr>
          <w:rFonts w:cs="Calibri"/>
          <w:b/>
          <w:bCs/>
          <w:lang w:val="en-US"/>
        </w:rPr>
        <w:t>Figure S1.</w:t>
      </w:r>
      <w:r w:rsidRPr="00D94320">
        <w:rPr>
          <w:rFonts w:cs="Calibri"/>
          <w:lang w:val="en-US"/>
        </w:rPr>
        <w:t xml:space="preserve"> Phylogenetic tree (50% majority-rule consensus) based on Bayesian inference of </w:t>
      </w:r>
      <w:proofErr w:type="spellStart"/>
      <w:r>
        <w:rPr>
          <w:rFonts w:cs="Calibri"/>
          <w:lang w:val="en-US"/>
        </w:rPr>
        <w:t>Cyclocoelidae</w:t>
      </w:r>
      <w:proofErr w:type="spellEnd"/>
      <w:r w:rsidRPr="00D94320">
        <w:rPr>
          <w:rFonts w:cs="Calibri"/>
          <w:lang w:val="en-US"/>
        </w:rPr>
        <w:t xml:space="preserve"> ITS2 locus. Color of branches indicates Bayesian posterior probabilities.</w:t>
      </w:r>
    </w:p>
    <w:p w:rsidR="00491BEE" w:rsidRDefault="00491BEE" w:rsidP="002029CC">
      <w:pPr>
        <w:spacing w:after="0" w:line="480" w:lineRule="auto"/>
        <w:jc w:val="both"/>
        <w:rPr>
          <w:rFonts w:cs="Calibri"/>
          <w:b/>
          <w:bCs/>
          <w:lang w:val="en-US"/>
        </w:rPr>
      </w:pPr>
    </w:p>
    <w:p w:rsidR="00946CF4" w:rsidRDefault="00946CF4" w:rsidP="002029CC">
      <w:pPr>
        <w:spacing w:after="0" w:line="480" w:lineRule="auto"/>
        <w:jc w:val="both"/>
        <w:rPr>
          <w:rFonts w:cs="Calibri"/>
          <w:lang w:val="en-US"/>
        </w:rPr>
      </w:pPr>
      <w:r w:rsidRPr="00D94320">
        <w:rPr>
          <w:rFonts w:cs="Calibri"/>
          <w:b/>
          <w:bCs/>
          <w:lang w:val="en-US"/>
        </w:rPr>
        <w:t>Figure S2.</w:t>
      </w:r>
      <w:r w:rsidRPr="00D94320">
        <w:rPr>
          <w:rFonts w:cs="Calibri"/>
          <w:lang w:val="en-US"/>
        </w:rPr>
        <w:t xml:space="preserve"> Phylogenetic tree (50% majority-rule consensus) based on Bayesian inference of </w:t>
      </w:r>
      <w:proofErr w:type="spellStart"/>
      <w:r>
        <w:rPr>
          <w:rFonts w:cs="Calibri"/>
          <w:lang w:val="en-US"/>
        </w:rPr>
        <w:t>Cyclocoelidae</w:t>
      </w:r>
      <w:proofErr w:type="spellEnd"/>
      <w:r w:rsidRPr="00D94320">
        <w:rPr>
          <w:rFonts w:cs="Calibri"/>
          <w:lang w:val="en-US"/>
        </w:rPr>
        <w:t xml:space="preserve"> 18S rDNA locus. Color of branches indicates Bayesian posterior probabilities.</w:t>
      </w:r>
    </w:p>
    <w:p w:rsidR="00491BEE" w:rsidRPr="00D94320" w:rsidRDefault="00491BEE" w:rsidP="002029CC">
      <w:pPr>
        <w:spacing w:after="0" w:line="480" w:lineRule="auto"/>
        <w:jc w:val="both"/>
        <w:rPr>
          <w:rFonts w:cs="Calibri"/>
          <w:lang w:val="en-US"/>
        </w:rPr>
      </w:pPr>
    </w:p>
    <w:p w:rsidR="00946CF4" w:rsidRPr="00D94320" w:rsidRDefault="00946CF4" w:rsidP="002029CC">
      <w:pPr>
        <w:spacing w:after="0" w:line="480" w:lineRule="auto"/>
        <w:jc w:val="both"/>
        <w:rPr>
          <w:rFonts w:cs="Calibri"/>
          <w:lang w:val="en-US"/>
        </w:rPr>
      </w:pPr>
      <w:r w:rsidRPr="00D94320">
        <w:rPr>
          <w:rFonts w:cs="Calibri"/>
          <w:b/>
          <w:bCs/>
          <w:lang w:val="en-US"/>
        </w:rPr>
        <w:lastRenderedPageBreak/>
        <w:t>Figure S3.</w:t>
      </w:r>
      <w:r w:rsidRPr="00D94320">
        <w:rPr>
          <w:rFonts w:cs="Calibri"/>
          <w:lang w:val="en-US"/>
        </w:rPr>
        <w:t xml:space="preserve"> Phylogenetic tree (50% majority-rule consensus) based on Bayesian inference of </w:t>
      </w:r>
      <w:proofErr w:type="spellStart"/>
      <w:r>
        <w:rPr>
          <w:rFonts w:cs="Calibri"/>
          <w:lang w:val="en-US"/>
        </w:rPr>
        <w:t>Cyclocoelidae</w:t>
      </w:r>
      <w:proofErr w:type="spellEnd"/>
      <w:r w:rsidRPr="00D94320">
        <w:rPr>
          <w:rFonts w:cs="Calibri"/>
          <w:lang w:val="en-US"/>
        </w:rPr>
        <w:t xml:space="preserve"> CO1 locus. Color of branches indicates Bayesian posterior probabilities.</w:t>
      </w:r>
    </w:p>
    <w:p w:rsidR="00491BEE" w:rsidRDefault="00491BEE" w:rsidP="002029CC">
      <w:pPr>
        <w:spacing w:after="0" w:line="480" w:lineRule="auto"/>
        <w:jc w:val="both"/>
        <w:rPr>
          <w:rFonts w:cs="Calibri"/>
          <w:b/>
          <w:bCs/>
          <w:lang w:val="en-US"/>
        </w:rPr>
      </w:pPr>
    </w:p>
    <w:p w:rsidR="00946CF4" w:rsidRPr="00EB64B6" w:rsidRDefault="00946CF4" w:rsidP="002029CC">
      <w:pPr>
        <w:spacing w:after="0" w:line="480" w:lineRule="auto"/>
        <w:jc w:val="both"/>
        <w:rPr>
          <w:rFonts w:cs="Calibri"/>
          <w:lang w:val="en-US"/>
        </w:rPr>
      </w:pPr>
      <w:bookmarkStart w:id="0" w:name="_GoBack"/>
      <w:bookmarkEnd w:id="0"/>
      <w:r w:rsidRPr="00D94320">
        <w:rPr>
          <w:rFonts w:cs="Calibri"/>
          <w:b/>
          <w:bCs/>
          <w:lang w:val="en-US"/>
        </w:rPr>
        <w:t>Figure S4.</w:t>
      </w:r>
      <w:r w:rsidRPr="00D94320">
        <w:rPr>
          <w:rFonts w:cs="Calibri"/>
          <w:lang w:val="en-US"/>
        </w:rPr>
        <w:t xml:space="preserve"> Phylogenetic tree (50% majority-rule consensus) based on Bayesian inference of </w:t>
      </w:r>
      <w:proofErr w:type="spellStart"/>
      <w:r>
        <w:rPr>
          <w:rFonts w:cs="Calibri"/>
          <w:lang w:val="en-US"/>
        </w:rPr>
        <w:t>Cyclocoelidae</w:t>
      </w:r>
      <w:proofErr w:type="spellEnd"/>
      <w:r w:rsidRPr="00D94320">
        <w:rPr>
          <w:rFonts w:cs="Calibri"/>
          <w:lang w:val="en-US"/>
        </w:rPr>
        <w:t xml:space="preserve"> ND1 locus. Color of branches indicates Bayesian posterior probabilities.</w:t>
      </w:r>
    </w:p>
    <w:p w:rsidR="00946CF4" w:rsidRPr="00EB64B6" w:rsidRDefault="00946CF4" w:rsidP="002029CC">
      <w:pPr>
        <w:spacing w:after="0" w:line="480" w:lineRule="auto"/>
        <w:jc w:val="both"/>
        <w:rPr>
          <w:szCs w:val="24"/>
          <w:lang w:val="en-US"/>
        </w:rPr>
      </w:pPr>
      <w:bookmarkStart w:id="1" w:name="d851e746"/>
      <w:bookmarkEnd w:id="1"/>
    </w:p>
    <w:p w:rsidR="001B2506" w:rsidRDefault="001B2506" w:rsidP="002029CC">
      <w:pPr>
        <w:spacing w:after="0" w:line="480" w:lineRule="auto"/>
        <w:jc w:val="both"/>
      </w:pPr>
    </w:p>
    <w:sectPr w:rsidR="001B2506" w:rsidSect="002029CC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F5" w:rsidRDefault="00DC66F5">
      <w:pPr>
        <w:spacing w:after="0" w:line="240" w:lineRule="auto"/>
      </w:pPr>
      <w:r>
        <w:separator/>
      </w:r>
    </w:p>
  </w:endnote>
  <w:endnote w:type="continuationSeparator" w:id="0">
    <w:p w:rsidR="00DC66F5" w:rsidRDefault="00DC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90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78E" w:rsidRPr="005C28D2" w:rsidRDefault="00AC178E">
        <w:pPr>
          <w:pStyle w:val="Footer"/>
          <w:jc w:val="right"/>
        </w:pPr>
        <w:r w:rsidRPr="005C28D2">
          <w:fldChar w:fldCharType="begin"/>
        </w:r>
        <w:r w:rsidRPr="005C28D2">
          <w:instrText xml:space="preserve"> PAGE   \* MERGEFORMAT </w:instrText>
        </w:r>
        <w:r w:rsidRPr="005C28D2">
          <w:fldChar w:fldCharType="separate"/>
        </w:r>
        <w:r w:rsidR="00491BEE">
          <w:rPr>
            <w:noProof/>
          </w:rPr>
          <w:t>2</w:t>
        </w:r>
        <w:r w:rsidRPr="005C28D2">
          <w:rPr>
            <w:noProof/>
          </w:rPr>
          <w:fldChar w:fldCharType="end"/>
        </w:r>
      </w:p>
    </w:sdtContent>
  </w:sdt>
  <w:p w:rsidR="00AC178E" w:rsidRDefault="00AC1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F5" w:rsidRDefault="00DC66F5">
      <w:pPr>
        <w:spacing w:after="0" w:line="240" w:lineRule="auto"/>
      </w:pPr>
      <w:r>
        <w:separator/>
      </w:r>
    </w:p>
  </w:footnote>
  <w:footnote w:type="continuationSeparator" w:id="0">
    <w:p w:rsidR="00DC66F5" w:rsidRDefault="00DC6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4"/>
    <w:rsid w:val="001B2506"/>
    <w:rsid w:val="002029CC"/>
    <w:rsid w:val="00491BEE"/>
    <w:rsid w:val="00946CF4"/>
    <w:rsid w:val="00A52A0F"/>
    <w:rsid w:val="00A957E8"/>
    <w:rsid w:val="00AC178E"/>
    <w:rsid w:val="00B2009F"/>
    <w:rsid w:val="00C31BAB"/>
    <w:rsid w:val="00C7600E"/>
    <w:rsid w:val="00D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90F8"/>
  <w15:chartTrackingRefBased/>
  <w15:docId w15:val="{9FADFB28-B1B8-4006-BAD9-7DDB27D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6CF4"/>
    <w:pPr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F4"/>
    <w:rPr>
      <w:rFonts w:ascii="Calibri" w:eastAsia="Times New Roman" w:hAnsi="Calibri" w:cs="Times New Roman"/>
      <w:lang w:bidi="ar-SA"/>
    </w:rPr>
  </w:style>
  <w:style w:type="table" w:styleId="TableGrid">
    <w:name w:val="Table Grid"/>
    <w:basedOn w:val="TableNormal"/>
    <w:uiPriority w:val="59"/>
    <w:rsid w:val="00946CF4"/>
    <w:pPr>
      <w:spacing w:after="0" w:line="240" w:lineRule="auto"/>
    </w:pPr>
    <w:rPr>
      <w:lang w:val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7</cp:revision>
  <dcterms:created xsi:type="dcterms:W3CDTF">2016-10-04T13:24:00Z</dcterms:created>
  <dcterms:modified xsi:type="dcterms:W3CDTF">2016-10-04T15:00:00Z</dcterms:modified>
</cp:coreProperties>
</file>