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75" w:rsidRPr="00885975" w:rsidRDefault="00885975" w:rsidP="00885975">
      <w:pPr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bidi="ar-SA"/>
        </w:rPr>
      </w:pPr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Supplementary Table 1. Complicated disease in adult </w:t>
      </w:r>
      <w:r w:rsidRPr="00885975">
        <w:rPr>
          <w:rFonts w:ascii="Times New Roman" w:eastAsia="MS Mincho" w:hAnsi="Times New Roman" w:cs="Times New Roman"/>
          <w:i/>
          <w:sz w:val="24"/>
          <w:szCs w:val="24"/>
          <w:lang w:bidi="ar-SA"/>
        </w:rPr>
        <w:t xml:space="preserve">Plasmodium </w:t>
      </w:r>
      <w:proofErr w:type="spellStart"/>
      <w:r w:rsidRPr="00885975">
        <w:rPr>
          <w:rFonts w:ascii="Times New Roman" w:eastAsia="MS Mincho" w:hAnsi="Times New Roman" w:cs="Times New Roman"/>
          <w:i/>
          <w:sz w:val="24"/>
          <w:szCs w:val="24"/>
          <w:lang w:bidi="ar-SA"/>
        </w:rPr>
        <w:t>knowlesi</w:t>
      </w:r>
      <w:proofErr w:type="spellEnd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malaria infections. </w:t>
      </w:r>
    </w:p>
    <w:tbl>
      <w:tblPr>
        <w:tblW w:w="13860" w:type="dxa"/>
        <w:tblInd w:w="93" w:type="dxa"/>
        <w:tblLook w:val="04A0" w:firstRow="1" w:lastRow="0" w:firstColumn="1" w:lastColumn="0" w:noHBand="0" w:noVBand="1"/>
      </w:tblPr>
      <w:tblGrid>
        <w:gridCol w:w="1709"/>
        <w:gridCol w:w="1560"/>
        <w:gridCol w:w="670"/>
        <w:gridCol w:w="1845"/>
        <w:gridCol w:w="1239"/>
        <w:gridCol w:w="1098"/>
        <w:gridCol w:w="1011"/>
        <w:gridCol w:w="1483"/>
        <w:gridCol w:w="1105"/>
        <w:gridCol w:w="1150"/>
        <w:gridCol w:w="990"/>
      </w:tblGrid>
      <w:tr w:rsidR="00885975" w:rsidRPr="00885975" w:rsidTr="00CD4E8C">
        <w:trPr>
          <w:trHeight w:val="72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Study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Study type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No of cases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Hyperparasitaemia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Hypotension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Acute kidney Injury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Jaundice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Hypoglycaemia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Lactaemia</w:t>
            </w:r>
            <w:proofErr w:type="spellEnd"/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/ acidosis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Respiratory Distress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Death</w:t>
            </w:r>
          </w:p>
        </w:tc>
      </w:tr>
      <w:tr w:rsidR="00885975" w:rsidRPr="00885975" w:rsidTr="00CD4E8C">
        <w:trPr>
          <w:trHeight w:val="480"/>
        </w:trPr>
        <w:tc>
          <w:tcPr>
            <w:tcW w:w="1840" w:type="dxa"/>
            <w:vAlign w:val="bottom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Daneshvar</w:t>
            </w:r>
            <w:proofErr w:type="spellEnd"/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 w:rsidRPr="00885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ar-SA"/>
              </w:rPr>
              <w:t>et al</w:t>
            </w: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2009</w:t>
            </w:r>
          </w:p>
        </w:tc>
        <w:tc>
          <w:tcPr>
            <w:tcW w:w="156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Prospective</w:t>
            </w:r>
          </w:p>
        </w:tc>
        <w:tc>
          <w:tcPr>
            <w:tcW w:w="6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8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36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9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0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</w:tr>
      <w:tr w:rsidR="00885975" w:rsidRPr="00885975" w:rsidTr="00CD4E8C">
        <w:trPr>
          <w:trHeight w:val="240"/>
        </w:trPr>
        <w:tc>
          <w:tcPr>
            <w:tcW w:w="1840" w:type="dxa"/>
            <w:vAlign w:val="bottom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William </w:t>
            </w:r>
            <w:r w:rsidRPr="00885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ar-SA"/>
              </w:rPr>
              <w:t>et al</w:t>
            </w: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2011</w:t>
            </w:r>
          </w:p>
        </w:tc>
        <w:tc>
          <w:tcPr>
            <w:tcW w:w="156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Retrospective</w:t>
            </w:r>
          </w:p>
        </w:tc>
        <w:tc>
          <w:tcPr>
            <w:tcW w:w="6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22</w:t>
            </w:r>
          </w:p>
        </w:tc>
        <w:tc>
          <w:tcPr>
            <w:tcW w:w="18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NA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36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NA</w:t>
            </w:r>
          </w:p>
        </w:tc>
        <w:tc>
          <w:tcPr>
            <w:tcW w:w="9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0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</w:tr>
      <w:tr w:rsidR="00885975" w:rsidRPr="00885975" w:rsidTr="00CD4E8C">
        <w:trPr>
          <w:trHeight w:val="480"/>
        </w:trPr>
        <w:tc>
          <w:tcPr>
            <w:tcW w:w="1840" w:type="dxa"/>
            <w:vAlign w:val="bottom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Willmann</w:t>
            </w:r>
            <w:proofErr w:type="spellEnd"/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 w:rsidRPr="00885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ar-SA"/>
              </w:rPr>
              <w:t>et al</w:t>
            </w: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2012</w:t>
            </w:r>
          </w:p>
        </w:tc>
        <w:tc>
          <w:tcPr>
            <w:tcW w:w="156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Prospective, case control</w:t>
            </w:r>
          </w:p>
        </w:tc>
        <w:tc>
          <w:tcPr>
            <w:tcW w:w="6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18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36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NA</w:t>
            </w:r>
          </w:p>
        </w:tc>
        <w:tc>
          <w:tcPr>
            <w:tcW w:w="9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NA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</w:tr>
      <w:tr w:rsidR="00885975" w:rsidRPr="00885975" w:rsidTr="00CD4E8C">
        <w:trPr>
          <w:trHeight w:val="240"/>
        </w:trPr>
        <w:tc>
          <w:tcPr>
            <w:tcW w:w="1840" w:type="dxa"/>
            <w:vAlign w:val="bottom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Barber </w:t>
            </w:r>
            <w:r w:rsidRPr="00885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ar-SA"/>
              </w:rPr>
              <w:t>et al</w:t>
            </w: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2013</w:t>
            </w: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ar-SA"/>
              </w:rPr>
              <w:t>a</w:t>
            </w:r>
          </w:p>
        </w:tc>
        <w:tc>
          <w:tcPr>
            <w:tcW w:w="156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Prospective</w:t>
            </w:r>
          </w:p>
        </w:tc>
        <w:tc>
          <w:tcPr>
            <w:tcW w:w="6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38</w:t>
            </w:r>
          </w:p>
        </w:tc>
        <w:tc>
          <w:tcPr>
            <w:tcW w:w="18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18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36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9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10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885975" w:rsidRPr="00885975" w:rsidTr="00CD4E8C">
        <w:trPr>
          <w:trHeight w:val="240"/>
        </w:trPr>
        <w:tc>
          <w:tcPr>
            <w:tcW w:w="1840" w:type="dxa"/>
            <w:vAlign w:val="bottom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ar-SA"/>
              </w:rPr>
              <w:t>Pooled analysis</w:t>
            </w:r>
          </w:p>
        </w:tc>
        <w:tc>
          <w:tcPr>
            <w:tcW w:w="156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8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MS Mincho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85975" w:rsidRPr="00885975" w:rsidTr="00CD4E8C">
        <w:trPr>
          <w:trHeight w:val="280"/>
        </w:trPr>
        <w:tc>
          <w:tcPr>
            <w:tcW w:w="1840" w:type="dxa"/>
            <w:vAlign w:val="bottom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Denominator</w:t>
            </w:r>
          </w:p>
        </w:tc>
        <w:tc>
          <w:tcPr>
            <w:tcW w:w="1560" w:type="dxa"/>
            <w:noWrap/>
            <w:vAlign w:val="bottom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87</w:t>
            </w:r>
          </w:p>
        </w:tc>
        <w:tc>
          <w:tcPr>
            <w:tcW w:w="18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65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87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87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87</w:t>
            </w:r>
          </w:p>
        </w:tc>
        <w:tc>
          <w:tcPr>
            <w:tcW w:w="136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48</w:t>
            </w:r>
          </w:p>
        </w:tc>
        <w:tc>
          <w:tcPr>
            <w:tcW w:w="9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70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87</w:t>
            </w:r>
          </w:p>
        </w:tc>
        <w:tc>
          <w:tcPr>
            <w:tcW w:w="10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87</w:t>
            </w:r>
          </w:p>
        </w:tc>
      </w:tr>
      <w:tr w:rsidR="00885975" w:rsidRPr="00885975" w:rsidTr="00CD4E8C">
        <w:trPr>
          <w:trHeight w:val="280"/>
        </w:trPr>
        <w:tc>
          <w:tcPr>
            <w:tcW w:w="1840" w:type="dxa"/>
            <w:vAlign w:val="bottom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Frequency (%)</w:t>
            </w:r>
          </w:p>
        </w:tc>
        <w:tc>
          <w:tcPr>
            <w:tcW w:w="1560" w:type="dxa"/>
            <w:noWrap/>
            <w:vAlign w:val="bottom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44.6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32.1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44.8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44.8</w:t>
            </w:r>
          </w:p>
        </w:tc>
        <w:tc>
          <w:tcPr>
            <w:tcW w:w="136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2.1</w:t>
            </w:r>
          </w:p>
        </w:tc>
        <w:tc>
          <w:tcPr>
            <w:tcW w:w="9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17.1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42.5</w:t>
            </w:r>
          </w:p>
        </w:tc>
        <w:tc>
          <w:tcPr>
            <w:tcW w:w="10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13.8</w:t>
            </w:r>
          </w:p>
        </w:tc>
      </w:tr>
      <w:tr w:rsidR="00885975" w:rsidRPr="00885975" w:rsidTr="00CD4E8C">
        <w:trPr>
          <w:trHeight w:val="500"/>
        </w:trPr>
        <w:tc>
          <w:tcPr>
            <w:tcW w:w="1840" w:type="dxa"/>
            <w:vAlign w:val="bottom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95% Confidence intervals</w:t>
            </w:r>
          </w:p>
        </w:tc>
        <w:tc>
          <w:tcPr>
            <w:tcW w:w="1560" w:type="dxa"/>
            <w:noWrap/>
            <w:vAlign w:val="bottom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32.5-56.7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22.3-41.9</w:t>
            </w:r>
          </w:p>
        </w:tc>
        <w:tc>
          <w:tcPr>
            <w:tcW w:w="120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34.4-55.3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34.4-55.3</w:t>
            </w:r>
          </w:p>
        </w:tc>
        <w:tc>
          <w:tcPr>
            <w:tcW w:w="136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0-6.2</w:t>
            </w:r>
          </w:p>
        </w:tc>
        <w:tc>
          <w:tcPr>
            <w:tcW w:w="9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8.3-25.9</w:t>
            </w:r>
          </w:p>
        </w:tc>
        <w:tc>
          <w:tcPr>
            <w:tcW w:w="104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32.1-52.9</w:t>
            </w:r>
          </w:p>
        </w:tc>
        <w:tc>
          <w:tcPr>
            <w:tcW w:w="1080" w:type="dxa"/>
            <w:vAlign w:val="center"/>
            <w:hideMark/>
          </w:tcPr>
          <w:p w:rsidR="00885975" w:rsidRPr="00885975" w:rsidRDefault="00885975" w:rsidP="0088597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8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6.6-21.1</w:t>
            </w:r>
          </w:p>
        </w:tc>
      </w:tr>
    </w:tbl>
    <w:p w:rsidR="00885975" w:rsidRPr="00885975" w:rsidRDefault="00885975" w:rsidP="00885975">
      <w:pPr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bidi="ar-SA"/>
        </w:rPr>
      </w:pPr>
    </w:p>
    <w:p w:rsidR="00885975" w:rsidRPr="00885975" w:rsidRDefault="00885975" w:rsidP="00885975">
      <w:pPr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bidi="ar-SA"/>
        </w:rPr>
      </w:pPr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Severe criteria used were: </w:t>
      </w:r>
      <w:proofErr w:type="spellStart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>Hyperparasitaemia</w:t>
      </w:r>
      <w:proofErr w:type="spellEnd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was defined as &gt;100,000 parasites/</w:t>
      </w:r>
      <w:proofErr w:type="spellStart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>μL</w:t>
      </w:r>
      <w:proofErr w:type="spellEnd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. Hypotension was defined as systolic blood pressure &lt;80 mm Hg. Acute kidney injury was defined as a serum creatinine level &gt;265μmol/L despite rehydration. Jaundice was defined as a serum bilirubin </w:t>
      </w:r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lastRenderedPageBreak/>
        <w:t xml:space="preserve">&gt;43μmol/L; </w:t>
      </w:r>
      <w:r w:rsidRPr="00885975">
        <w:rPr>
          <w:rFonts w:ascii="Times New Roman" w:eastAsia="MS Mincho" w:hAnsi="Times New Roman" w:cs="Times New Roman"/>
          <w:sz w:val="24"/>
          <w:szCs w:val="24"/>
          <w:vertAlign w:val="superscript"/>
          <w:lang w:bidi="ar-SA"/>
        </w:rPr>
        <w:t>a</w:t>
      </w:r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– bilirubin &gt;43μmol/L  plus </w:t>
      </w:r>
      <w:proofErr w:type="spellStart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>parasitaemia</w:t>
      </w:r>
      <w:proofErr w:type="spellEnd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&gt;20,000 parasites/</w:t>
      </w:r>
      <w:proofErr w:type="spellStart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>μL</w:t>
      </w:r>
      <w:proofErr w:type="spellEnd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and/or creatinine &gt;132 </w:t>
      </w:r>
      <w:proofErr w:type="spellStart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>μmol</w:t>
      </w:r>
      <w:proofErr w:type="spellEnd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/L. Hypoglycaemia was defined as a serum glucose &lt;2.2 </w:t>
      </w:r>
      <w:proofErr w:type="spellStart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>mmol</w:t>
      </w:r>
      <w:proofErr w:type="spellEnd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/L.  </w:t>
      </w:r>
      <w:proofErr w:type="spellStart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>Lactaemia</w:t>
      </w:r>
      <w:proofErr w:type="spellEnd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/acidosis was defined as &gt;5 </w:t>
      </w:r>
      <w:proofErr w:type="spellStart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>mmol</w:t>
      </w:r>
      <w:proofErr w:type="spellEnd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/L; </w:t>
      </w:r>
      <w:r w:rsidRPr="00885975">
        <w:rPr>
          <w:rFonts w:ascii="Times New Roman" w:eastAsia="MS Mincho" w:hAnsi="Times New Roman" w:cs="Times New Roman"/>
          <w:sz w:val="24"/>
          <w:szCs w:val="24"/>
          <w:vertAlign w:val="superscript"/>
          <w:lang w:bidi="ar-SA"/>
        </w:rPr>
        <w:t>a</w:t>
      </w:r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– bicarbonate &lt;15 </w:t>
      </w:r>
      <w:proofErr w:type="spellStart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>mmol</w:t>
      </w:r>
      <w:proofErr w:type="spellEnd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/L or lactate &gt;5 </w:t>
      </w:r>
      <w:proofErr w:type="spellStart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>mmol</w:t>
      </w:r>
      <w:proofErr w:type="spellEnd"/>
      <w:r w:rsidRPr="00885975">
        <w:rPr>
          <w:rFonts w:ascii="Times New Roman" w:eastAsia="MS Mincho" w:hAnsi="Times New Roman" w:cs="Times New Roman"/>
          <w:sz w:val="24"/>
          <w:szCs w:val="24"/>
          <w:lang w:bidi="ar-SA"/>
        </w:rPr>
        <w:t>/L. Respiratory distress was defined as a respiratory rate &gt;30 breaths/min plus oxygen saturation &lt;94% on room air and/or pulmonary infiltrates visible on a chest radiograph.  NA – not available.</w:t>
      </w:r>
    </w:p>
    <w:p w:rsidR="00D1443F" w:rsidRDefault="00D1443F">
      <w:bookmarkStart w:id="0" w:name="_GoBack"/>
      <w:bookmarkEnd w:id="0"/>
    </w:p>
    <w:sectPr w:rsidR="00D1443F" w:rsidSect="008859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75"/>
    <w:rsid w:val="00885975"/>
    <w:rsid w:val="00D1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9616E-368D-48DA-9596-E9264930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Assistant</dc:creator>
  <cp:keywords/>
  <dc:description/>
  <cp:lastModifiedBy>Editorial Assistant</cp:lastModifiedBy>
  <cp:revision>1</cp:revision>
  <dcterms:created xsi:type="dcterms:W3CDTF">2016-12-13T14:33:00Z</dcterms:created>
  <dcterms:modified xsi:type="dcterms:W3CDTF">2016-12-13T14:34:00Z</dcterms:modified>
</cp:coreProperties>
</file>