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2B" w:rsidRDefault="0080052B" w:rsidP="0080052B">
      <w:pPr>
        <w:wordWrap/>
        <w:adjustRightInd w:val="0"/>
        <w:snapToGrid w:val="0"/>
        <w:spacing w:after="0" w:line="480" w:lineRule="auto"/>
        <w:jc w:val="left"/>
        <w:rPr>
          <w:rFonts w:ascii="Times New Roman" w:hAnsi="Times New Roman" w:cs="Times New Roman"/>
          <w:b/>
          <w:color w:val="000000" w:themeColor="text1"/>
          <w:sz w:val="24"/>
          <w:szCs w:val="24"/>
        </w:rPr>
      </w:pPr>
      <w:r>
        <w:rPr>
          <w:rFonts w:ascii="Arial" w:hAnsi="Arial" w:cs="Arial"/>
          <w:noProof/>
          <w:color w:val="000000" w:themeColor="text1"/>
          <w:szCs w:val="20"/>
          <w:lang w:val="en-GB" w:eastAsia="en-GB"/>
        </w:rPr>
        <w:drawing>
          <wp:inline distT="0" distB="0" distL="0" distR="0" wp14:anchorId="02145A30" wp14:editId="61D49138">
            <wp:extent cx="5731510" cy="3232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_%26_Bae-Suppl_Fig_1.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232150"/>
                    </a:xfrm>
                    <a:prstGeom prst="rect">
                      <a:avLst/>
                    </a:prstGeom>
                  </pic:spPr>
                </pic:pic>
              </a:graphicData>
            </a:graphic>
          </wp:inline>
        </w:drawing>
      </w:r>
    </w:p>
    <w:p w:rsidR="0080052B" w:rsidRDefault="0080052B" w:rsidP="0080052B">
      <w:pPr>
        <w:wordWrap/>
        <w:adjustRightInd w:val="0"/>
        <w:snapToGrid w:val="0"/>
        <w:spacing w:after="0" w:line="480" w:lineRule="auto"/>
        <w:jc w:val="left"/>
        <w:rPr>
          <w:rFonts w:ascii="Times New Roman" w:hAnsi="Times New Roman" w:cs="Times New Roman"/>
          <w:b/>
          <w:color w:val="000000" w:themeColor="text1"/>
          <w:sz w:val="24"/>
          <w:szCs w:val="24"/>
        </w:rPr>
      </w:pPr>
    </w:p>
    <w:p w:rsidR="0080052B" w:rsidRPr="0015177A" w:rsidRDefault="0080052B" w:rsidP="0080052B">
      <w:pPr>
        <w:wordWrap/>
        <w:adjustRightInd w:val="0"/>
        <w:snapToGrid w:val="0"/>
        <w:spacing w:after="0" w:line="480" w:lineRule="auto"/>
        <w:jc w:val="left"/>
        <w:rPr>
          <w:rFonts w:ascii="Times New Roman" w:hAnsi="Times New Roman" w:cs="Times New Roman"/>
          <w:color w:val="000000" w:themeColor="text1"/>
          <w:sz w:val="24"/>
          <w:szCs w:val="24"/>
        </w:rPr>
      </w:pPr>
      <w:r w:rsidRPr="0015177A">
        <w:rPr>
          <w:rFonts w:ascii="Times New Roman" w:hAnsi="Times New Roman" w:cs="Times New Roman"/>
          <w:b/>
          <w:color w:val="000000" w:themeColor="text1"/>
          <w:sz w:val="24"/>
          <w:szCs w:val="24"/>
        </w:rPr>
        <w:t xml:space="preserve">Supplementary </w:t>
      </w:r>
      <w:r w:rsidRPr="0015177A">
        <w:rPr>
          <w:rFonts w:ascii="Times New Roman" w:hAnsi="Times New Roman" w:cs="Times New Roman" w:hint="eastAsia"/>
          <w:b/>
          <w:color w:val="000000" w:themeColor="text1"/>
          <w:sz w:val="24"/>
          <w:szCs w:val="24"/>
        </w:rPr>
        <w:t>Fig. 1.</w:t>
      </w:r>
      <w:r w:rsidRPr="0015177A">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Rectangular cladogram showing </w:t>
      </w:r>
      <w:r w:rsidRPr="0015177A">
        <w:rPr>
          <w:rFonts w:ascii="Times New Roman" w:hAnsi="Times New Roman" w:cs="Times New Roman"/>
          <w:color w:val="000000" w:themeColor="text1"/>
          <w:sz w:val="24"/>
          <w:szCs w:val="24"/>
        </w:rPr>
        <w:t>phylogenetic relationships</w:t>
      </w:r>
      <w:r>
        <w:rPr>
          <w:rFonts w:ascii="Times New Roman" w:hAnsi="Times New Roman" w:cs="Times New Roman"/>
          <w:color w:val="000000" w:themeColor="text1"/>
          <w:sz w:val="24"/>
          <w:szCs w:val="24"/>
        </w:rPr>
        <w:t xml:space="preserve"> among o</w:t>
      </w:r>
      <w:r w:rsidRPr="0015177A">
        <w:rPr>
          <w:rFonts w:ascii="Times New Roman" w:hAnsi="Times New Roman" w:cs="Times New Roman"/>
          <w:color w:val="000000" w:themeColor="text1"/>
          <w:sz w:val="24"/>
          <w:szCs w:val="24"/>
        </w:rPr>
        <w:t xml:space="preserve">rganisms </w:t>
      </w:r>
      <w:r>
        <w:rPr>
          <w:rFonts w:ascii="Times New Roman" w:hAnsi="Times New Roman" w:cs="Times New Roman"/>
          <w:color w:val="000000" w:themeColor="text1"/>
          <w:sz w:val="24"/>
          <w:szCs w:val="24"/>
        </w:rPr>
        <w:t xml:space="preserve">that were </w:t>
      </w:r>
      <w:r w:rsidRPr="0015177A">
        <w:rPr>
          <w:rFonts w:ascii="Times New Roman" w:hAnsi="Times New Roman" w:cs="Times New Roman"/>
          <w:color w:val="000000" w:themeColor="text1"/>
          <w:sz w:val="24"/>
          <w:szCs w:val="24"/>
        </w:rPr>
        <w:t>selected for</w:t>
      </w:r>
      <w:r>
        <w:rPr>
          <w:rFonts w:ascii="Times New Roman" w:hAnsi="Times New Roman" w:cs="Times New Roman"/>
          <w:color w:val="000000" w:themeColor="text1"/>
          <w:sz w:val="24"/>
          <w:szCs w:val="24"/>
        </w:rPr>
        <w:t xml:space="preserve"> the identification of </w:t>
      </w:r>
      <w:r w:rsidRPr="0015177A">
        <w:rPr>
          <w:rFonts w:ascii="Times New Roman" w:eastAsia="Malgun Gothic" w:hAnsi="Times New Roman" w:cs="Times New Roman"/>
          <w:color w:val="000000" w:themeColor="text1"/>
          <w:sz w:val="24"/>
          <w:szCs w:val="24"/>
        </w:rPr>
        <w:t>γ</w:t>
      </w:r>
      <w:r w:rsidRPr="0015177A">
        <w:rPr>
          <w:rFonts w:ascii="Times New Roman" w:hAnsi="Times New Roman" w:cs="Times New Roman"/>
          <w:color w:val="000000" w:themeColor="text1"/>
          <w:sz w:val="24"/>
          <w:szCs w:val="24"/>
        </w:rPr>
        <w:t>-form tyrosinase</w:t>
      </w:r>
      <w:r>
        <w:rPr>
          <w:rFonts w:ascii="Times New Roman" w:hAnsi="Times New Roman" w:cs="Times New Roman"/>
          <w:color w:val="000000" w:themeColor="text1"/>
          <w:sz w:val="24"/>
          <w:szCs w:val="24"/>
        </w:rPr>
        <w:t xml:space="preserve"> gene</w:t>
      </w:r>
      <w:r w:rsidRPr="0015177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Pr="0015177A">
        <w:rPr>
          <w:rFonts w:ascii="Times New Roman" w:hAnsi="Times New Roman" w:cs="Times New Roman"/>
          <w:color w:val="000000" w:themeColor="text1"/>
          <w:sz w:val="24"/>
          <w:szCs w:val="24"/>
        </w:rPr>
        <w:t>The public databases, where complete genomic sequence information is available, are also shown in the</w:t>
      </w:r>
      <w:r>
        <w:rPr>
          <w:rFonts w:ascii="Times New Roman" w:hAnsi="Times New Roman" w:cs="Times New Roman"/>
          <w:color w:val="000000" w:themeColor="text1"/>
          <w:sz w:val="24"/>
          <w:szCs w:val="24"/>
        </w:rPr>
        <w:t xml:space="preserve"> tree</w:t>
      </w:r>
      <w:r w:rsidRPr="0015177A">
        <w:rPr>
          <w:rFonts w:ascii="Times New Roman" w:hAnsi="Times New Roman" w:cs="Times New Roman"/>
          <w:color w:val="000000" w:themeColor="text1"/>
          <w:sz w:val="24"/>
          <w:szCs w:val="24"/>
        </w:rPr>
        <w:t>.</w:t>
      </w:r>
    </w:p>
    <w:p w:rsidR="0080052B" w:rsidRPr="0015177A" w:rsidRDefault="0080052B" w:rsidP="0080052B">
      <w:pPr>
        <w:wordWrap/>
        <w:adjustRightInd w:val="0"/>
        <w:snapToGrid w:val="0"/>
        <w:spacing w:after="0" w:line="480" w:lineRule="auto"/>
        <w:jc w:val="left"/>
        <w:rPr>
          <w:rFonts w:ascii="Arial" w:hAnsi="Arial" w:cs="Arial"/>
          <w:color w:val="000000" w:themeColor="text1"/>
          <w:szCs w:val="20"/>
        </w:rPr>
      </w:pPr>
    </w:p>
    <w:p w:rsidR="0080052B" w:rsidRDefault="0080052B">
      <w:pPr>
        <w:widowControl/>
        <w:wordWrap/>
        <w:autoSpaceDE/>
        <w:autoSpaceDN/>
        <w:spacing w:after="160" w:line="259" w:lineRule="auto"/>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D838E3" w:rsidRDefault="00D838E3" w:rsidP="0080052B">
      <w:pPr>
        <w:wordWrap/>
        <w:adjustRightInd w:val="0"/>
        <w:snapToGrid w:val="0"/>
        <w:spacing w:after="0" w:line="480" w:lineRule="auto"/>
        <w:jc w:val="left"/>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GB" w:eastAsia="en-GB"/>
        </w:rPr>
        <w:lastRenderedPageBreak/>
        <w:drawing>
          <wp:inline distT="0" distB="0" distL="0" distR="0">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m_%26_Bae-Suppl_Fig_2.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D838E3" w:rsidRDefault="00D838E3" w:rsidP="0080052B">
      <w:pPr>
        <w:wordWrap/>
        <w:adjustRightInd w:val="0"/>
        <w:snapToGrid w:val="0"/>
        <w:spacing w:after="0" w:line="480" w:lineRule="auto"/>
        <w:jc w:val="left"/>
        <w:rPr>
          <w:rFonts w:ascii="Times New Roman" w:hAnsi="Times New Roman" w:cs="Times New Roman"/>
          <w:b/>
          <w:bCs/>
          <w:color w:val="000000" w:themeColor="text1"/>
          <w:sz w:val="24"/>
          <w:szCs w:val="24"/>
        </w:rPr>
      </w:pPr>
    </w:p>
    <w:p w:rsidR="0080052B" w:rsidRPr="0015177A" w:rsidRDefault="0080052B" w:rsidP="0080052B">
      <w:pPr>
        <w:wordWrap/>
        <w:adjustRightInd w:val="0"/>
        <w:snapToGrid w:val="0"/>
        <w:spacing w:after="0" w:line="480" w:lineRule="auto"/>
        <w:jc w:val="left"/>
        <w:rPr>
          <w:rFonts w:ascii="Times New Roman" w:hAnsi="Times New Roman" w:cs="Times New Roman"/>
          <w:color w:val="000000" w:themeColor="text1"/>
          <w:sz w:val="24"/>
          <w:szCs w:val="24"/>
        </w:rPr>
      </w:pPr>
      <w:bookmarkStart w:id="0" w:name="_GoBack"/>
      <w:bookmarkEnd w:id="0"/>
      <w:r w:rsidRPr="0015177A">
        <w:rPr>
          <w:rFonts w:ascii="Times New Roman" w:hAnsi="Times New Roman" w:cs="Times New Roman"/>
          <w:b/>
          <w:bCs/>
          <w:color w:val="000000" w:themeColor="text1"/>
          <w:sz w:val="24"/>
          <w:szCs w:val="24"/>
        </w:rPr>
        <w:t>Supplementary</w:t>
      </w:r>
      <w:r w:rsidRPr="0015177A">
        <w:rPr>
          <w:rFonts w:ascii="Times New Roman" w:hAnsi="Times New Roman" w:cs="Times New Roman"/>
          <w:b/>
          <w:color w:val="000000" w:themeColor="text1"/>
          <w:sz w:val="24"/>
          <w:szCs w:val="24"/>
        </w:rPr>
        <w:t xml:space="preserve"> Fig. 2.</w:t>
      </w:r>
      <w:r w:rsidRPr="0015177A">
        <w:rPr>
          <w:rFonts w:ascii="Times New Roman" w:hAnsi="Times New Roman" w:cs="Times New Roman"/>
          <w:color w:val="000000" w:themeColor="text1"/>
          <w:sz w:val="24"/>
          <w:szCs w:val="24"/>
        </w:rPr>
        <w:t xml:space="preserve"> Phylogenetic analysis of tyrosinases (TYR) and tyrosinase-related proteins (TYRP) identified in </w:t>
      </w:r>
      <w:proofErr w:type="spellStart"/>
      <w:r w:rsidRPr="0015177A">
        <w:rPr>
          <w:rFonts w:ascii="Times New Roman" w:hAnsi="Times New Roman" w:cs="Times New Roman"/>
          <w:i/>
          <w:color w:val="000000" w:themeColor="text1"/>
          <w:sz w:val="24"/>
          <w:szCs w:val="24"/>
        </w:rPr>
        <w:t>Clonorchis</w:t>
      </w:r>
      <w:proofErr w:type="spellEnd"/>
      <w:r w:rsidRPr="0015177A">
        <w:rPr>
          <w:rFonts w:ascii="Times New Roman" w:hAnsi="Times New Roman" w:cs="Times New Roman"/>
          <w:i/>
          <w:color w:val="000000" w:themeColor="text1"/>
          <w:sz w:val="24"/>
          <w:szCs w:val="24"/>
        </w:rPr>
        <w:t xml:space="preserve"> </w:t>
      </w:r>
      <w:proofErr w:type="spellStart"/>
      <w:r w:rsidRPr="0015177A">
        <w:rPr>
          <w:rFonts w:ascii="Times New Roman" w:hAnsi="Times New Roman" w:cs="Times New Roman"/>
          <w:i/>
          <w:color w:val="000000" w:themeColor="text1"/>
          <w:sz w:val="24"/>
          <w:szCs w:val="24"/>
        </w:rPr>
        <w:t>sinensis</w:t>
      </w:r>
      <w:proofErr w:type="spellEnd"/>
      <w:r w:rsidRPr="0015177A">
        <w:rPr>
          <w:rFonts w:ascii="Times New Roman" w:hAnsi="Times New Roman" w:cs="Times New Roman"/>
          <w:color w:val="000000" w:themeColor="text1"/>
          <w:sz w:val="24"/>
          <w:szCs w:val="24"/>
        </w:rPr>
        <w:t xml:space="preserve"> (bold letters) and other animal taxa. The maximum likelihood tree was constructed using </w:t>
      </w:r>
      <w:proofErr w:type="spellStart"/>
      <w:r w:rsidRPr="0015177A">
        <w:rPr>
          <w:rFonts w:ascii="Times New Roman" w:hAnsi="Times New Roman" w:cs="Times New Roman"/>
          <w:color w:val="000000" w:themeColor="text1"/>
          <w:sz w:val="24"/>
          <w:szCs w:val="24"/>
        </w:rPr>
        <w:t>PhyML</w:t>
      </w:r>
      <w:proofErr w:type="spellEnd"/>
      <w:r w:rsidRPr="0015177A">
        <w:rPr>
          <w:rFonts w:ascii="Times New Roman" w:hAnsi="Times New Roman" w:cs="Times New Roman"/>
          <w:color w:val="000000" w:themeColor="text1"/>
          <w:sz w:val="24"/>
          <w:szCs w:val="24"/>
        </w:rPr>
        <w:t xml:space="preserve"> based on their amino acid sequence alignment rooted with the </w:t>
      </w:r>
      <w:proofErr w:type="spellStart"/>
      <w:r w:rsidRPr="0015177A">
        <w:rPr>
          <w:rFonts w:ascii="Times New Roman" w:hAnsi="Times New Roman" w:cs="Times New Roman"/>
          <w:i/>
          <w:color w:val="000000" w:themeColor="text1"/>
          <w:sz w:val="24"/>
          <w:szCs w:val="24"/>
        </w:rPr>
        <w:t>Suberites</w:t>
      </w:r>
      <w:proofErr w:type="spellEnd"/>
      <w:r w:rsidRPr="0015177A">
        <w:rPr>
          <w:rFonts w:ascii="Times New Roman" w:hAnsi="Times New Roman" w:cs="Times New Roman"/>
          <w:i/>
          <w:color w:val="000000" w:themeColor="text1"/>
          <w:sz w:val="24"/>
          <w:szCs w:val="24"/>
        </w:rPr>
        <w:t xml:space="preserve"> </w:t>
      </w:r>
      <w:proofErr w:type="spellStart"/>
      <w:r w:rsidRPr="0015177A">
        <w:rPr>
          <w:rFonts w:ascii="Times New Roman" w:hAnsi="Times New Roman" w:cs="Times New Roman"/>
          <w:i/>
          <w:color w:val="000000" w:themeColor="text1"/>
          <w:sz w:val="24"/>
          <w:szCs w:val="24"/>
        </w:rPr>
        <w:t>domuncula</w:t>
      </w:r>
      <w:proofErr w:type="spellEnd"/>
      <w:r w:rsidRPr="0015177A">
        <w:rPr>
          <w:rFonts w:ascii="Times New Roman" w:hAnsi="Times New Roman" w:cs="Times New Roman"/>
          <w:i/>
          <w:color w:val="000000" w:themeColor="text1"/>
          <w:sz w:val="24"/>
          <w:szCs w:val="24"/>
        </w:rPr>
        <w:t xml:space="preserve"> </w:t>
      </w:r>
      <w:r w:rsidRPr="0015177A">
        <w:rPr>
          <w:rFonts w:ascii="Times New Roman" w:hAnsi="Times New Roman" w:cs="Times New Roman"/>
          <w:color w:val="000000" w:themeColor="text1"/>
          <w:sz w:val="24"/>
          <w:szCs w:val="24"/>
        </w:rPr>
        <w:t xml:space="preserve">protein (CAE01389). The identity of each protein was distinguished by its </w:t>
      </w:r>
      <w:proofErr w:type="spellStart"/>
      <w:r w:rsidRPr="0015177A">
        <w:rPr>
          <w:rFonts w:ascii="Times New Roman" w:hAnsi="Times New Roman" w:cs="Times New Roman"/>
          <w:color w:val="000000" w:themeColor="text1"/>
          <w:sz w:val="24"/>
          <w:szCs w:val="24"/>
        </w:rPr>
        <w:t>GenBank</w:t>
      </w:r>
      <w:proofErr w:type="spellEnd"/>
      <w:r w:rsidRPr="0015177A">
        <w:rPr>
          <w:rFonts w:ascii="Times New Roman" w:hAnsi="Times New Roman" w:cs="Times New Roman"/>
          <w:color w:val="000000" w:themeColor="text1"/>
          <w:sz w:val="24"/>
          <w:szCs w:val="24"/>
        </w:rPr>
        <w:t xml:space="preserve"> accession number and the scientific name of its donor organism in parenthesis. Italicized accession numbers with asterisks denote proteins, for which sequence information was predicted using mRNA sequences. Branch support values of &gt; 0.50, which were obtained by the </w:t>
      </w:r>
      <w:proofErr w:type="spellStart"/>
      <w:r w:rsidRPr="0015177A">
        <w:rPr>
          <w:rFonts w:ascii="Times New Roman" w:hAnsi="Times New Roman" w:cs="Times New Roman"/>
          <w:color w:val="000000" w:themeColor="text1"/>
          <w:sz w:val="24"/>
          <w:szCs w:val="24"/>
        </w:rPr>
        <w:t>Shimodaira</w:t>
      </w:r>
      <w:proofErr w:type="spellEnd"/>
      <w:r w:rsidRPr="0015177A">
        <w:rPr>
          <w:rFonts w:ascii="Times New Roman" w:hAnsi="Times New Roman" w:cs="Times New Roman"/>
          <w:color w:val="000000" w:themeColor="text1"/>
          <w:sz w:val="24"/>
          <w:szCs w:val="24"/>
        </w:rPr>
        <w:t>-Hasegawa-like approximate likelihood ratio test,</w:t>
      </w:r>
      <w:r w:rsidRPr="0015177A">
        <w:rPr>
          <w:rFonts w:ascii="Times New Roman" w:hAnsi="Times New Roman" w:cs="Times New Roman"/>
          <w:color w:val="000000" w:themeColor="text1"/>
          <w:sz w:val="24"/>
          <w:szCs w:val="24"/>
          <w:lang w:val="en"/>
        </w:rPr>
        <w:t xml:space="preserve"> are indicated at the nodes.</w:t>
      </w:r>
      <w:r w:rsidRPr="0015177A">
        <w:rPr>
          <w:rFonts w:ascii="Times New Roman" w:hAnsi="Times New Roman" w:cs="Times New Roman"/>
          <w:color w:val="000000" w:themeColor="text1"/>
          <w:sz w:val="24"/>
          <w:szCs w:val="24"/>
        </w:rPr>
        <w:t xml:space="preserve"> Proteins conserving a signal peptide and transmembrane domain are marked with ‘S’ and ‘T’, respectively. </w:t>
      </w:r>
      <w:proofErr w:type="spellStart"/>
      <w:r w:rsidRPr="0015177A">
        <w:rPr>
          <w:rFonts w:ascii="Times New Roman" w:hAnsi="Times New Roman" w:cs="Times New Roman"/>
          <w:color w:val="000000" w:themeColor="text1"/>
          <w:sz w:val="24"/>
          <w:szCs w:val="24"/>
        </w:rPr>
        <w:t>P_clade</w:t>
      </w:r>
      <w:proofErr w:type="spellEnd"/>
      <w:r w:rsidRPr="0015177A">
        <w:rPr>
          <w:rFonts w:ascii="Times New Roman" w:hAnsi="Times New Roman" w:cs="Times New Roman"/>
          <w:color w:val="000000" w:themeColor="text1"/>
          <w:sz w:val="24"/>
          <w:szCs w:val="24"/>
        </w:rPr>
        <w:t xml:space="preserve"> 1 and 2 categorize </w:t>
      </w:r>
      <w:r w:rsidRPr="0015177A">
        <w:rPr>
          <w:rFonts w:ascii="Times New Roman" w:hAnsi="Times New Roman" w:cs="Times New Roman"/>
          <w:color w:val="000000" w:themeColor="text1"/>
          <w:sz w:val="24"/>
          <w:szCs w:val="24"/>
        </w:rPr>
        <w:lastRenderedPageBreak/>
        <w:t xml:space="preserve">members of two major lineages detected in the subtree of platyhelminth proteins. Solid diamonds indicate nodes that represent the gene duplication events, which may have occurred in the common ancestors of turbellarians and </w:t>
      </w:r>
      <w:proofErr w:type="spellStart"/>
      <w:r w:rsidRPr="0015177A">
        <w:rPr>
          <w:rFonts w:ascii="Times New Roman" w:hAnsi="Times New Roman" w:cs="Times New Roman"/>
          <w:color w:val="000000" w:themeColor="text1"/>
          <w:sz w:val="24"/>
          <w:szCs w:val="24"/>
        </w:rPr>
        <w:t>neodermatans</w:t>
      </w:r>
      <w:proofErr w:type="spellEnd"/>
      <w:r w:rsidRPr="0015177A">
        <w:rPr>
          <w:rFonts w:ascii="Times New Roman" w:hAnsi="Times New Roman" w:cs="Times New Roman"/>
          <w:color w:val="000000" w:themeColor="text1"/>
          <w:sz w:val="24"/>
          <w:szCs w:val="24"/>
        </w:rPr>
        <w:t>.</w:t>
      </w:r>
    </w:p>
    <w:p w:rsidR="003440D5" w:rsidRDefault="003440D5"/>
    <w:sectPr w:rsidR="003440D5" w:rsidSect="000D4F81">
      <w:footerReference w:type="default" r:id="rId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27577"/>
      <w:docPartObj>
        <w:docPartGallery w:val="Page Numbers (Bottom of Page)"/>
        <w:docPartUnique/>
      </w:docPartObj>
    </w:sdtPr>
    <w:sdtEndPr/>
    <w:sdtContent>
      <w:p w:rsidR="00ED13FB" w:rsidRDefault="00D838E3">
        <w:pPr>
          <w:pStyle w:val="Footer"/>
          <w:jc w:val="center"/>
        </w:pPr>
        <w:r>
          <w:fldChar w:fldCharType="begin"/>
        </w:r>
        <w:r>
          <w:instrText>PAGE   \* MERGEFORMAT</w:instrText>
        </w:r>
        <w:r>
          <w:fldChar w:fldCharType="separate"/>
        </w:r>
        <w:r w:rsidRPr="00D838E3">
          <w:rPr>
            <w:noProof/>
            <w:lang w:val="ko-KR"/>
          </w:rPr>
          <w:t>2</w:t>
        </w:r>
        <w:r>
          <w:fldChar w:fldCharType="end"/>
        </w:r>
      </w:p>
    </w:sdtContent>
  </w:sdt>
  <w:p w:rsidR="00ED13FB" w:rsidRDefault="00D838E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2B"/>
    <w:rsid w:val="003440D5"/>
    <w:rsid w:val="0080052B"/>
    <w:rsid w:val="00D838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EA83"/>
  <w15:chartTrackingRefBased/>
  <w15:docId w15:val="{D2D15116-6C1A-498F-A86B-CFEEA16E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052B"/>
    <w:pPr>
      <w:widowControl w:val="0"/>
      <w:wordWrap w:val="0"/>
      <w:autoSpaceDE w:val="0"/>
      <w:autoSpaceDN w:val="0"/>
      <w:spacing w:after="200" w:line="276" w:lineRule="auto"/>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052B"/>
    <w:pPr>
      <w:tabs>
        <w:tab w:val="center" w:pos="4513"/>
        <w:tab w:val="right" w:pos="9026"/>
      </w:tabs>
      <w:snapToGrid w:val="0"/>
    </w:pPr>
  </w:style>
  <w:style w:type="character" w:customStyle="1" w:styleId="FooterChar">
    <w:name w:val="Footer Char"/>
    <w:basedOn w:val="DefaultParagraphFont"/>
    <w:link w:val="Footer"/>
    <w:uiPriority w:val="99"/>
    <w:rsid w:val="0080052B"/>
    <w:rPr>
      <w:rFonts w:eastAsiaTheme="minorEastAsia"/>
      <w:kern w:val="2"/>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2</cp:revision>
  <dcterms:created xsi:type="dcterms:W3CDTF">2017-05-04T17:52:00Z</dcterms:created>
  <dcterms:modified xsi:type="dcterms:W3CDTF">2017-05-04T17:54:00Z</dcterms:modified>
</cp:coreProperties>
</file>