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BE" w:rsidRDefault="00EF2C4A">
      <w:pPr>
        <w:spacing w:line="480" w:lineRule="auto"/>
        <w:jc w:val="left"/>
        <w:rPr>
          <w:rFonts w:ascii="Calibri" w:hAnsi="Calibri" w:cs="Calibri"/>
          <w:b/>
          <w:kern w:val="0"/>
          <w:sz w:val="22"/>
        </w:rPr>
      </w:pPr>
      <w:r>
        <w:rPr>
          <w:rFonts w:ascii="Calibri" w:hAnsi="Calibri" w:cs="Calibri"/>
          <w:b/>
          <w:kern w:val="0"/>
          <w:sz w:val="22"/>
        </w:rPr>
        <w:t>Table S1 Data summary of three small RNA sequencing libraries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1150"/>
        <w:gridCol w:w="834"/>
      </w:tblGrid>
      <w:tr w:rsidR="00BB07BE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Type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mock-treated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emu-treated 6h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emu-treated 12h</w:t>
            </w:r>
          </w:p>
        </w:tc>
      </w:tr>
      <w:tr w:rsidR="00BB07BE">
        <w:trPr>
          <w:trHeight w:val="300"/>
        </w:trPr>
        <w:tc>
          <w:tcPr>
            <w:tcW w:w="3261" w:type="dxa"/>
            <w:shd w:val="clear" w:color="auto" w:fill="FFFFFF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Total reads</w:t>
            </w:r>
          </w:p>
        </w:tc>
        <w:tc>
          <w:tcPr>
            <w:tcW w:w="1984" w:type="dxa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13,792,508</w:t>
            </w:r>
          </w:p>
        </w:tc>
        <w:tc>
          <w:tcPr>
            <w:tcW w:w="1985" w:type="dxa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12,090,305</w:t>
            </w:r>
          </w:p>
        </w:tc>
        <w:tc>
          <w:tcPr>
            <w:tcW w:w="1984" w:type="dxa"/>
            <w:gridSpan w:val="2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14,921,792</w:t>
            </w:r>
          </w:p>
        </w:tc>
      </w:tr>
      <w:tr w:rsidR="00BB07BE">
        <w:trPr>
          <w:trHeight w:val="300"/>
        </w:trPr>
        <w:tc>
          <w:tcPr>
            <w:tcW w:w="3261" w:type="dxa"/>
            <w:shd w:val="clear" w:color="auto" w:fill="FFFFFF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Clean reads</w:t>
            </w: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84" w:type="dxa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262626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262626"/>
                <w:kern w:val="0"/>
                <w:sz w:val="20"/>
                <w:szCs w:val="20"/>
              </w:rPr>
              <w:t>13,324,762 (96.61%)</w:t>
            </w:r>
          </w:p>
        </w:tc>
        <w:tc>
          <w:tcPr>
            <w:tcW w:w="1985" w:type="dxa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262626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262626"/>
                <w:kern w:val="0"/>
                <w:sz w:val="20"/>
                <w:szCs w:val="20"/>
              </w:rPr>
              <w:t>11,519,818 (95.28%)</w:t>
            </w:r>
          </w:p>
        </w:tc>
        <w:tc>
          <w:tcPr>
            <w:tcW w:w="1984" w:type="dxa"/>
            <w:gridSpan w:val="2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262626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262626"/>
                <w:kern w:val="0"/>
                <w:sz w:val="20"/>
                <w:szCs w:val="20"/>
              </w:rPr>
              <w:t>14,300,790 (95.84%)</w:t>
            </w:r>
          </w:p>
        </w:tc>
      </w:tr>
      <w:tr w:rsidR="00BB07BE">
        <w:trPr>
          <w:trHeight w:val="300"/>
        </w:trPr>
        <w:tc>
          <w:tcPr>
            <w:tcW w:w="3261" w:type="dxa"/>
            <w:shd w:val="clear" w:color="auto" w:fill="FFFFFF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Number of known miRNAs identified</w:t>
            </w:r>
          </w:p>
        </w:tc>
        <w:tc>
          <w:tcPr>
            <w:tcW w:w="1984" w:type="dxa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985" w:type="dxa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984" w:type="dxa"/>
            <w:gridSpan w:val="2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573</w:t>
            </w:r>
          </w:p>
        </w:tc>
      </w:tr>
      <w:tr w:rsidR="00BB07BE">
        <w:trPr>
          <w:trHeight w:val="300"/>
        </w:trPr>
        <w:tc>
          <w:tcPr>
            <w:tcW w:w="3261" w:type="dxa"/>
            <w:shd w:val="clear" w:color="auto" w:fill="FFFFFF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Reads mapped to the genome</w:t>
            </w: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84" w:type="dxa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8,867,794 (83.75%)</w:t>
            </w:r>
          </w:p>
        </w:tc>
        <w:tc>
          <w:tcPr>
            <w:tcW w:w="1985" w:type="dxa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11,357,549 (90.48%)</w:t>
            </w:r>
          </w:p>
        </w:tc>
        <w:tc>
          <w:tcPr>
            <w:tcW w:w="1984" w:type="dxa"/>
            <w:gridSpan w:val="2"/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10,177,416 (81.52%)</w:t>
            </w:r>
          </w:p>
        </w:tc>
      </w:tr>
      <w:tr w:rsidR="00BB07BE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Total reads of known miRNAs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12,553,020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10,588,918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DengXian" w:hAnsi="Calibri" w:cs="Times New Roman"/>
                <w:color w:val="000000"/>
                <w:kern w:val="0"/>
                <w:sz w:val="20"/>
                <w:szCs w:val="20"/>
              </w:rPr>
              <w:t>12,485,306</w:t>
            </w:r>
          </w:p>
        </w:tc>
      </w:tr>
      <w:tr w:rsidR="00BB07BE">
        <w:trPr>
          <w:gridAfter w:val="1"/>
          <w:wAfter w:w="834" w:type="dxa"/>
          <w:trHeight w:val="285"/>
        </w:trPr>
        <w:tc>
          <w:tcPr>
            <w:tcW w:w="8380" w:type="dxa"/>
            <w:gridSpan w:val="4"/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/>
                <w:kern w:val="0"/>
                <w:sz w:val="22"/>
                <w:vertAlign w:val="superscript"/>
              </w:rPr>
              <w:t>a</w:t>
            </w:r>
            <w:r>
              <w:rPr>
                <w:rFonts w:ascii="Calibri" w:hAnsi="Calibri" w:cs="Calibri"/>
                <w:kern w:val="0"/>
                <w:sz w:val="22"/>
              </w:rPr>
              <w:t xml:space="preserve"> Calculated by reads mapped to the genome/clean reads ×100%.</w:t>
            </w:r>
          </w:p>
        </w:tc>
      </w:tr>
      <w:tr w:rsidR="00BB07BE">
        <w:trPr>
          <w:gridAfter w:val="1"/>
          <w:wAfter w:w="834" w:type="dxa"/>
          <w:trHeight w:val="285"/>
        </w:trPr>
        <w:tc>
          <w:tcPr>
            <w:tcW w:w="8380" w:type="dxa"/>
            <w:gridSpan w:val="4"/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/>
                <w:kern w:val="0"/>
                <w:sz w:val="22"/>
                <w:vertAlign w:val="superscript"/>
              </w:rPr>
              <w:t>b</w:t>
            </w:r>
            <w:r>
              <w:rPr>
                <w:rFonts w:ascii="Calibri" w:hAnsi="Calibri" w:cs="Calibri"/>
                <w:kern w:val="0"/>
                <w:sz w:val="22"/>
              </w:rPr>
              <w:t xml:space="preserve"> Calculated by total reads of known miRNAs/reads mapped to the genome ×100%.</w:t>
            </w:r>
          </w:p>
        </w:tc>
      </w:tr>
    </w:tbl>
    <w:p w:rsidR="00BB07BE" w:rsidRDefault="00BB07BE">
      <w:pPr>
        <w:spacing w:line="480" w:lineRule="auto"/>
        <w:jc w:val="left"/>
        <w:rPr>
          <w:rFonts w:ascii="Calibri" w:hAnsi="Calibri" w:cs="Calibri"/>
          <w:kern w:val="0"/>
          <w:sz w:val="22"/>
        </w:rPr>
      </w:pPr>
    </w:p>
    <w:p w:rsidR="00EE7BC7" w:rsidRDefault="00EE7BC7">
      <w:pPr>
        <w:widowControl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br w:type="page"/>
      </w:r>
    </w:p>
    <w:p w:rsidR="00BB07BE" w:rsidRPr="0062349D" w:rsidRDefault="00EF2C4A">
      <w:pPr>
        <w:spacing w:line="360" w:lineRule="auto"/>
        <w:jc w:val="left"/>
        <w:rPr>
          <w:rFonts w:ascii="Calibri" w:hAnsi="Calibri" w:cs="Calibri"/>
          <w:b/>
          <w:kern w:val="0"/>
          <w:sz w:val="22"/>
        </w:rPr>
      </w:pPr>
      <w:r w:rsidRPr="0062349D">
        <w:rPr>
          <w:rFonts w:ascii="Calibri" w:hAnsi="Calibri" w:cs="Calibri"/>
          <w:b/>
          <w:kern w:val="0"/>
          <w:sz w:val="22"/>
        </w:rPr>
        <w:lastRenderedPageBreak/>
        <w:t xml:space="preserve">Table S2 Summary of the differentially expressed miRNAs in </w:t>
      </w:r>
      <w:hyperlink r:id="rId7" w:anchor="tblfn0005" w:history="1">
        <w:r w:rsidRPr="0062349D">
          <w:rPr>
            <w:rFonts w:ascii="Calibri" w:hAnsi="Calibri" w:cs="Calibri"/>
            <w:b/>
            <w:kern w:val="0"/>
            <w:sz w:val="22"/>
          </w:rPr>
          <w:t>emu-treated 6h</w:t>
        </w:r>
      </w:hyperlink>
      <w:r w:rsidRPr="0062349D">
        <w:rPr>
          <w:rFonts w:ascii="Calibri" w:hAnsi="Calibri" w:cs="Calibri"/>
          <w:b/>
          <w:kern w:val="0"/>
          <w:sz w:val="22"/>
        </w:rPr>
        <w:t>-library compared to mock-treated library</w:t>
      </w:r>
    </w:p>
    <w:tbl>
      <w:tblPr>
        <w:tblStyle w:val="TableGrid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615"/>
        <w:gridCol w:w="2054"/>
        <w:gridCol w:w="1027"/>
        <w:gridCol w:w="441"/>
        <w:gridCol w:w="1020"/>
      </w:tblGrid>
      <w:tr w:rsidR="00BB07BE">
        <w:trPr>
          <w:trHeight w:val="472"/>
        </w:trPr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7BE" w:rsidRDefault="00EF2C4A">
            <w:pPr>
              <w:spacing w:line="480" w:lineRule="auto"/>
              <w:ind w:firstLineChars="300" w:firstLine="660"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miRNA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07BE" w:rsidRDefault="00EF2C4A">
            <w:pPr>
              <w:spacing w:line="480" w:lineRule="auto"/>
              <w:jc w:val="left"/>
              <w:rPr>
                <w:rFonts w:ascii="Calibri" w:eastAsia="DengXian" w:hAnsi="Calibri" w:cs="SimSun"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mock-treated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07BE" w:rsidRDefault="00EF2C4A">
            <w:pPr>
              <w:spacing w:line="480" w:lineRule="auto"/>
              <w:jc w:val="left"/>
              <w:rPr>
                <w:rFonts w:ascii="Calibri" w:eastAsia="DengXian" w:hAnsi="Calibri" w:cs="SimSun"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emu-treated 6h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07BE" w:rsidRDefault="00EF2C4A">
            <w:pPr>
              <w:widowControl/>
              <w:ind w:firstLineChars="150" w:firstLine="330"/>
              <w:jc w:val="left"/>
              <w:rPr>
                <w:rFonts w:ascii="Calibri" w:eastAsia="DengXian" w:hAnsi="Calibri" w:cs="SimSun"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log2</w:t>
            </w:r>
          </w:p>
          <w:p w:rsidR="00BB07BE" w:rsidRDefault="00EF2C4A">
            <w:pPr>
              <w:widowControl/>
              <w:jc w:val="left"/>
              <w:rPr>
                <w:rFonts w:ascii="Calibri" w:eastAsia="DengXian" w:hAnsi="Calibri" w:cs="SimSun"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Fold_change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07BE" w:rsidRDefault="00EF2C4A">
            <w:pPr>
              <w:spacing w:line="276" w:lineRule="auto"/>
              <w:jc w:val="left"/>
              <w:rPr>
                <w:rFonts w:ascii="Calibri" w:eastAsia="DengXian" w:hAnsi="Calibri" w:cs="SimSun"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i/>
                <w:color w:val="000000"/>
                <w:kern w:val="0"/>
                <w:sz w:val="22"/>
              </w:rPr>
              <w:t>P</w:t>
            </w: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 xml:space="preserve"> value  </w:t>
            </w:r>
          </w:p>
        </w:tc>
      </w:tr>
      <w:tr w:rsidR="00BB07BE">
        <w:trPr>
          <w:trHeight w:val="410"/>
        </w:trPr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mmu-miR-21a-5p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235382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16787.13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1.2672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0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mmu-miR-155-5p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934.1146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4492.764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2.2659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0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mmu-miR-146a-5p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5197.685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566549.5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1.6914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0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mmu-miR-146b-5p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2542.09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7644.847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1.5885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2.74E-280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mmu-miR-221-5p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1311.454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4521.039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1.7855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5.53E-216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mmu-miR-30a-5p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4396.999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9073.972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1.0452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2.63E-102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mmu-miR-1981-5p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322.8264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151.5533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-1.0909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1.55E-31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mmu-miR-99b-3p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94.92261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375.4903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1.984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7.40E-24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mmu-miR-21a-3p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12.0892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96.58696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2.9981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5.52E-13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mmu-miR-155-3p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10.96983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83.91982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2.9355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3.47E-11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mmu-miR-125a-5p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129.5112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336.1317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1.376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4.09E-10</w:t>
            </w:r>
          </w:p>
        </w:tc>
      </w:tr>
      <w:tr w:rsidR="00BB07BE"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mmu-let-7c-1-3p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93.57937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44.5612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-1.0704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4.64E-10</w:t>
            </w:r>
          </w:p>
        </w:tc>
      </w:tr>
      <w:tr w:rsidR="00BB07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mmu-miR-146b-3p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5.372978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51.12097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3.2501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3.22E-08</w:t>
            </w:r>
          </w:p>
        </w:tc>
      </w:tr>
      <w:tr w:rsidR="00BB07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mmu-miR-378d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5.820726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46.59699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3.001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5.38E-07</w:t>
            </w:r>
          </w:p>
        </w:tc>
      </w:tr>
      <w:tr w:rsidR="00BB07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mmu-miR-222-5p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126.7127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295.6421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1.2223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6.89E-07</w:t>
            </w:r>
          </w:p>
        </w:tc>
      </w:tr>
      <w:tr w:rsidR="00BB07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mmu-miR-125b-1-3p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47.79712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23.52469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-1.0227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1.34E-05</w:t>
            </w:r>
          </w:p>
        </w:tc>
      </w:tr>
      <w:tr w:rsidR="00BB07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mmu-miR-125a-3p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8.619152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47.27559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2.4555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1.43E-05</w:t>
            </w:r>
          </w:p>
        </w:tc>
      </w:tr>
      <w:tr w:rsidR="00BB07B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2348" w:type="dxa"/>
            <w:tcBorders>
              <w:top w:val="nil"/>
              <w:left w:val="nil"/>
              <w:right w:val="nil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mmu-miR-146a-3p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1.343245</w:t>
            </w:r>
          </w:p>
        </w:tc>
        <w:tc>
          <w:tcPr>
            <w:tcW w:w="2054" w:type="dxa"/>
            <w:tcBorders>
              <w:top w:val="nil"/>
              <w:left w:val="nil"/>
              <w:right w:val="nil"/>
            </w:tcBorders>
            <w:vAlign w:val="center"/>
          </w:tcPr>
          <w:p w:rsidR="00BB07BE" w:rsidRDefault="00EF2C4A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16.28633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3.5999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B07BE" w:rsidRDefault="00EF2C4A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hAnsi="Calibri" w:cs="Calibri" w:hint="eastAsia"/>
                <w:kern w:val="0"/>
                <w:sz w:val="22"/>
              </w:rPr>
              <w:t>0.00093</w:t>
            </w:r>
          </w:p>
        </w:tc>
      </w:tr>
    </w:tbl>
    <w:p w:rsidR="00DD450F" w:rsidRDefault="00DD450F"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</w:p>
    <w:p w:rsidR="00DD450F" w:rsidRDefault="00DD450F">
      <w:pPr>
        <w:widowControl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br w:type="page"/>
      </w:r>
    </w:p>
    <w:p w:rsidR="00BB07BE" w:rsidRPr="0062349D" w:rsidRDefault="00EF2C4A">
      <w:pPr>
        <w:spacing w:line="360" w:lineRule="auto"/>
        <w:jc w:val="left"/>
        <w:rPr>
          <w:rFonts w:ascii="Calibri" w:hAnsi="Calibri" w:cs="Calibri"/>
          <w:b/>
          <w:kern w:val="0"/>
          <w:sz w:val="22"/>
        </w:rPr>
      </w:pPr>
      <w:r w:rsidRPr="0062349D">
        <w:rPr>
          <w:rFonts w:ascii="Calibri" w:hAnsi="Calibri" w:cs="Calibri"/>
          <w:b/>
          <w:kern w:val="0"/>
          <w:sz w:val="22"/>
        </w:rPr>
        <w:lastRenderedPageBreak/>
        <w:t xml:space="preserve">Table S3 Summary of the differentially expressed miRNAs in </w:t>
      </w:r>
      <w:hyperlink r:id="rId8" w:anchor="tblfn0005" w:history="1">
        <w:r w:rsidRPr="0062349D">
          <w:rPr>
            <w:rFonts w:ascii="Calibri" w:hAnsi="Calibri" w:cs="Calibri"/>
            <w:b/>
            <w:kern w:val="0"/>
            <w:sz w:val="22"/>
          </w:rPr>
          <w:t>emu-treated 12h</w:t>
        </w:r>
      </w:hyperlink>
      <w:r w:rsidRPr="0062349D">
        <w:rPr>
          <w:rFonts w:ascii="Calibri" w:hAnsi="Calibri" w:cs="Calibri"/>
          <w:b/>
          <w:kern w:val="0"/>
          <w:sz w:val="22"/>
        </w:rPr>
        <w:t>-library compared to mock-treated library</w:t>
      </w:r>
    </w:p>
    <w:tbl>
      <w:tblPr>
        <w:tblStyle w:val="TableGrid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615"/>
        <w:gridCol w:w="2054"/>
        <w:gridCol w:w="1027"/>
        <w:gridCol w:w="441"/>
        <w:gridCol w:w="1020"/>
      </w:tblGrid>
      <w:tr w:rsidR="00BB07BE">
        <w:trPr>
          <w:trHeight w:val="416"/>
        </w:trPr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7BE" w:rsidRDefault="00EF2C4A">
            <w:pPr>
              <w:spacing w:line="480" w:lineRule="auto"/>
              <w:ind w:firstLineChars="300" w:firstLine="660"/>
              <w:jc w:val="left"/>
              <w:rPr>
                <w:rFonts w:ascii="Calibri" w:hAnsi="Calibri" w:cs="Calibri"/>
                <w:kern w:val="0"/>
                <w:sz w:val="22"/>
              </w:rPr>
            </w:pP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miRNA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07BE" w:rsidRDefault="00EF2C4A">
            <w:pPr>
              <w:spacing w:line="480" w:lineRule="auto"/>
              <w:jc w:val="left"/>
              <w:rPr>
                <w:rFonts w:ascii="Calibri" w:eastAsia="DengXian" w:hAnsi="Calibri" w:cs="SimSun"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mock-treated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07BE" w:rsidRDefault="00EF2C4A">
            <w:pPr>
              <w:spacing w:line="480" w:lineRule="auto"/>
              <w:jc w:val="left"/>
              <w:rPr>
                <w:rFonts w:ascii="Calibri" w:eastAsia="DengXian" w:hAnsi="Calibri" w:cs="SimSun"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emu-treated 12h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07BE" w:rsidRDefault="00EF2C4A">
            <w:pPr>
              <w:widowControl/>
              <w:ind w:firstLineChars="150" w:firstLine="330"/>
              <w:rPr>
                <w:rFonts w:ascii="Calibri" w:eastAsia="DengXian" w:hAnsi="Calibri" w:cs="SimSun"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log2</w:t>
            </w:r>
          </w:p>
          <w:p w:rsidR="00BB07BE" w:rsidRDefault="00EF2C4A">
            <w:pPr>
              <w:widowControl/>
              <w:jc w:val="center"/>
              <w:rPr>
                <w:rFonts w:ascii="Calibri" w:eastAsia="DengXian" w:hAnsi="Calibri" w:cs="SimSun"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Fold_change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07BE" w:rsidRDefault="00EF2C4A">
            <w:pPr>
              <w:spacing w:line="276" w:lineRule="auto"/>
              <w:jc w:val="left"/>
              <w:rPr>
                <w:rFonts w:ascii="Calibri" w:eastAsia="DengXian" w:hAnsi="Calibri" w:cs="SimSun"/>
                <w:i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i/>
                <w:color w:val="000000"/>
                <w:kern w:val="0"/>
                <w:sz w:val="22"/>
              </w:rPr>
              <w:t xml:space="preserve">P </w:t>
            </w:r>
            <w:r>
              <w:rPr>
                <w:rFonts w:ascii="Calibri" w:eastAsia="DengXian" w:hAnsi="Calibri" w:cs="SimSun"/>
                <w:color w:val="000000"/>
                <w:kern w:val="0"/>
                <w:sz w:val="22"/>
              </w:rPr>
              <w:t>value</w:t>
            </w:r>
            <w:r>
              <w:rPr>
                <w:rFonts w:ascii="Calibri" w:eastAsia="DengXian" w:hAnsi="Calibri" w:cs="SimSun"/>
                <w:i/>
                <w:color w:val="000000"/>
                <w:kern w:val="0"/>
                <w:sz w:val="22"/>
              </w:rPr>
              <w:t xml:space="preserve">  </w:t>
            </w:r>
          </w:p>
        </w:tc>
      </w:tr>
      <w:tr w:rsidR="00BB07BE">
        <w:trPr>
          <w:trHeight w:val="410"/>
        </w:trPr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3340" w:type="dxa"/>
              <w:tblLayout w:type="fixed"/>
              <w:tblLook w:val="04A0" w:firstRow="1" w:lastRow="0" w:firstColumn="1" w:lastColumn="0" w:noHBand="0" w:noVBand="1"/>
            </w:tblPr>
            <w:tblGrid>
              <w:gridCol w:w="3340"/>
            </w:tblGrid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mmu-miR-146b-5p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mmu-miR-146a-5p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mmu-miR-21a-5p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mmu-let-7c-5p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mmu-let-7b-5p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mmu-miR-374b-5p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mmu-miR-374c-3p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mmu-miR-155-5p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mmu-miR-99b-5p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mmu-miR-96-5p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mmu-let-7e-5p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mmu-miR-339-5p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mmu-miR-107-3p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mmu-miR-99b-3p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mmu-let-7c-1-3p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mmu-miR-155-3p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mmu-miR-16-2-3p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mmu-miR-125a-3p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mmu-miR-125a-5p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mmu-miR-421-3p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mmu-let-7a-1-3p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mmu-miR-301a-5p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mmu-miR-322-5p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mmu-miR-378d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mmu-miR-210-5p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mmu-miR-935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mmu-miR-146b-3p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mmu-miR-210-3p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mmu-miR-3473b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mmu-miR-301b-5p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mmu-miR-21a-3p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lef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mmu-miR-1981-5p</w:t>
                  </w:r>
                </w:p>
              </w:tc>
            </w:tr>
          </w:tbl>
          <w:p w:rsidR="00BB07BE" w:rsidRDefault="00BB07BE">
            <w:pPr>
              <w:widowControl/>
              <w:jc w:val="left"/>
              <w:rPr>
                <w:rFonts w:ascii="Calibri" w:hAnsi="Calibri" w:cs="Calibri"/>
                <w:kern w:val="0"/>
                <w:sz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8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</w:tblGrid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2370.905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4847.671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219531.3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24050.96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4177.219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2880.477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2878.18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871.211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2480.628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540.8921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493.5992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340.7589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387.7385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88.53049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87.2777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10.23112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67.65066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8.038735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120.7898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78.61257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78.71697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50.1116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55.85355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5.428756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5.01116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35.91331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5.01116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58.56793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11.48391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19.20945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11.27511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16.59947</w:t>
                  </w:r>
                </w:p>
              </w:tc>
            </w:tr>
          </w:tbl>
          <w:p w:rsidR="00BB07BE" w:rsidRDefault="00BB07BE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8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</w:tblGrid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10928.3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18010.74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698935.3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11550.98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1871.668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1013.87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1011.664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4492.204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7452.369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262.3946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1728.234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127.787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169.1121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446.5524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30.09113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99.90255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22.46804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81.84787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367.513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37.313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37.71421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20.86318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27.08202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51.75674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45.3373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17.25225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39.31907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169.3128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57.37375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7.021263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50.7537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6.820656</w:t>
                  </w:r>
                </w:p>
              </w:tc>
            </w:tr>
          </w:tbl>
          <w:p w:rsidR="00BB07BE" w:rsidRDefault="00BB07BE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08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</w:tblGrid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2.2046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1.8935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1.6707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-1.0581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-1.1582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-1.5064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-1.5084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2.3663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1.587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-1.0436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1.8079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-1.415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-1.1971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2.3346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-1.5363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3.2876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-1.5902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3.3479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1.6053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-1.0751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-1.0616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-1.2642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-1.0443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3.2531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3.1775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-1.0577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2.972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1.5315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2.3208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-1.452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2.1704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center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-1.2832</w:t>
                  </w:r>
                </w:p>
              </w:tc>
            </w:tr>
          </w:tbl>
          <w:p w:rsidR="00BB07BE" w:rsidRDefault="00BB07BE">
            <w:pPr>
              <w:jc w:val="center"/>
              <w:rPr>
                <w:rFonts w:ascii="Calibri" w:hAnsi="Calibri" w:cs="Calibri"/>
                <w:kern w:val="0"/>
                <w:sz w:val="2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214" w:type="dxa"/>
              <w:tblLayout w:type="fixed"/>
              <w:tblLook w:val="04A0" w:firstRow="1" w:lastRow="0" w:firstColumn="1" w:lastColumn="0" w:noHBand="0" w:noVBand="1"/>
            </w:tblPr>
            <w:tblGrid>
              <w:gridCol w:w="1214"/>
            </w:tblGrid>
            <w:tr w:rsidR="00BB07BE">
              <w:trPr>
                <w:trHeight w:val="87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0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0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0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0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0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0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0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1.06E-297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2.13E-184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1.18E-63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6.73E-63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3.38E-52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1.45E-51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2.14E-30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1.65E-15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3.49E-13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1.12E-12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2.60E-11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6.59E-11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8.01E-11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9.78E-11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2.74E-08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6.20E-08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2.03E-07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1.74E-06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1.28E-05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2.32E-05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3.75E-05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4.47E-05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0.000263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0.000351</w:t>
                  </w:r>
                </w:p>
              </w:tc>
            </w:tr>
            <w:tr w:rsidR="00BB07BE">
              <w:trPr>
                <w:trHeight w:val="285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B07BE" w:rsidRDefault="00EF2C4A">
                  <w:pPr>
                    <w:widowControl/>
                    <w:jc w:val="right"/>
                    <w:rPr>
                      <w:rFonts w:ascii="Calibri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hAnsi="Calibri" w:cs="Calibri" w:hint="eastAsia"/>
                      <w:kern w:val="0"/>
                      <w:sz w:val="22"/>
                    </w:rPr>
                    <w:t>0.001288</w:t>
                  </w:r>
                </w:p>
              </w:tc>
            </w:tr>
          </w:tbl>
          <w:p w:rsidR="00BB07BE" w:rsidRDefault="00BB07BE">
            <w:pPr>
              <w:jc w:val="right"/>
              <w:rPr>
                <w:rFonts w:ascii="Calibri" w:hAnsi="Calibri" w:cs="Calibri"/>
                <w:kern w:val="0"/>
                <w:sz w:val="22"/>
              </w:rPr>
            </w:pPr>
          </w:p>
        </w:tc>
      </w:tr>
    </w:tbl>
    <w:p w:rsidR="001B492D" w:rsidRDefault="001B492D"/>
    <w:p w:rsidR="000663A6" w:rsidRDefault="000663A6">
      <w:pPr>
        <w:widowControl/>
        <w:jc w:val="left"/>
        <w:rPr>
          <w:rFonts w:ascii="Calibri" w:hAnsi="Calibri" w:cs="Calibri"/>
          <w:bCs/>
          <w:kern w:val="0"/>
          <w:sz w:val="22"/>
        </w:rPr>
      </w:pPr>
      <w:r>
        <w:rPr>
          <w:rFonts w:ascii="Calibri" w:hAnsi="Calibri" w:cs="Calibri"/>
          <w:bCs/>
          <w:kern w:val="0"/>
          <w:sz w:val="22"/>
        </w:rPr>
        <w:br w:type="page"/>
      </w:r>
    </w:p>
    <w:p w:rsidR="00BB07BE" w:rsidRPr="0062349D" w:rsidRDefault="004101E0" w:rsidP="0062349D">
      <w:pPr>
        <w:spacing w:line="360" w:lineRule="auto"/>
        <w:jc w:val="left"/>
        <w:rPr>
          <w:rFonts w:ascii="Calibri" w:hAnsi="Calibri" w:cs="Calibri"/>
          <w:b/>
          <w:kern w:val="0"/>
          <w:sz w:val="22"/>
        </w:rPr>
      </w:pPr>
      <w:r w:rsidRPr="0062349D">
        <w:rPr>
          <w:rFonts w:ascii="Calibri" w:hAnsi="Calibri" w:cs="Calibri"/>
          <w:b/>
          <w:bCs/>
          <w:kern w:val="0"/>
          <w:sz w:val="22"/>
        </w:rPr>
        <w:lastRenderedPageBreak/>
        <w:t>Table</w:t>
      </w:r>
      <w:r w:rsidR="00EF2C4A" w:rsidRPr="0062349D">
        <w:rPr>
          <w:rFonts w:ascii="Calibri" w:hAnsi="Calibri" w:cs="Calibri"/>
          <w:b/>
          <w:bCs/>
          <w:kern w:val="0"/>
          <w:sz w:val="22"/>
        </w:rPr>
        <w:t xml:space="preserve"> S</w:t>
      </w:r>
      <w:r w:rsidRPr="0062349D">
        <w:rPr>
          <w:rFonts w:ascii="Calibri" w:hAnsi="Calibri" w:cs="Calibri"/>
          <w:b/>
          <w:bCs/>
          <w:kern w:val="0"/>
          <w:sz w:val="22"/>
        </w:rPr>
        <w:t>4</w:t>
      </w:r>
      <w:r w:rsidR="00EF2C4A" w:rsidRPr="0062349D">
        <w:rPr>
          <w:rFonts w:ascii="Calibri" w:hAnsi="Calibri" w:cs="Calibri"/>
          <w:b/>
          <w:bCs/>
          <w:kern w:val="0"/>
          <w:sz w:val="22"/>
        </w:rPr>
        <w:t xml:space="preserve"> KEGG enrichment analysis of validated targets of differentially expressed miRNAs. According to </w:t>
      </w:r>
      <w:r w:rsidR="00EF2C4A" w:rsidRPr="0062349D">
        <w:rPr>
          <w:rFonts w:ascii="Calibri" w:hAnsi="Calibri" w:cs="Calibri"/>
          <w:b/>
          <w:bCs/>
          <w:i/>
          <w:kern w:val="0"/>
          <w:sz w:val="22"/>
        </w:rPr>
        <w:t>P</w:t>
      </w:r>
      <w:r w:rsidR="00EF2C4A" w:rsidRPr="0062349D">
        <w:rPr>
          <w:rFonts w:ascii="Calibri" w:hAnsi="Calibri" w:cs="Calibri"/>
          <w:b/>
          <w:bCs/>
          <w:kern w:val="0"/>
          <w:sz w:val="22"/>
        </w:rPr>
        <w:t xml:space="preserve"> value, the top 20 significantly </w:t>
      </w:r>
      <w:r w:rsidR="00EF2C4A" w:rsidRPr="0062349D">
        <w:rPr>
          <w:rFonts w:ascii="Calibri" w:hAnsi="Calibri" w:cs="Calibri" w:hint="eastAsia"/>
          <w:b/>
          <w:bCs/>
          <w:kern w:val="0"/>
          <w:sz w:val="22"/>
        </w:rPr>
        <w:t>enriched pathway terms</w:t>
      </w:r>
      <w:r w:rsidR="00EF2C4A" w:rsidRPr="0062349D">
        <w:rPr>
          <w:rFonts w:ascii="Calibri" w:hAnsi="Calibri" w:cs="Calibri"/>
          <w:b/>
          <w:bCs/>
          <w:kern w:val="0"/>
          <w:sz w:val="22"/>
        </w:rPr>
        <w:t xml:space="preserve"> were shown in</w:t>
      </w:r>
      <w:r w:rsidR="00EF2C4A" w:rsidRPr="0062349D">
        <w:rPr>
          <w:rFonts w:ascii="Calibri" w:hAnsi="Calibri" w:cs="Times New Roman" w:hint="eastAsia"/>
          <w:b/>
          <w:sz w:val="22"/>
        </w:rPr>
        <w:t xml:space="preserve"> </w:t>
      </w:r>
      <w:r w:rsidR="00EF2C4A" w:rsidRPr="0062349D">
        <w:rPr>
          <w:rFonts w:ascii="Calibri" w:hAnsi="Calibri" w:cs="Calibri"/>
          <w:b/>
          <w:sz w:val="22"/>
        </w:rPr>
        <w:t xml:space="preserve">the </w:t>
      </w:r>
      <w:hyperlink r:id="rId9" w:anchor="tblfn0005" w:history="1">
        <w:r w:rsidR="00EF2C4A" w:rsidRPr="0062349D">
          <w:rPr>
            <w:rFonts w:ascii="Calibri" w:hAnsi="Calibri" w:cs="Calibri"/>
            <w:b/>
            <w:sz w:val="22"/>
          </w:rPr>
          <w:t>emu-treated 6h</w:t>
        </w:r>
      </w:hyperlink>
      <w:r w:rsidR="00EF2C4A" w:rsidRPr="0062349D">
        <w:rPr>
          <w:rFonts w:ascii="Calibri" w:hAnsi="Calibri" w:cs="Calibri"/>
          <w:b/>
          <w:sz w:val="22"/>
        </w:rPr>
        <w:t>- (A) and emu-treated 12h-libraries (B)</w:t>
      </w:r>
      <w:r w:rsidR="00EF2C4A" w:rsidRPr="0062349D">
        <w:rPr>
          <w:rFonts w:ascii="Calibri" w:hAnsi="Calibri" w:cs="Times New Roman"/>
          <w:b/>
          <w:sz w:val="22"/>
        </w:rPr>
        <w:t>, respectively</w:t>
      </w:r>
      <w:r w:rsidR="00EF2C4A" w:rsidRPr="0062349D">
        <w:rPr>
          <w:rFonts w:ascii="Calibri" w:hAnsi="Calibri" w:cs="Calibri"/>
          <w:b/>
          <w:bCs/>
          <w:kern w:val="0"/>
          <w:sz w:val="22"/>
        </w:rPr>
        <w:t>.</w:t>
      </w:r>
      <w:r w:rsidR="00EF2C4A" w:rsidRPr="0062349D">
        <w:rPr>
          <w:rFonts w:ascii="Calibri" w:hAnsi="Calibri" w:cs="Calibri"/>
          <w:b/>
          <w:kern w:val="0"/>
          <w:sz w:val="22"/>
        </w:rPr>
        <w:t xml:space="preserve"> </w:t>
      </w:r>
    </w:p>
    <w:tbl>
      <w:tblPr>
        <w:tblpPr w:leftFromText="180" w:rightFromText="180" w:vertAnchor="text" w:horzAnchor="margin" w:tblpXSpec="center" w:tblpY="146"/>
        <w:tblW w:w="1017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85"/>
        <w:gridCol w:w="597"/>
        <w:gridCol w:w="451"/>
        <w:gridCol w:w="86"/>
        <w:gridCol w:w="1097"/>
        <w:gridCol w:w="80"/>
        <w:gridCol w:w="2571"/>
        <w:gridCol w:w="788"/>
        <w:gridCol w:w="425"/>
        <w:gridCol w:w="142"/>
        <w:gridCol w:w="709"/>
        <w:gridCol w:w="142"/>
      </w:tblGrid>
      <w:tr w:rsidR="00BB07BE">
        <w:trPr>
          <w:trHeight w:val="401"/>
        </w:trPr>
        <w:tc>
          <w:tcPr>
            <w:tcW w:w="53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BE" w:rsidRDefault="00EF2C4A">
            <w:pPr>
              <w:spacing w:line="276" w:lineRule="auto"/>
              <w:jc w:val="center"/>
              <w:rPr>
                <w:rFonts w:ascii="Calibri" w:eastAsia="DengXian" w:hAnsi="Calibri" w:cs="SimSun"/>
                <w:b/>
                <w:color w:val="000000"/>
                <w:kern w:val="0"/>
                <w:sz w:val="22"/>
              </w:rPr>
            </w:pPr>
            <w:bookmarkStart w:id="0" w:name="_Hlk487624002"/>
            <w:r>
              <w:rPr>
                <w:rFonts w:ascii="Calibri" w:eastAsia="DengXian" w:hAnsi="Calibri" w:cs="SimSun"/>
                <w:b/>
                <w:color w:val="000000"/>
                <w:kern w:val="0"/>
                <w:sz w:val="22"/>
              </w:rPr>
              <w:t>emu-treated 6h</w:t>
            </w:r>
            <w:r>
              <w:rPr>
                <w:b/>
              </w:rPr>
              <w:t xml:space="preserve"> </w:t>
            </w:r>
            <w:r>
              <w:rPr>
                <w:rFonts w:ascii="Calibri" w:eastAsia="DengXian" w:hAnsi="Calibri" w:cs="SimSun"/>
                <w:b/>
                <w:color w:val="000000"/>
                <w:kern w:val="0"/>
                <w:sz w:val="22"/>
              </w:rPr>
              <w:t>vs mock-treated</w:t>
            </w:r>
          </w:p>
        </w:tc>
        <w:tc>
          <w:tcPr>
            <w:tcW w:w="48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BE" w:rsidRDefault="00EF2C4A">
            <w:pPr>
              <w:spacing w:line="276" w:lineRule="auto"/>
              <w:jc w:val="center"/>
              <w:rPr>
                <w:rFonts w:ascii="Calibri" w:eastAsia="DengXian" w:hAnsi="Calibri" w:cs="SimSun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DengXian" w:hAnsi="Calibri" w:cs="SimSun"/>
                <w:b/>
                <w:color w:val="000000"/>
                <w:kern w:val="0"/>
                <w:sz w:val="22"/>
              </w:rPr>
              <w:t>emu-treated 12h vs mock-treated</w:t>
            </w:r>
          </w:p>
        </w:tc>
      </w:tr>
      <w:tr w:rsidR="00BB07BE">
        <w:trPr>
          <w:trHeight w:val="38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BE" w:rsidRDefault="00EF2C4A">
            <w:pPr>
              <w:widowControl/>
              <w:spacing w:line="276" w:lineRule="auto"/>
              <w:ind w:right="420"/>
              <w:jc w:val="center"/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  <w:t>Term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BE" w:rsidRDefault="00EF2C4A">
            <w:pPr>
              <w:widowControl/>
              <w:spacing w:line="276" w:lineRule="auto"/>
              <w:jc w:val="right"/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  <w:t>Number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BE" w:rsidRDefault="00EF2C4A">
            <w:pPr>
              <w:widowControl/>
              <w:spacing w:line="276" w:lineRule="auto"/>
              <w:jc w:val="left"/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b/>
                <w:i/>
                <w:color w:val="000000"/>
                <w:kern w:val="0"/>
                <w:szCs w:val="21"/>
              </w:rPr>
              <w:t>p</w:t>
            </w:r>
            <w:r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color w:val="131413"/>
                <w:kern w:val="0"/>
                <w:szCs w:val="21"/>
              </w:rPr>
              <w:t>Value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BE" w:rsidRDefault="00EF2C4A">
            <w:pPr>
              <w:widowControl/>
              <w:spacing w:line="276" w:lineRule="auto"/>
              <w:ind w:right="420"/>
              <w:jc w:val="center"/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  <w:t>Term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BE" w:rsidRDefault="00EF2C4A">
            <w:pPr>
              <w:widowControl/>
              <w:spacing w:line="276" w:lineRule="auto"/>
              <w:jc w:val="right"/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  <w:t>Number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BE" w:rsidRDefault="00EF2C4A">
            <w:pPr>
              <w:widowControl/>
              <w:wordWrap w:val="0"/>
              <w:spacing w:line="276" w:lineRule="auto"/>
              <w:jc w:val="right"/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b/>
                <w:i/>
                <w:color w:val="000000"/>
                <w:kern w:val="0"/>
                <w:szCs w:val="21"/>
              </w:rPr>
              <w:t>p</w:t>
            </w:r>
            <w:r>
              <w:rPr>
                <w:rFonts w:ascii="Calibri" w:eastAsia="DengXian" w:hAnsi="Calibri" w:cs="Calibri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color w:val="131413"/>
                <w:kern w:val="0"/>
                <w:szCs w:val="21"/>
              </w:rPr>
              <w:t>Value</w:t>
            </w:r>
          </w:p>
        </w:tc>
      </w:tr>
      <w:tr w:rsidR="00BB07BE">
        <w:trPr>
          <w:gridAfter w:val="1"/>
          <w:wAfter w:w="142" w:type="dxa"/>
          <w:trHeight w:val="65"/>
        </w:trPr>
        <w:tc>
          <w:tcPr>
            <w:tcW w:w="3682" w:type="dxa"/>
            <w:gridSpan w:val="2"/>
            <w:tcBorders>
              <w:top w:val="single" w:sz="4" w:space="0" w:color="auto"/>
            </w:tcBorders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bookmarkStart w:id="1" w:name="_Hlk487623041"/>
            <w:bookmarkStart w:id="2" w:name="_Hlk487623021"/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TNF signaling pathway</w:t>
            </w:r>
            <w:bookmarkEnd w:id="1"/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vAlign w:val="center"/>
          </w:tcPr>
          <w:p w:rsidR="00BB07BE" w:rsidRDefault="00EF2C4A">
            <w:pPr>
              <w:widowControl/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0.000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</w:tcBorders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TNF signaling pathway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0.000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</w:t>
            </w:r>
            <w:bookmarkStart w:id="3" w:name="_Hlk487623060"/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F-kappa B signaling pathway</w:t>
            </w:r>
            <w:bookmarkEnd w:id="3"/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0.000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NF-kappa B signaling pathway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0.001 </w:t>
            </w:r>
          </w:p>
        </w:tc>
      </w:tr>
      <w:bookmarkEnd w:id="2"/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Osteoclast differentiation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0.000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Osteoclast differentiation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0.008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Tuberculosis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0.013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Cell cycle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28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0.008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Leishmaniasis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0.018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Leishmaniasis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0.008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Rheumatoid arthritis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0.019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B cell receptor signaling pathway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0.012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p53 signaling pathway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0.019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Tuberculosis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0.012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Hematopoietic cell lineage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0.049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Chagas disease 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22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0.037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Malaria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0.049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p53 signaling pathway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0.061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 cell receptor signaling pathway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0.049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Rheumatoid arthritis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0.061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Cell cycle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0.049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HIF-1 signaling pathway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22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0.061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bookmarkStart w:id="4" w:name="_Hlk487623082"/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Apoptosis</w:t>
            </w:r>
            <w:bookmarkEnd w:id="4"/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0.049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Small cell lung cancer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0.066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Hepatitis B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0.049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NOD-like receptor signaling pathway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0.066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Legionellosis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0.049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Pancreatic cancer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0.070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NOD-like receptor signaling pathway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0.049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Mismatch repair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ind w:firstLineChars="50" w:firstLine="105"/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0.070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Toll-like receptor signaling pathway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0.051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Pertussis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0.073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HIF-1 signaling pathway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0.052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Apoptosis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0.077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Viral carcinogenesis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0.057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Proteoglycans in cancer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0.077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Influenza A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0.057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FoxO signaling pathway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0.077 </w:t>
            </w:r>
          </w:p>
        </w:tc>
      </w:tr>
      <w:tr w:rsidR="00BB07BE">
        <w:trPr>
          <w:gridAfter w:val="1"/>
          <w:wAfter w:w="142" w:type="dxa"/>
          <w:trHeight w:val="281"/>
        </w:trPr>
        <w:tc>
          <w:tcPr>
            <w:tcW w:w="3682" w:type="dxa"/>
            <w:gridSpan w:val="2"/>
            <w:vAlign w:val="center"/>
          </w:tcPr>
          <w:p w:rsidR="00BB07BE" w:rsidRDefault="00EF2C4A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Transcriptional misregulation in cancer</w:t>
            </w:r>
          </w:p>
        </w:tc>
        <w:tc>
          <w:tcPr>
            <w:tcW w:w="451" w:type="dxa"/>
            <w:vAlign w:val="center"/>
          </w:tcPr>
          <w:p w:rsidR="00BB07BE" w:rsidRDefault="00EF2C4A">
            <w:pPr>
              <w:widowControl/>
              <w:jc w:val="righ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63" w:type="dxa"/>
            <w:gridSpan w:val="3"/>
            <w:vAlign w:val="center"/>
          </w:tcPr>
          <w:p w:rsidR="00BB07BE" w:rsidRDefault="00EF2C4A">
            <w:pPr>
              <w:jc w:val="center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0.089</w:t>
            </w:r>
          </w:p>
        </w:tc>
        <w:tc>
          <w:tcPr>
            <w:tcW w:w="3359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Acute myeloid leukemia</w:t>
            </w:r>
          </w:p>
        </w:tc>
        <w:tc>
          <w:tcPr>
            <w:tcW w:w="567" w:type="dxa"/>
            <w:gridSpan w:val="2"/>
            <w:vAlign w:val="center"/>
          </w:tcPr>
          <w:p w:rsidR="00BB07BE" w:rsidRDefault="00EF2C4A">
            <w:pPr>
              <w:jc w:val="lef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BB07BE" w:rsidRDefault="00EF2C4A">
            <w:pPr>
              <w:jc w:val="right"/>
              <w:rPr>
                <w:rFonts w:ascii="Calibri" w:eastAsia="DengXian" w:hAnsi="Calibri" w:cs="Calibri"/>
                <w:color w:val="000000"/>
                <w:szCs w:val="21"/>
              </w:rPr>
            </w:pPr>
            <w:r>
              <w:rPr>
                <w:rFonts w:ascii="Calibri" w:eastAsia="DengXian" w:hAnsi="Calibri" w:cs="Calibri"/>
                <w:color w:val="000000"/>
                <w:szCs w:val="21"/>
              </w:rPr>
              <w:t xml:space="preserve">0.086 </w:t>
            </w:r>
          </w:p>
        </w:tc>
      </w:tr>
    </w:tbl>
    <w:p w:rsidR="00BB07BE" w:rsidRDefault="00BB07BE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</w:p>
    <w:bookmarkEnd w:id="0"/>
    <w:p w:rsidR="00BB07BE" w:rsidRDefault="00BB07BE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</w:p>
    <w:p w:rsidR="00EE7BC7" w:rsidRDefault="00EE7BC7">
      <w:pPr>
        <w:widowControl/>
        <w:jc w:val="left"/>
        <w:rPr>
          <w:rFonts w:ascii="QbwxvsAdvTTb5929f4c" w:eastAsia="SimSun" w:hAnsi="QbwxvsAdvTTb5929f4c" w:cs="QbwxvsAdvTTb5929f4c"/>
          <w:b/>
          <w:bCs/>
          <w:color w:val="131413"/>
          <w:kern w:val="0"/>
          <w:sz w:val="16"/>
          <w:szCs w:val="16"/>
        </w:rPr>
      </w:pPr>
      <w:r>
        <w:rPr>
          <w:rFonts w:ascii="QbwxvsAdvTTb5929f4c" w:eastAsia="SimSun" w:hAnsi="QbwxvsAdvTTb5929f4c" w:cs="QbwxvsAdvTTb5929f4c"/>
          <w:b/>
          <w:bCs/>
          <w:color w:val="131413"/>
          <w:kern w:val="0"/>
          <w:sz w:val="16"/>
          <w:szCs w:val="16"/>
        </w:rPr>
        <w:br w:type="page"/>
      </w:r>
    </w:p>
    <w:bookmarkStart w:id="5" w:name="_GoBack"/>
    <w:bookmarkEnd w:id="5"/>
    <w:p w:rsidR="00BB07BE" w:rsidRDefault="00D531DA">
      <w:pPr>
        <w:spacing w:line="276" w:lineRule="auto"/>
        <w:jc w:val="center"/>
      </w:pPr>
      <w:r>
        <w:object w:dxaOrig="5443" w:dyaOrig="4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4pt;height:210pt" o:ole="">
            <v:imagedata r:id="rId10" o:title=""/>
          </v:shape>
          <o:OLEObject Type="Embed" ProgID="Prism5.Document" ShapeID="_x0000_i1025" DrawAspect="Content" ObjectID="_1564315216" r:id="rId11"/>
        </w:object>
      </w:r>
    </w:p>
    <w:p w:rsidR="00BB07BE" w:rsidRPr="00B505FA" w:rsidRDefault="00EF2C4A">
      <w:pPr>
        <w:spacing w:line="276" w:lineRule="auto"/>
        <w:jc w:val="left"/>
        <w:rPr>
          <w:rFonts w:ascii="Calibri" w:hAnsi="Calibri" w:cs="Calibri"/>
          <w:sz w:val="22"/>
        </w:rPr>
      </w:pPr>
      <w:r w:rsidRPr="00B505FA">
        <w:rPr>
          <w:rFonts w:ascii="Calibri" w:hAnsi="Calibri" w:cs="Calibri" w:hint="eastAsia"/>
          <w:sz w:val="22"/>
        </w:rPr>
        <w:t>Fig.</w:t>
      </w:r>
      <w:r w:rsidR="0062349D">
        <w:rPr>
          <w:rFonts w:ascii="Calibri" w:hAnsi="Calibri" w:cs="Calibri"/>
          <w:sz w:val="22"/>
        </w:rPr>
        <w:t xml:space="preserve"> </w:t>
      </w:r>
      <w:r w:rsidRPr="00B505FA">
        <w:rPr>
          <w:rFonts w:ascii="Calibri" w:hAnsi="Calibri" w:cs="Calibri" w:hint="eastAsia"/>
          <w:sz w:val="22"/>
        </w:rPr>
        <w:t>S</w:t>
      </w:r>
      <w:r w:rsidRPr="00B505FA">
        <w:rPr>
          <w:rFonts w:ascii="Calibri" w:hAnsi="Calibri" w:cs="Calibri"/>
          <w:sz w:val="22"/>
        </w:rPr>
        <w:t>1</w:t>
      </w:r>
      <w:r w:rsidRPr="00B505FA">
        <w:rPr>
          <w:rFonts w:ascii="Calibri" w:hAnsi="Calibri" w:cs="Calibri" w:hint="eastAsia"/>
          <w:i/>
          <w:sz w:val="22"/>
        </w:rPr>
        <w:t xml:space="preserve"> </w:t>
      </w:r>
      <w:r w:rsidR="00373B88" w:rsidRPr="00B505FA">
        <w:rPr>
          <w:rFonts w:ascii="Calibri" w:hAnsi="Calibri" w:cs="Calibri"/>
          <w:sz w:val="22"/>
        </w:rPr>
        <w:t>C</w:t>
      </w:r>
      <w:r w:rsidR="00DA6F5B" w:rsidRPr="00B505FA">
        <w:rPr>
          <w:rFonts w:ascii="Calibri" w:hAnsi="Calibri" w:cs="Calibri"/>
          <w:color w:val="000000" w:themeColor="text1"/>
          <w:sz w:val="22"/>
          <w:shd w:val="clear" w:color="auto" w:fill="FFFFFF"/>
        </w:rPr>
        <w:t>orrelation</w:t>
      </w:r>
      <w:r w:rsidRPr="00B505FA">
        <w:rPr>
          <w:rFonts w:ascii="Calibri" w:hAnsi="Calibri" w:cs="Calibri"/>
          <w:sz w:val="22"/>
        </w:rPr>
        <w:t xml:space="preserve"> between miRNA</w:t>
      </w:r>
      <w:r w:rsidR="00373B88" w:rsidRPr="00B505FA">
        <w:rPr>
          <w:rFonts w:ascii="Calibri" w:hAnsi="Calibri" w:cs="Calibri"/>
          <w:sz w:val="22"/>
        </w:rPr>
        <w:t xml:space="preserve"> </w:t>
      </w:r>
      <w:r w:rsidRPr="00B505FA">
        <w:rPr>
          <w:rFonts w:ascii="Calibri" w:hAnsi="Calibri" w:cs="Calibri"/>
          <w:sz w:val="22"/>
        </w:rPr>
        <w:t>and their target mRNA</w:t>
      </w:r>
      <w:r w:rsidR="00373B88" w:rsidRPr="00B505FA">
        <w:rPr>
          <w:rFonts w:ascii="Calibri" w:hAnsi="Calibri" w:cs="Calibri"/>
          <w:sz w:val="22"/>
        </w:rPr>
        <w:t xml:space="preserve"> expression</w:t>
      </w:r>
      <w:r w:rsidR="00373B88" w:rsidRPr="00B505FA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 </w:t>
      </w:r>
      <w:r w:rsidR="00980F20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levels </w:t>
      </w:r>
      <w:r w:rsidR="004D76BF" w:rsidRPr="00B505FA">
        <w:rPr>
          <w:rFonts w:ascii="Calibri" w:hAnsi="Calibri" w:cs="Calibri"/>
          <w:color w:val="000000" w:themeColor="text1"/>
          <w:sz w:val="22"/>
          <w:shd w:val="clear" w:color="auto" w:fill="FFFFFF"/>
        </w:rPr>
        <w:t xml:space="preserve">was </w:t>
      </w:r>
      <w:r w:rsidR="00373B88" w:rsidRPr="00B505FA">
        <w:rPr>
          <w:rFonts w:ascii="Calibri" w:hAnsi="Calibri" w:cs="Calibri"/>
          <w:color w:val="000000" w:themeColor="text1"/>
          <w:sz w:val="22"/>
          <w:shd w:val="clear" w:color="auto" w:fill="FFFFFF"/>
        </w:rPr>
        <w:t>represented</w:t>
      </w:r>
      <w:r w:rsidR="00DA6F5B" w:rsidRPr="00B505FA">
        <w:rPr>
          <w:rFonts w:ascii="Calibri" w:hAnsi="Calibri" w:cs="Calibri"/>
          <w:sz w:val="22"/>
        </w:rPr>
        <w:t xml:space="preserve"> by </w:t>
      </w:r>
      <w:r w:rsidR="00DA6F5B" w:rsidRPr="00B505FA">
        <w:rPr>
          <w:rFonts w:ascii="Calibri" w:hAnsi="Calibri" w:cs="Calibri"/>
          <w:color w:val="000000" w:themeColor="text1"/>
          <w:sz w:val="22"/>
          <w:shd w:val="clear" w:color="auto" w:fill="FFFFFF"/>
        </w:rPr>
        <w:t>a logarithmic curve</w:t>
      </w:r>
      <w:r w:rsidRPr="00B505FA">
        <w:rPr>
          <w:rFonts w:ascii="Calibri" w:hAnsi="Calibri" w:cs="Calibri"/>
          <w:sz w:val="22"/>
        </w:rPr>
        <w:t xml:space="preserve">. </w:t>
      </w:r>
      <w:r w:rsidRPr="00B505FA">
        <w:rPr>
          <w:rFonts w:ascii="Calibri" w:hAnsi="Calibri" w:cs="Calibri" w:hint="eastAsia"/>
          <w:sz w:val="22"/>
        </w:rPr>
        <w:t>X</w:t>
      </w:r>
      <w:r w:rsidRPr="00B505FA">
        <w:rPr>
          <w:rFonts w:ascii="Calibri" w:hAnsi="Calibri" w:cs="Calibri"/>
          <w:sz w:val="22"/>
        </w:rPr>
        <w:t xml:space="preserve"> represent</w:t>
      </w:r>
      <w:r w:rsidRPr="00B505FA">
        <w:rPr>
          <w:rFonts w:ascii="Calibri" w:hAnsi="Calibri" w:cs="Calibri" w:hint="eastAsia"/>
          <w:sz w:val="22"/>
        </w:rPr>
        <w:t>s</w:t>
      </w:r>
      <w:r w:rsidRPr="00B505FA">
        <w:rPr>
          <w:rFonts w:ascii="Calibri" w:hAnsi="Calibri" w:cs="Calibri"/>
          <w:sz w:val="22"/>
        </w:rPr>
        <w:t xml:space="preserve"> the relative expression of miRNA and Y represent</w:t>
      </w:r>
      <w:r w:rsidRPr="00B505FA">
        <w:rPr>
          <w:rFonts w:ascii="Calibri" w:hAnsi="Calibri" w:cs="Calibri" w:hint="eastAsia"/>
          <w:sz w:val="22"/>
        </w:rPr>
        <w:t>s</w:t>
      </w:r>
      <w:r w:rsidRPr="00B505FA">
        <w:rPr>
          <w:rFonts w:ascii="Calibri" w:hAnsi="Calibri" w:cs="Calibri"/>
          <w:sz w:val="22"/>
        </w:rPr>
        <w:t xml:space="preserve"> the relative expression of the corresponding target mRNA</w:t>
      </w:r>
      <w:r w:rsidRPr="00B505FA">
        <w:rPr>
          <w:rFonts w:ascii="Calibri" w:hAnsi="Calibri" w:cs="Calibri" w:hint="eastAsia"/>
          <w:sz w:val="22"/>
        </w:rPr>
        <w:t>.</w:t>
      </w:r>
    </w:p>
    <w:p w:rsidR="00BB07BE" w:rsidRDefault="00BB07BE">
      <w:pPr>
        <w:autoSpaceDE w:val="0"/>
        <w:autoSpaceDN w:val="0"/>
        <w:adjustRightInd w:val="0"/>
        <w:jc w:val="left"/>
        <w:rPr>
          <w:rFonts w:ascii="QbwxvsAdvTTb5929f4c" w:eastAsia="SimSun" w:hAnsi="QbwxvsAdvTTb5929f4c" w:cs="QbwxvsAdvTTb5929f4c"/>
          <w:b/>
          <w:bCs/>
          <w:color w:val="131413"/>
          <w:kern w:val="0"/>
          <w:sz w:val="16"/>
          <w:szCs w:val="16"/>
        </w:rPr>
      </w:pPr>
    </w:p>
    <w:sectPr w:rsidR="00BB07BE" w:rsidSect="00BB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F7C" w:rsidRDefault="000E1F7C" w:rsidP="001B492D">
      <w:r>
        <w:separator/>
      </w:r>
    </w:p>
  </w:endnote>
  <w:endnote w:type="continuationSeparator" w:id="0">
    <w:p w:rsidR="000E1F7C" w:rsidRDefault="000E1F7C" w:rsidP="001B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bwxvsAdvTTb5929f4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F7C" w:rsidRDefault="000E1F7C" w:rsidP="001B492D">
      <w:r>
        <w:separator/>
      </w:r>
    </w:p>
  </w:footnote>
  <w:footnote w:type="continuationSeparator" w:id="0">
    <w:p w:rsidR="000E1F7C" w:rsidRDefault="000E1F7C" w:rsidP="001B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A53"/>
    <w:rsid w:val="000663A6"/>
    <w:rsid w:val="0007135B"/>
    <w:rsid w:val="000E1F7C"/>
    <w:rsid w:val="000E5080"/>
    <w:rsid w:val="00162ADF"/>
    <w:rsid w:val="001B492D"/>
    <w:rsid w:val="001E18B5"/>
    <w:rsid w:val="00204919"/>
    <w:rsid w:val="00222836"/>
    <w:rsid w:val="00231A53"/>
    <w:rsid w:val="002C3185"/>
    <w:rsid w:val="00373B88"/>
    <w:rsid w:val="004101E0"/>
    <w:rsid w:val="004646CE"/>
    <w:rsid w:val="004B1672"/>
    <w:rsid w:val="004D76BF"/>
    <w:rsid w:val="00551233"/>
    <w:rsid w:val="0062349D"/>
    <w:rsid w:val="006A4D13"/>
    <w:rsid w:val="006D4304"/>
    <w:rsid w:val="008E6EA3"/>
    <w:rsid w:val="009023D6"/>
    <w:rsid w:val="0092109D"/>
    <w:rsid w:val="00946263"/>
    <w:rsid w:val="00980F20"/>
    <w:rsid w:val="009C02B9"/>
    <w:rsid w:val="00A064BB"/>
    <w:rsid w:val="00A842EF"/>
    <w:rsid w:val="00A85D03"/>
    <w:rsid w:val="00A85E83"/>
    <w:rsid w:val="00B04E28"/>
    <w:rsid w:val="00B505FA"/>
    <w:rsid w:val="00BB07BE"/>
    <w:rsid w:val="00C9178E"/>
    <w:rsid w:val="00CA5B67"/>
    <w:rsid w:val="00CD3FAC"/>
    <w:rsid w:val="00D5064A"/>
    <w:rsid w:val="00D531DA"/>
    <w:rsid w:val="00DA6F5B"/>
    <w:rsid w:val="00DC6CC0"/>
    <w:rsid w:val="00DD450F"/>
    <w:rsid w:val="00E61AA1"/>
    <w:rsid w:val="00ED7BAC"/>
    <w:rsid w:val="00EE7BC7"/>
    <w:rsid w:val="00EF2C4A"/>
    <w:rsid w:val="00F34EED"/>
    <w:rsid w:val="00F75B2A"/>
    <w:rsid w:val="238D00C6"/>
    <w:rsid w:val="7BD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A2FBD-6829-4DF7-ADA7-5431DC63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7BE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7BE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BB07B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B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BB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BB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BB07BE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07BE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7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7BE"/>
    <w:rPr>
      <w:sz w:val="18"/>
      <w:szCs w:val="18"/>
    </w:rPr>
  </w:style>
  <w:style w:type="character" w:customStyle="1" w:styleId="apple-converted-space">
    <w:name w:val="apple-converted-space"/>
    <w:basedOn w:val="DefaultParagraphFont"/>
    <w:qFormat/>
    <w:rsid w:val="00BB07BE"/>
  </w:style>
  <w:style w:type="character" w:styleId="Emphasis">
    <w:name w:val="Emphasis"/>
    <w:basedOn w:val="DefaultParagraphFont"/>
    <w:uiPriority w:val="20"/>
    <w:qFormat/>
    <w:rsid w:val="00B04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001706X16307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0001706X16307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001706X163070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Alison Sage</cp:lastModifiedBy>
  <cp:revision>2</cp:revision>
  <cp:lastPrinted>2017-08-14T07:06:00Z</cp:lastPrinted>
  <dcterms:created xsi:type="dcterms:W3CDTF">2017-08-15T14:14:00Z</dcterms:created>
  <dcterms:modified xsi:type="dcterms:W3CDTF">2017-08-15T14:14:00Z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