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7F" w:rsidRDefault="005E6177">
      <w:r>
        <w:t xml:space="preserve">Table S1. </w:t>
      </w:r>
      <w:bookmarkStart w:id="0" w:name="_Hlk500936849"/>
      <w:r>
        <w:t>Summary of genome sequenc</w:t>
      </w:r>
      <w:bookmarkEnd w:id="0"/>
      <w:r w:rsidR="001D449F">
        <w:t>ing projects</w:t>
      </w:r>
      <w:bookmarkStart w:id="1" w:name="_GoBack"/>
      <w:bookmarkEnd w:id="1"/>
      <w:r w:rsidR="000A4EC2">
        <w:t>.</w:t>
      </w:r>
    </w:p>
    <w:p w:rsidR="0080577F" w:rsidRDefault="008057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6"/>
        <w:gridCol w:w="1860"/>
        <w:gridCol w:w="1276"/>
        <w:gridCol w:w="1843"/>
        <w:gridCol w:w="1674"/>
      </w:tblGrid>
      <w:tr w:rsidR="0080577F" w:rsidTr="000A4EC2"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577F" w:rsidRPr="00EA6633" w:rsidRDefault="0080577F" w:rsidP="00555983">
            <w:pPr>
              <w:rPr>
                <w:b/>
              </w:rPr>
            </w:pPr>
            <w:r w:rsidRPr="00EA6633">
              <w:rPr>
                <w:b/>
              </w:rPr>
              <w:t>genome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577F" w:rsidRPr="00EA6633" w:rsidRDefault="0080577F" w:rsidP="00555983">
            <w:pPr>
              <w:rPr>
                <w:b/>
              </w:rPr>
            </w:pPr>
            <w:r w:rsidRPr="00EA6633">
              <w:rPr>
                <w:b/>
              </w:rPr>
              <w:t>sequencing approach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577F" w:rsidRPr="00EA6633" w:rsidRDefault="0080577F" w:rsidP="00555983">
            <w:pPr>
              <w:rPr>
                <w:b/>
              </w:rPr>
            </w:pPr>
            <w:r w:rsidRPr="00EA6633">
              <w:rPr>
                <w:b/>
              </w:rPr>
              <w:t>number of contigs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577F" w:rsidRPr="00EA6633" w:rsidRDefault="0080577F" w:rsidP="00555983">
            <w:pPr>
              <w:rPr>
                <w:b/>
              </w:rPr>
            </w:pPr>
            <w:r w:rsidRPr="00EA6633">
              <w:rPr>
                <w:b/>
              </w:rPr>
              <w:t>BioProject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577F" w:rsidRPr="00EA6633" w:rsidRDefault="0080577F" w:rsidP="00555983">
            <w:pPr>
              <w:rPr>
                <w:b/>
              </w:rPr>
            </w:pPr>
            <w:r w:rsidRPr="00EA6633">
              <w:rPr>
                <w:b/>
              </w:rPr>
              <w:t>reference</w:t>
            </w:r>
          </w:p>
        </w:tc>
      </w:tr>
      <w:tr w:rsidR="000A4EC2" w:rsidTr="000A4EC2">
        <w:trPr>
          <w:trHeight w:val="397"/>
        </w:trPr>
        <w:tc>
          <w:tcPr>
            <w:tcW w:w="2676" w:type="dxa"/>
            <w:tcBorders>
              <w:left w:val="nil"/>
              <w:bottom w:val="nil"/>
              <w:right w:val="nil"/>
            </w:tcBorders>
            <w:vAlign w:val="center"/>
          </w:tcPr>
          <w:p w:rsidR="0080577F" w:rsidRPr="006F2489" w:rsidRDefault="0080577F" w:rsidP="00555983">
            <w:r>
              <w:rPr>
                <w:i/>
              </w:rPr>
              <w:t>C. parvum</w:t>
            </w:r>
            <w:r>
              <w:t xml:space="preserve"> IOWA</w:t>
            </w: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Sanger</w:t>
            </w:r>
            <w:r w:rsidR="00340FC9">
              <w:t xml:space="preserve"> shotgun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18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 w:rsidRPr="004E17E7">
              <w:t>PRJNA15586</w:t>
            </w:r>
          </w:p>
        </w:tc>
        <w:tc>
          <w:tcPr>
            <w:tcW w:w="1674" w:type="dxa"/>
            <w:tcBorders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rPr>
                <w:noProof/>
              </w:rPr>
              <w:t>(Abrahamsen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2004)</w:t>
            </w:r>
          </w:p>
        </w:tc>
      </w:tr>
      <w:tr w:rsidR="0080577F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6F2489" w:rsidRDefault="0080577F" w:rsidP="00555983">
            <w:r>
              <w:rPr>
                <w:i/>
              </w:rPr>
              <w:t>C. hominis</w:t>
            </w:r>
            <w:r>
              <w:t xml:space="preserve"> UdeA01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E94C30" w:rsidP="00555983">
            <w:r>
              <w:t xml:space="preserve">Roche </w:t>
            </w:r>
            <w:r w:rsidR="0080577F">
              <w:t>454 FLX(+),</w:t>
            </w:r>
            <w:r w:rsidR="0080577F" w:rsidRPr="00C6759A">
              <w:t xml:space="preserve"> Miseq 2 × 250</w:t>
            </w:r>
            <w:r w:rsidR="0080577F">
              <w:t xml:space="preserve"> nt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A49A6" w:rsidP="00555983">
            <w: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PRJEB10000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rPr>
                <w:noProof/>
              </w:rPr>
              <w:t>(Isaza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2015)</w:t>
            </w:r>
          </w:p>
        </w:tc>
      </w:tr>
      <w:tr w:rsidR="0080577F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6F2489" w:rsidRDefault="0080577F" w:rsidP="00555983">
            <w:r>
              <w:rPr>
                <w:i/>
              </w:rPr>
              <w:t>C. hominis</w:t>
            </w:r>
            <w:r>
              <w:t xml:space="preserve"> TU502_new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 xml:space="preserve">Illumina MiSeq </w:t>
            </w:r>
          </w:p>
          <w:p w:rsidR="0080577F" w:rsidRDefault="0080577F" w:rsidP="00555983">
            <w:r>
              <w:t>2 x 250 nt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PRJNA222836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rPr>
                <w:noProof/>
              </w:rPr>
              <w:t>(Ifeonu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2016)</w:t>
            </w:r>
          </w:p>
        </w:tc>
      </w:tr>
      <w:tr w:rsidR="0080577F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3D750D" w:rsidRDefault="0080577F" w:rsidP="00555983">
            <w:r w:rsidRPr="00157E80">
              <w:rPr>
                <w:i/>
              </w:rPr>
              <w:t>C. meleagridis</w:t>
            </w:r>
            <w:r>
              <w:t xml:space="preserve"> UKMEL1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872F38">
            <w:r>
              <w:t xml:space="preserve">Illumina MiSeq </w:t>
            </w:r>
          </w:p>
          <w:p w:rsidR="0080577F" w:rsidRDefault="0080577F" w:rsidP="00872F38">
            <w:r>
              <w:t>2 x</w:t>
            </w:r>
            <w:r>
              <w:t xml:space="preserve"> 2</w:t>
            </w:r>
            <w:r>
              <w:t>50</w:t>
            </w:r>
            <w:r>
              <w:t xml:space="preserve"> nt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 w:rsidRPr="008B2682">
              <w:t>PRJNA222838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rPr>
                <w:noProof/>
              </w:rPr>
              <w:t>(Ifeonu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2016)</w:t>
            </w:r>
          </w:p>
        </w:tc>
      </w:tr>
      <w:tr w:rsidR="0080577F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D20B11" w:rsidRDefault="0080577F" w:rsidP="00555983">
            <w:r w:rsidRPr="000D15A9">
              <w:rPr>
                <w:i/>
              </w:rPr>
              <w:t>C. ubiquitum</w:t>
            </w:r>
            <w:r>
              <w:t xml:space="preserve"> 39726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 w:rsidRPr="000D7CF5">
              <w:t>Illumina GAIIx</w:t>
            </w:r>
          </w:p>
          <w:p w:rsidR="0080577F" w:rsidRDefault="0080577F" w:rsidP="00555983">
            <w:r>
              <w:t>2 x 100 nt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t>PRJNA246478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555983">
            <w:r>
              <w:rPr>
                <w:noProof/>
              </w:rPr>
              <w:t>(Liu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2016)</w:t>
            </w:r>
          </w:p>
        </w:tc>
      </w:tr>
      <w:tr w:rsidR="0080577F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157E80" w:rsidRDefault="0080577F" w:rsidP="000F4450">
            <w:r w:rsidRPr="00555983">
              <w:rPr>
                <w:i/>
              </w:rPr>
              <w:t>C. baileyi</w:t>
            </w:r>
            <w:r>
              <w:t xml:space="preserve"> TAMU-09Q1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0F4450">
            <w:r>
              <w:t xml:space="preserve">Illumina MiSeq </w:t>
            </w:r>
          </w:p>
          <w:p w:rsidR="0080577F" w:rsidRDefault="0080577F" w:rsidP="000F4450">
            <w:r>
              <w:t>2 x</w:t>
            </w:r>
            <w:r>
              <w:t xml:space="preserve"> 2</w:t>
            </w:r>
            <w:r>
              <w:t>50</w:t>
            </w:r>
            <w:r>
              <w:t xml:space="preserve"> nt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0F4450">
            <w: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0F4450">
            <w:r w:rsidRPr="005B40F6">
              <w:t>PRJNA222835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0F4450">
            <w:r>
              <w:rPr>
                <w:noProof/>
              </w:rPr>
              <w:t>(Ifeonu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2016)</w:t>
            </w:r>
          </w:p>
        </w:tc>
      </w:tr>
      <w:tr w:rsidR="0080577F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3E6F0A" w:rsidRDefault="0080577F" w:rsidP="000F4450">
            <w:r>
              <w:rPr>
                <w:i/>
              </w:rPr>
              <w:t>C. muris</w:t>
            </w:r>
            <w:r>
              <w:t xml:space="preserve"> RN66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0D7CF5" w:rsidRDefault="0080577F" w:rsidP="0034666B">
            <w:r>
              <w:t xml:space="preserve">Sanger and </w:t>
            </w:r>
            <w:r w:rsidR="00B54955">
              <w:t xml:space="preserve">Roche </w:t>
            </w:r>
            <w: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80577F" w:rsidP="000F4450">
            <w: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Pr="0034666B" w:rsidRDefault="0080577F" w:rsidP="000F4450">
            <w:r w:rsidRPr="00CA353A">
              <w:t>PRJNA19553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7F" w:rsidRDefault="00580CCF" w:rsidP="000F4450">
            <w:r>
              <w:t>unpublished</w:t>
            </w:r>
          </w:p>
        </w:tc>
      </w:tr>
      <w:tr w:rsidR="000A4EC2" w:rsidTr="000A4EC2">
        <w:trPr>
          <w:trHeight w:val="397"/>
        </w:trPr>
        <w:tc>
          <w:tcPr>
            <w:tcW w:w="2676" w:type="dxa"/>
            <w:tcBorders>
              <w:top w:val="nil"/>
              <w:left w:val="nil"/>
              <w:right w:val="nil"/>
            </w:tcBorders>
            <w:vAlign w:val="center"/>
          </w:tcPr>
          <w:p w:rsidR="0080577F" w:rsidRDefault="0080577F" w:rsidP="000F4450">
            <w:r w:rsidRPr="000D15A9">
              <w:rPr>
                <w:i/>
                <w:caps/>
              </w:rPr>
              <w:t xml:space="preserve">C. </w:t>
            </w:r>
            <w:r w:rsidRPr="000D15A9">
              <w:rPr>
                <w:i/>
              </w:rPr>
              <w:t>andersoni</w:t>
            </w:r>
            <w:r>
              <w:t xml:space="preserve"> 30847</w:t>
            </w: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vAlign w:val="center"/>
          </w:tcPr>
          <w:p w:rsidR="0080577F" w:rsidRDefault="0080577F" w:rsidP="0034666B">
            <w:r w:rsidRPr="000D7CF5">
              <w:t>Illumina GAIIx</w:t>
            </w:r>
          </w:p>
          <w:p w:rsidR="0080577F" w:rsidRDefault="0080577F" w:rsidP="0034666B">
            <w:r>
              <w:t>2 x 100 nt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80577F" w:rsidRDefault="0080577F" w:rsidP="000F4450">
            <w:r>
              <w:t>135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center"/>
          </w:tcPr>
          <w:p w:rsidR="0080577F" w:rsidRDefault="0080577F" w:rsidP="000F4450">
            <w:r w:rsidRPr="0034666B">
              <w:t>PRJNA308889</w:t>
            </w:r>
          </w:p>
        </w:tc>
        <w:tc>
          <w:tcPr>
            <w:tcW w:w="1674" w:type="dxa"/>
            <w:tcBorders>
              <w:top w:val="nil"/>
              <w:left w:val="nil"/>
              <w:right w:val="nil"/>
            </w:tcBorders>
            <w:vAlign w:val="center"/>
          </w:tcPr>
          <w:p w:rsidR="0080577F" w:rsidRDefault="0080577F" w:rsidP="000F4450">
            <w:r>
              <w:rPr>
                <w:noProof/>
              </w:rPr>
              <w:t>(Liu</w:t>
            </w:r>
            <w:r w:rsidRPr="006D39C4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>, 2016)</w:t>
            </w:r>
          </w:p>
        </w:tc>
      </w:tr>
    </w:tbl>
    <w:p w:rsidR="0080577F" w:rsidRDefault="0080577F"/>
    <w:p w:rsidR="0080577F" w:rsidRDefault="0080577F"/>
    <w:p w:rsidR="0080577F" w:rsidRPr="008C4E53" w:rsidRDefault="0080577F" w:rsidP="008C4E53">
      <w:pPr>
        <w:pStyle w:val="EndNoteBibliography"/>
        <w:ind w:left="280" w:hanging="280"/>
      </w:pPr>
      <w:r w:rsidRPr="008C4E53">
        <w:rPr>
          <w:b/>
        </w:rPr>
        <w:t>Abrahamsen, M. S., Templeton, T. J., Enomoto, S., Abrahante, J. E., Zhu, G., Lancto, C. A., Deng, M., Liu, C., Widmer, G., Tzipori, S., Buck, G. A., Xu, P., Bankier, A. T., Dear, P. H., Konfortov, B. A., Spriggs, H. F., Iyer, L., Anantharaman, V., Aravind, L. and Kapur, V.</w:t>
      </w:r>
      <w:r w:rsidRPr="008C4E53">
        <w:t xml:space="preserve"> (2004). Complete genome sequence of the apicomplexan, Cryptosporidium parvum. </w:t>
      </w:r>
      <w:r w:rsidRPr="008C4E53">
        <w:rPr>
          <w:i/>
        </w:rPr>
        <w:t>Science,</w:t>
      </w:r>
      <w:r w:rsidRPr="008C4E53">
        <w:t xml:space="preserve"> </w:t>
      </w:r>
      <w:r w:rsidRPr="008C4E53">
        <w:rPr>
          <w:b/>
        </w:rPr>
        <w:t>304</w:t>
      </w:r>
      <w:r w:rsidRPr="008C4E53">
        <w:t>, 441-445.</w:t>
      </w:r>
    </w:p>
    <w:p w:rsidR="0080577F" w:rsidRPr="008C4E53" w:rsidRDefault="0080577F" w:rsidP="008C4E53">
      <w:pPr>
        <w:pStyle w:val="EndNoteBibliography"/>
        <w:ind w:left="280" w:hanging="280"/>
      </w:pPr>
      <w:r w:rsidRPr="008C4E53">
        <w:rPr>
          <w:b/>
        </w:rPr>
        <w:t>Ifeonu, O. O., Chibucos, M. C., Orvis, J., Su, Q., Elwin, K., Guo, F., Zhang, H., Xiao, L., Sun, M., Chalmers, R. M., Fraser, C. M., Zhu, G., Kissinger, J. C., Widmer, G. and Silva, J. C.</w:t>
      </w:r>
      <w:r w:rsidRPr="008C4E53">
        <w:t xml:space="preserve"> (2016). Annotated draft genome sequences of three species of Cryptosporidium: Cryptosporidium meleagridis isolate UKMEL1, C. baileyi isolate TAMU-09Q1 and C. hominis isolates TU502_2012 and UKH1. </w:t>
      </w:r>
      <w:r w:rsidRPr="008C4E53">
        <w:rPr>
          <w:i/>
        </w:rPr>
        <w:t>Pathog Dis,</w:t>
      </w:r>
      <w:r w:rsidRPr="008C4E53">
        <w:t xml:space="preserve"> </w:t>
      </w:r>
      <w:r w:rsidRPr="008C4E53">
        <w:rPr>
          <w:b/>
        </w:rPr>
        <w:t>74</w:t>
      </w:r>
      <w:r w:rsidRPr="008C4E53">
        <w:t>. doi: 10.1093/femspd/ftw080.</w:t>
      </w:r>
    </w:p>
    <w:p w:rsidR="0080577F" w:rsidRPr="008C4E53" w:rsidRDefault="0080577F" w:rsidP="008C4E53">
      <w:pPr>
        <w:pStyle w:val="EndNoteBibliography"/>
        <w:ind w:left="280" w:hanging="280"/>
      </w:pPr>
      <w:r w:rsidRPr="008C4E53">
        <w:rPr>
          <w:b/>
        </w:rPr>
        <w:t>Isaza, J. P., Galvan, A. L., Polanco, V., Huang, B., Matveyev, A. V., Serrano, M. G., Manque, P., Buck, G. A. and Alzate, J. F.</w:t>
      </w:r>
      <w:r w:rsidRPr="008C4E53">
        <w:t xml:space="preserve"> (2015). Revisiting the reference genomes of human pathogenic Cryptosporidium species: reannotation of C. parvum Iowa and a new C. hominis reference. </w:t>
      </w:r>
      <w:r w:rsidRPr="008C4E53">
        <w:rPr>
          <w:i/>
        </w:rPr>
        <w:t>Sci Rep,</w:t>
      </w:r>
      <w:r w:rsidRPr="008C4E53">
        <w:t xml:space="preserve"> </w:t>
      </w:r>
      <w:r w:rsidRPr="008C4E53">
        <w:rPr>
          <w:b/>
        </w:rPr>
        <w:t>5</w:t>
      </w:r>
      <w:r w:rsidRPr="008C4E53">
        <w:t>, 16324. doi: 10.1038/srep16324.</w:t>
      </w:r>
    </w:p>
    <w:p w:rsidR="0080577F" w:rsidRPr="008C4E53" w:rsidRDefault="0080577F" w:rsidP="008C4E53">
      <w:pPr>
        <w:pStyle w:val="EndNoteBibliography"/>
        <w:ind w:left="280" w:hanging="280"/>
      </w:pPr>
      <w:r w:rsidRPr="008C4E53">
        <w:rPr>
          <w:b/>
        </w:rPr>
        <w:t>Liu, S., Roellig, D. M., Guo, Y., Li, N., Frace, M. A., Tang, K., Zhang, L., Feng, Y. and Xiao, L.</w:t>
      </w:r>
      <w:r w:rsidRPr="008C4E53">
        <w:t xml:space="preserve"> (2016). Evolution of mitosome metabolism and invasion-related proteins in Cryptosporidium. </w:t>
      </w:r>
      <w:r w:rsidRPr="008C4E53">
        <w:rPr>
          <w:i/>
        </w:rPr>
        <w:t>BMC Genomics,</w:t>
      </w:r>
      <w:r w:rsidRPr="008C4E53">
        <w:t xml:space="preserve"> </w:t>
      </w:r>
      <w:r w:rsidRPr="008C4E53">
        <w:rPr>
          <w:b/>
        </w:rPr>
        <w:t>17</w:t>
      </w:r>
      <w:r w:rsidRPr="008C4E53">
        <w:t>, 1006. doi: 10.1186/s12864-016-3343-5.</w:t>
      </w:r>
    </w:p>
    <w:p w:rsidR="0080577F" w:rsidRDefault="0080577F"/>
    <w:p w:rsidR="00B02A6B" w:rsidRDefault="00B02A6B"/>
    <w:sectPr w:rsidR="00B02A6B" w:rsidSect="005E6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80577F"/>
    <w:rsid w:val="000A4EC2"/>
    <w:rsid w:val="001D449F"/>
    <w:rsid w:val="00340FC9"/>
    <w:rsid w:val="00580CCF"/>
    <w:rsid w:val="005E6177"/>
    <w:rsid w:val="006074EB"/>
    <w:rsid w:val="0080577F"/>
    <w:rsid w:val="008A49A6"/>
    <w:rsid w:val="00B02A6B"/>
    <w:rsid w:val="00B54955"/>
    <w:rsid w:val="00E9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4913"/>
  <w15:chartTrackingRefBased/>
  <w15:docId w15:val="{F6606756-0D7C-4EDD-9088-F409E798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77F"/>
  </w:style>
  <w:style w:type="character" w:default="1" w:styleId="DefaultParagraphFont">
    <w:name w:val="Default Paragraph Font"/>
    <w:uiPriority w:val="1"/>
    <w:unhideWhenUsed/>
    <w:rsid w:val="008057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577F"/>
  </w:style>
  <w:style w:type="table" w:styleId="TableGrid">
    <w:name w:val="Table Grid"/>
    <w:basedOn w:val="TableNormal"/>
    <w:uiPriority w:val="39"/>
    <w:rsid w:val="00805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0577F"/>
    <w:pPr>
      <w:jc w:val="center"/>
    </w:pPr>
    <w:rPr>
      <w:rFonts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0577F"/>
    <w:rPr>
      <w:rFonts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80577F"/>
    <w:rPr>
      <w:rFonts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0577F"/>
    <w:rPr>
      <w:rFonts w:cs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</dc:creator>
  <cp:keywords/>
  <dc:description/>
  <cp:lastModifiedBy>GW</cp:lastModifiedBy>
  <cp:revision>5</cp:revision>
  <dcterms:created xsi:type="dcterms:W3CDTF">2017-12-13T17:22:00Z</dcterms:created>
  <dcterms:modified xsi:type="dcterms:W3CDTF">2017-12-13T18:59:00Z</dcterms:modified>
</cp:coreProperties>
</file>