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DC" w:rsidRDefault="00DC38E6" w:rsidP="00DC38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E6">
        <w:rPr>
          <w:rFonts w:ascii="Times New Roman" w:hAnsi="Times New Roman" w:cs="Times New Roman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</w:rPr>
        <w:t>File 1</w:t>
      </w:r>
    </w:p>
    <w:p w:rsidR="00253115" w:rsidRDefault="00253115" w:rsidP="00DC38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8E6" w:rsidRDefault="00253115" w:rsidP="00DC38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Extraction</w:t>
      </w:r>
      <w:r w:rsidR="00127883">
        <w:rPr>
          <w:rFonts w:ascii="Times New Roman" w:hAnsi="Times New Roman" w:cs="Times New Roman"/>
          <w:sz w:val="24"/>
          <w:szCs w:val="24"/>
        </w:rPr>
        <w:t>s</w:t>
      </w:r>
    </w:p>
    <w:p w:rsidR="00253115" w:rsidRDefault="00253115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DNA </w:t>
      </w:r>
      <w:proofErr w:type="gramStart"/>
      <w:r>
        <w:rPr>
          <w:rFonts w:ascii="Times New Roman" w:hAnsi="Times New Roman"/>
          <w:sz w:val="24"/>
          <w:szCs w:val="24"/>
        </w:rPr>
        <w:t>was extracted</w:t>
      </w:r>
      <w:proofErr w:type="gramEnd"/>
      <w:r>
        <w:rPr>
          <w:rFonts w:ascii="Times New Roman" w:hAnsi="Times New Roman"/>
          <w:sz w:val="24"/>
          <w:szCs w:val="24"/>
        </w:rPr>
        <w:t xml:space="preserve"> from fin tissue and individual </w:t>
      </w:r>
      <w:proofErr w:type="spellStart"/>
      <w:r>
        <w:rPr>
          <w:rFonts w:ascii="Times New Roman" w:hAnsi="Times New Roman"/>
          <w:sz w:val="24"/>
          <w:szCs w:val="24"/>
        </w:rPr>
        <w:t>metacerca</w:t>
      </w:r>
      <w:r w:rsidR="0012788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iae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659D3">
        <w:rPr>
          <w:rFonts w:ascii="Times New Roman" w:hAnsi="Times New Roman"/>
          <w:sz w:val="24"/>
          <w:szCs w:val="24"/>
        </w:rPr>
        <w:t xml:space="preserve">in 400 µl of 5% </w:t>
      </w:r>
      <w:proofErr w:type="spellStart"/>
      <w:r w:rsidRPr="00B659D3">
        <w:rPr>
          <w:rFonts w:ascii="Times New Roman" w:hAnsi="Times New Roman"/>
          <w:sz w:val="24"/>
          <w:szCs w:val="24"/>
        </w:rPr>
        <w:t>Chelex</w:t>
      </w:r>
      <w:proofErr w:type="spellEnd"/>
      <w:r w:rsidRPr="00B659D3">
        <w:rPr>
          <w:rFonts w:ascii="Times New Roman" w:hAnsi="Times New Roman"/>
          <w:sz w:val="24"/>
          <w:szCs w:val="24"/>
        </w:rPr>
        <w:t xml:space="preserve"> containing 0.1 mg/ml proteinase K, incubating at 60°C for 2-12 hours, and </w:t>
      </w:r>
      <w:r w:rsidR="001A4ECB">
        <w:rPr>
          <w:rFonts w:ascii="Times New Roman" w:hAnsi="Times New Roman"/>
          <w:sz w:val="24"/>
          <w:szCs w:val="24"/>
        </w:rPr>
        <w:t>heating to 100°C for 8 minutes</w:t>
      </w:r>
      <w:r>
        <w:rPr>
          <w:rFonts w:ascii="Times New Roman" w:hAnsi="Times New Roman"/>
          <w:sz w:val="24"/>
          <w:szCs w:val="24"/>
        </w:rPr>
        <w:t>.</w:t>
      </w:r>
    </w:p>
    <w:p w:rsidR="00253115" w:rsidRDefault="00253115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F3438" w:rsidRDefault="002F3438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Fish Host COI Amplification</w:t>
      </w:r>
    </w:p>
    <w:p w:rsidR="002F3438" w:rsidRDefault="00253115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PCR reaction</w:t>
      </w:r>
      <w:r w:rsidR="001A4EC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2F3438">
        <w:rPr>
          <w:rFonts w:ascii="Times New Roman" w:hAnsi="Times New Roman"/>
          <w:sz w:val="24"/>
          <w:szCs w:val="24"/>
        </w:rPr>
        <w:t xml:space="preserve">(50 </w:t>
      </w:r>
      <w:proofErr w:type="spellStart"/>
      <w:r w:rsidR="002F3438">
        <w:rPr>
          <w:rFonts w:ascii="Times New Roman" w:hAnsi="Times New Roman"/>
          <w:sz w:val="24"/>
          <w:szCs w:val="24"/>
        </w:rPr>
        <w:t>μL</w:t>
      </w:r>
      <w:proofErr w:type="spellEnd"/>
      <w:r w:rsidR="002F3438">
        <w:rPr>
          <w:rFonts w:ascii="Times New Roman" w:hAnsi="Times New Roman"/>
          <w:sz w:val="24"/>
          <w:szCs w:val="24"/>
        </w:rPr>
        <w:t>) contained 2.0</w:t>
      </w:r>
      <w:r w:rsidR="002F3438" w:rsidRPr="008C7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μL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 of DNA extraction, 200 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μM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 each 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dNTP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, 2.0 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mM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 MgCl</w:t>
      </w:r>
      <w:r w:rsidR="002F3438" w:rsidRPr="00362B5A">
        <w:rPr>
          <w:rFonts w:ascii="Times New Roman" w:hAnsi="Times New Roman"/>
          <w:sz w:val="24"/>
          <w:szCs w:val="24"/>
        </w:rPr>
        <w:t>2</w:t>
      </w:r>
      <w:r w:rsidR="002F3438" w:rsidRPr="008C71E8">
        <w:rPr>
          <w:rFonts w:ascii="Times New Roman" w:hAnsi="Times New Roman"/>
          <w:sz w:val="24"/>
          <w:szCs w:val="24"/>
        </w:rPr>
        <w:t xml:space="preserve">, 0.5 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μM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 each primer, </w:t>
      </w:r>
      <w:proofErr w:type="gramStart"/>
      <w:r w:rsidR="002F3438" w:rsidRPr="008C71E8">
        <w:rPr>
          <w:rFonts w:ascii="Times New Roman" w:hAnsi="Times New Roman"/>
          <w:sz w:val="24"/>
          <w:szCs w:val="24"/>
        </w:rPr>
        <w:t>1x</w:t>
      </w:r>
      <w:proofErr w:type="gramEnd"/>
      <w:r w:rsidR="002F3438" w:rsidRPr="008C7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Taq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 buffer and 1.25 units 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GoTaq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 DNA polymerase (</w:t>
      </w:r>
      <w:proofErr w:type="spellStart"/>
      <w:r w:rsidR="002F3438" w:rsidRPr="008C71E8">
        <w:rPr>
          <w:rFonts w:ascii="Times New Roman" w:hAnsi="Times New Roman"/>
          <w:sz w:val="24"/>
          <w:szCs w:val="24"/>
        </w:rPr>
        <w:t>Promega</w:t>
      </w:r>
      <w:proofErr w:type="spellEnd"/>
      <w:r w:rsidR="002F3438" w:rsidRPr="008C71E8">
        <w:rPr>
          <w:rFonts w:ascii="Times New Roman" w:hAnsi="Times New Roman"/>
          <w:sz w:val="24"/>
          <w:szCs w:val="24"/>
        </w:rPr>
        <w:t xml:space="preserve">). PCR amplification consisted of 2 min at </w:t>
      </w:r>
      <w:r w:rsidR="002F3438">
        <w:rPr>
          <w:rFonts w:ascii="Times New Roman" w:hAnsi="Times New Roman"/>
          <w:sz w:val="24"/>
          <w:szCs w:val="24"/>
        </w:rPr>
        <w:t>94°C, followed by 35 cycles of 40 sec at 94°C, 40 sec at 52</w:t>
      </w:r>
      <w:r w:rsidR="002F3438" w:rsidRPr="008C71E8">
        <w:rPr>
          <w:rFonts w:ascii="Times New Roman" w:hAnsi="Times New Roman"/>
          <w:sz w:val="24"/>
          <w:szCs w:val="24"/>
        </w:rPr>
        <w:t>°C</w:t>
      </w:r>
      <w:r w:rsidR="002F343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3438" w:rsidRPr="00B659D3">
        <w:rPr>
          <w:rFonts w:ascii="Times New Roman" w:hAnsi="Times New Roman"/>
          <w:i/>
          <w:sz w:val="24"/>
          <w:szCs w:val="24"/>
        </w:rPr>
        <w:t>Lepomis</w:t>
      </w:r>
      <w:proofErr w:type="spellEnd"/>
      <w:r w:rsidR="002F3438">
        <w:rPr>
          <w:rFonts w:ascii="Times New Roman" w:hAnsi="Times New Roman"/>
          <w:sz w:val="24"/>
          <w:szCs w:val="24"/>
        </w:rPr>
        <w:t>) or 45</w:t>
      </w:r>
      <w:r w:rsidR="002F3438" w:rsidRPr="008C71E8">
        <w:rPr>
          <w:rFonts w:ascii="Times New Roman" w:hAnsi="Times New Roman"/>
          <w:sz w:val="24"/>
          <w:szCs w:val="24"/>
        </w:rPr>
        <w:t>°C</w:t>
      </w:r>
      <w:r w:rsidR="002F343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3438" w:rsidRPr="00B659D3">
        <w:rPr>
          <w:rFonts w:ascii="Times New Roman" w:hAnsi="Times New Roman"/>
          <w:i/>
          <w:sz w:val="24"/>
          <w:szCs w:val="24"/>
        </w:rPr>
        <w:t>Pomoxis</w:t>
      </w:r>
      <w:proofErr w:type="spellEnd"/>
      <w:r w:rsidR="002F3438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2F3438" w:rsidRPr="00B659D3">
        <w:rPr>
          <w:rFonts w:ascii="Times New Roman" w:hAnsi="Times New Roman"/>
          <w:i/>
          <w:sz w:val="24"/>
          <w:szCs w:val="24"/>
        </w:rPr>
        <w:t>Micropterus</w:t>
      </w:r>
      <w:proofErr w:type="spellEnd"/>
      <w:r w:rsidR="002F3438">
        <w:rPr>
          <w:rFonts w:ascii="Times New Roman" w:hAnsi="Times New Roman"/>
          <w:sz w:val="24"/>
          <w:szCs w:val="24"/>
        </w:rPr>
        <w:t>)</w:t>
      </w:r>
      <w:r w:rsidR="002F3438" w:rsidRPr="008C71E8">
        <w:rPr>
          <w:rFonts w:ascii="Times New Roman" w:hAnsi="Times New Roman"/>
          <w:sz w:val="24"/>
          <w:szCs w:val="24"/>
        </w:rPr>
        <w:t xml:space="preserve"> and 1 min at 72°C</w:t>
      </w:r>
      <w:r w:rsidR="002F3438">
        <w:rPr>
          <w:rFonts w:ascii="Times New Roman" w:hAnsi="Times New Roman"/>
          <w:sz w:val="24"/>
          <w:szCs w:val="24"/>
        </w:rPr>
        <w:t>,</w:t>
      </w:r>
      <w:r w:rsidR="002F3438" w:rsidRPr="008C71E8">
        <w:rPr>
          <w:rFonts w:ascii="Times New Roman" w:hAnsi="Times New Roman"/>
          <w:sz w:val="24"/>
          <w:szCs w:val="24"/>
        </w:rPr>
        <w:t xml:space="preserve"> and a final extension for 8</w:t>
      </w:r>
      <w:r w:rsidR="002F3438">
        <w:rPr>
          <w:rFonts w:ascii="Times New Roman" w:hAnsi="Times New Roman"/>
          <w:sz w:val="24"/>
          <w:szCs w:val="24"/>
        </w:rPr>
        <w:t xml:space="preserve"> </w:t>
      </w:r>
      <w:r w:rsidR="002F3438" w:rsidRPr="008C71E8">
        <w:rPr>
          <w:rFonts w:ascii="Times New Roman" w:hAnsi="Times New Roman"/>
          <w:sz w:val="24"/>
          <w:szCs w:val="24"/>
        </w:rPr>
        <w:t>min at 72°C.</w:t>
      </w:r>
      <w:r w:rsidR="002F3438">
        <w:rPr>
          <w:rFonts w:ascii="Times New Roman" w:hAnsi="Times New Roman"/>
          <w:sz w:val="24"/>
          <w:szCs w:val="24"/>
        </w:rPr>
        <w:t xml:space="preserve"> </w:t>
      </w:r>
      <w:r w:rsidR="002F3438" w:rsidRPr="00B659D3">
        <w:rPr>
          <w:rFonts w:ascii="Times New Roman" w:hAnsi="Times New Roman"/>
          <w:sz w:val="24"/>
          <w:szCs w:val="24"/>
        </w:rPr>
        <w:t xml:space="preserve">All host PCR products </w:t>
      </w:r>
      <w:proofErr w:type="gramStart"/>
      <w:r w:rsidR="002F3438" w:rsidRPr="00B659D3">
        <w:rPr>
          <w:rFonts w:ascii="Times New Roman" w:hAnsi="Times New Roman"/>
          <w:sz w:val="24"/>
          <w:szCs w:val="24"/>
        </w:rPr>
        <w:t>were purified</w:t>
      </w:r>
      <w:proofErr w:type="gramEnd"/>
      <w:r w:rsidR="002F3438" w:rsidRPr="00B659D3">
        <w:rPr>
          <w:rFonts w:ascii="Times New Roman" w:hAnsi="Times New Roman"/>
          <w:sz w:val="24"/>
          <w:szCs w:val="24"/>
        </w:rPr>
        <w:t xml:space="preserve"> using </w:t>
      </w:r>
      <w:proofErr w:type="spellStart"/>
      <w:r w:rsidR="002F3438" w:rsidRPr="00B659D3">
        <w:rPr>
          <w:rFonts w:ascii="Times New Roman" w:hAnsi="Times New Roman"/>
          <w:sz w:val="24"/>
          <w:szCs w:val="24"/>
        </w:rPr>
        <w:t>QIAquic</w:t>
      </w:r>
      <w:r w:rsidR="001A4ECB">
        <w:rPr>
          <w:rFonts w:ascii="Times New Roman" w:hAnsi="Times New Roman"/>
          <w:sz w:val="24"/>
          <w:szCs w:val="24"/>
        </w:rPr>
        <w:t>k</w:t>
      </w:r>
      <w:proofErr w:type="spellEnd"/>
      <w:r w:rsidR="001A4ECB">
        <w:rPr>
          <w:rFonts w:ascii="Times New Roman" w:hAnsi="Times New Roman"/>
          <w:sz w:val="24"/>
          <w:szCs w:val="24"/>
        </w:rPr>
        <w:t xml:space="preserve"> gel extraction kits (</w:t>
      </w:r>
      <w:proofErr w:type="spellStart"/>
      <w:r w:rsidR="001A4ECB">
        <w:rPr>
          <w:rFonts w:ascii="Times New Roman" w:hAnsi="Times New Roman"/>
          <w:sz w:val="24"/>
          <w:szCs w:val="24"/>
        </w:rPr>
        <w:t>Qiagen</w:t>
      </w:r>
      <w:proofErr w:type="spellEnd"/>
      <w:r w:rsidR="001A4ECB">
        <w:rPr>
          <w:rFonts w:ascii="Times New Roman" w:hAnsi="Times New Roman"/>
          <w:sz w:val="24"/>
          <w:szCs w:val="24"/>
        </w:rPr>
        <w:t>).</w:t>
      </w:r>
    </w:p>
    <w:p w:rsidR="002F3438" w:rsidRDefault="002F3438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F3438" w:rsidRDefault="002F3438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438">
        <w:rPr>
          <w:rFonts w:ascii="Times New Roman" w:hAnsi="Times New Roman"/>
          <w:i/>
          <w:sz w:val="24"/>
          <w:szCs w:val="24"/>
        </w:rPr>
        <w:t>Posthodiplostomum</w:t>
      </w:r>
      <w:proofErr w:type="spellEnd"/>
      <w:r>
        <w:rPr>
          <w:rFonts w:ascii="Times New Roman" w:hAnsi="Times New Roman"/>
          <w:sz w:val="24"/>
          <w:szCs w:val="24"/>
        </w:rPr>
        <w:t xml:space="preserve"> COI and ITS1 Amplification</w:t>
      </w:r>
    </w:p>
    <w:p w:rsidR="002F3438" w:rsidRDefault="002F3438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COI </w:t>
      </w:r>
      <w:r w:rsidRPr="008C71E8">
        <w:rPr>
          <w:rFonts w:ascii="Times New Roman" w:hAnsi="Times New Roman"/>
          <w:sz w:val="24"/>
          <w:szCs w:val="24"/>
        </w:rPr>
        <w:t>PCR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1E8">
        <w:rPr>
          <w:rFonts w:ascii="Times New Roman" w:hAnsi="Times New Roman"/>
          <w:sz w:val="24"/>
          <w:szCs w:val="24"/>
        </w:rPr>
        <w:t xml:space="preserve">reactions </w:t>
      </w:r>
      <w:r>
        <w:rPr>
          <w:rFonts w:ascii="Times New Roman" w:hAnsi="Times New Roman"/>
          <w:sz w:val="24"/>
          <w:szCs w:val="24"/>
        </w:rPr>
        <w:t xml:space="preserve">were as described for fish hosts and </w:t>
      </w:r>
      <w:r w:rsidRPr="008C71E8">
        <w:rPr>
          <w:rFonts w:ascii="Times New Roman" w:hAnsi="Times New Roman"/>
          <w:sz w:val="24"/>
          <w:szCs w:val="24"/>
        </w:rPr>
        <w:t>amplification consisted of 2 min at 94°C, followed by 35 cycles of 30 sec at 94°C, 30 sec at 42°C and 1 min at 72°C and a final extension for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1E8">
        <w:rPr>
          <w:rFonts w:ascii="Times New Roman" w:hAnsi="Times New Roman"/>
          <w:sz w:val="24"/>
          <w:szCs w:val="24"/>
        </w:rPr>
        <w:t>min at 72°C.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46C">
        <w:rPr>
          <w:rFonts w:ascii="Times New Roman" w:hAnsi="Times New Roman"/>
          <w:sz w:val="24"/>
          <w:szCs w:val="24"/>
        </w:rPr>
        <w:t>PCR conditions for the ITS1 region were as described for COI, except for a 50°C annealing t</w:t>
      </w:r>
      <w:r>
        <w:rPr>
          <w:rFonts w:ascii="Times New Roman" w:hAnsi="Times New Roman"/>
          <w:sz w:val="24"/>
          <w:szCs w:val="24"/>
        </w:rPr>
        <w:t>emperature, using 40 cycles</w:t>
      </w:r>
      <w:r w:rsidRPr="004D3B71">
        <w:rPr>
          <w:rFonts w:ascii="Times New Roman" w:hAnsi="Times New Roman"/>
          <w:sz w:val="24"/>
          <w:szCs w:val="24"/>
        </w:rPr>
        <w:t>. COI and ITS1</w:t>
      </w:r>
      <w:r w:rsidR="001A4ECB">
        <w:rPr>
          <w:rFonts w:ascii="Times New Roman" w:hAnsi="Times New Roman"/>
          <w:sz w:val="24"/>
          <w:szCs w:val="24"/>
        </w:rPr>
        <w:t>.</w:t>
      </w:r>
      <w:r w:rsidRPr="004D3B71">
        <w:rPr>
          <w:rFonts w:ascii="Times New Roman" w:hAnsi="Times New Roman"/>
          <w:sz w:val="24"/>
          <w:szCs w:val="24"/>
        </w:rPr>
        <w:t xml:space="preserve"> PCR products </w:t>
      </w:r>
      <w:proofErr w:type="gramStart"/>
      <w:r w:rsidRPr="004D3B71">
        <w:rPr>
          <w:rFonts w:ascii="Times New Roman" w:hAnsi="Times New Roman"/>
          <w:sz w:val="24"/>
          <w:szCs w:val="24"/>
        </w:rPr>
        <w:t>were purified and sequenced as described for fish hosts</w:t>
      </w:r>
      <w:proofErr w:type="gramEnd"/>
      <w:r w:rsidRPr="004D3B71">
        <w:rPr>
          <w:rFonts w:ascii="Times New Roman" w:hAnsi="Times New Roman"/>
          <w:sz w:val="24"/>
          <w:szCs w:val="24"/>
        </w:rPr>
        <w:t>.</w:t>
      </w:r>
    </w:p>
    <w:p w:rsidR="00491B15" w:rsidRDefault="00491B15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91B15" w:rsidRDefault="00491B15" w:rsidP="002F343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Bayesian Analyses</w:t>
      </w:r>
    </w:p>
    <w:p w:rsidR="00491B15" w:rsidRDefault="00491B15" w:rsidP="00491B1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COI and ITS1 </w:t>
      </w:r>
      <w:r w:rsidRPr="004D3B71">
        <w:rPr>
          <w:rFonts w:ascii="Times New Roman" w:hAnsi="Times New Roman"/>
          <w:sz w:val="24"/>
          <w:szCs w:val="24"/>
        </w:rPr>
        <w:t xml:space="preserve">analyses sampled across GTR model space during the MCMC analysis by setting </w:t>
      </w:r>
      <w:proofErr w:type="spellStart"/>
      <w:r w:rsidRPr="004D3B71">
        <w:rPr>
          <w:rFonts w:ascii="Times New Roman" w:hAnsi="Times New Roman"/>
          <w:sz w:val="24"/>
          <w:szCs w:val="24"/>
        </w:rPr>
        <w:t>nst</w:t>
      </w:r>
      <w:proofErr w:type="spellEnd"/>
      <w:r w:rsidRPr="004D3B71">
        <w:rPr>
          <w:rFonts w:ascii="Times New Roman" w:hAnsi="Times New Roman"/>
          <w:sz w:val="24"/>
          <w:szCs w:val="24"/>
        </w:rPr>
        <w:t xml:space="preserve">=mixed and rates=gamma. MCMC searches utilized three heated chains and were run for </w:t>
      </w:r>
      <w:r w:rsidRPr="004D3B71">
        <w:rPr>
          <w:rFonts w:ascii="Times New Roman" w:hAnsi="Times New Roman"/>
          <w:sz w:val="24"/>
          <w:szCs w:val="24"/>
        </w:rPr>
        <w:lastRenderedPageBreak/>
        <w:t>5,000,000 (COI) and 1,000,000 (ITS1) generations with sampling every 500 (COI) and 100 (ITS1) generations.</w:t>
      </w:r>
    </w:p>
    <w:p w:rsidR="007D0252" w:rsidRDefault="007D0252" w:rsidP="00491B1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91B15" w:rsidRDefault="00491B15" w:rsidP="00491B1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Likelihood Analyses</w:t>
      </w:r>
    </w:p>
    <w:p w:rsidR="00491B15" w:rsidRDefault="00491B15" w:rsidP="00491B1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Maximum Likelihood analyses</w:t>
      </w:r>
      <w:r w:rsidRPr="004D3B71">
        <w:rPr>
          <w:rFonts w:ascii="Times New Roman" w:hAnsi="Times New Roman"/>
          <w:sz w:val="24"/>
          <w:szCs w:val="24"/>
        </w:rPr>
        <w:t xml:space="preserve"> incorporated the HKY+G (gamma shape parameter = 0.214) and K2P models of sequence evolution for COI and ITS1, respectively, as selected by the Bayesian information criterion (BIC) of MEGA7.</w:t>
      </w:r>
    </w:p>
    <w:p w:rsidR="00491B15" w:rsidRDefault="00491B15" w:rsidP="00491B1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91B15" w:rsidRDefault="00491B15" w:rsidP="00491B1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and Outgroup Information for Phylogenetic Analyses</w:t>
      </w:r>
      <w:bookmarkStart w:id="0" w:name="_GoBack"/>
      <w:bookmarkEnd w:id="0"/>
    </w:p>
    <w:p w:rsidR="00491B15" w:rsidRDefault="00491B15" w:rsidP="00491B1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Phylogenetic analyses included </w:t>
      </w:r>
      <w:proofErr w:type="spellStart"/>
      <w:r w:rsidRPr="0027744F">
        <w:rPr>
          <w:rFonts w:ascii="Times New Roman" w:hAnsi="Times New Roman"/>
          <w:i/>
          <w:sz w:val="24"/>
          <w:szCs w:val="24"/>
        </w:rPr>
        <w:t>Posthodiplostomum</w:t>
      </w:r>
      <w:proofErr w:type="spellEnd"/>
      <w:r>
        <w:rPr>
          <w:rFonts w:ascii="Times New Roman" w:hAnsi="Times New Roman"/>
          <w:sz w:val="24"/>
          <w:szCs w:val="24"/>
        </w:rPr>
        <w:t xml:space="preserve"> sp. 3 (</w:t>
      </w: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Accession #s HM064800.1 &amp; HM064951.1 for COI and ITS1, respectively), </w:t>
      </w:r>
      <w:proofErr w:type="spellStart"/>
      <w:r w:rsidRPr="0027744F">
        <w:rPr>
          <w:rFonts w:ascii="Times New Roman" w:hAnsi="Times New Roman"/>
          <w:i/>
          <w:sz w:val="24"/>
          <w:szCs w:val="24"/>
        </w:rPr>
        <w:t>Posthodiplostomum</w:t>
      </w:r>
      <w:proofErr w:type="spellEnd"/>
      <w:r>
        <w:rPr>
          <w:rFonts w:ascii="Times New Roman" w:hAnsi="Times New Roman"/>
          <w:sz w:val="24"/>
          <w:szCs w:val="24"/>
        </w:rPr>
        <w:t xml:space="preserve"> sp. 8 (</w:t>
      </w: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Accession #s HM064876.1 &amp; HM064962.1 for COI and ITS1, respectively), and </w:t>
      </w:r>
      <w:proofErr w:type="spellStart"/>
      <w:r w:rsidRPr="0027744F">
        <w:rPr>
          <w:rFonts w:ascii="Times New Roman" w:hAnsi="Times New Roman"/>
          <w:i/>
          <w:sz w:val="24"/>
          <w:szCs w:val="24"/>
        </w:rPr>
        <w:t>Posthodiplostomum</w:t>
      </w:r>
      <w:proofErr w:type="spellEnd"/>
      <w:r>
        <w:rPr>
          <w:rFonts w:ascii="Times New Roman" w:hAnsi="Times New Roman"/>
          <w:sz w:val="24"/>
          <w:szCs w:val="24"/>
        </w:rPr>
        <w:t xml:space="preserve"> sp. 2 (</w:t>
      </w: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Accession # HM064797.1 was used for COI, but sequences of this species were not available for ITS1). Sequences from </w:t>
      </w:r>
      <w:proofErr w:type="spellStart"/>
      <w:r w:rsidRPr="00736118">
        <w:rPr>
          <w:rFonts w:ascii="Times New Roman" w:hAnsi="Times New Roman"/>
          <w:i/>
          <w:sz w:val="24"/>
          <w:szCs w:val="24"/>
        </w:rPr>
        <w:t>Diplostomum</w:t>
      </w:r>
      <w:proofErr w:type="spellEnd"/>
      <w:r>
        <w:rPr>
          <w:rFonts w:ascii="Times New Roman" w:hAnsi="Times New Roman"/>
          <w:sz w:val="24"/>
          <w:szCs w:val="24"/>
        </w:rPr>
        <w:t xml:space="preserve"> sp. 15 (</w:t>
      </w: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Accession # </w:t>
      </w:r>
      <w:r w:rsidRPr="00D027E0">
        <w:rPr>
          <w:rFonts w:ascii="Times New Roman" w:hAnsi="Times New Roman"/>
          <w:sz w:val="24"/>
          <w:szCs w:val="24"/>
        </w:rPr>
        <w:t>KR271125.1</w:t>
      </w:r>
      <w:r>
        <w:rPr>
          <w:rFonts w:ascii="Times New Roman" w:hAnsi="Times New Roman"/>
          <w:sz w:val="24"/>
          <w:szCs w:val="24"/>
        </w:rPr>
        <w:t xml:space="preserve">) and </w:t>
      </w:r>
      <w:proofErr w:type="spellStart"/>
      <w:r w:rsidRPr="00736118">
        <w:rPr>
          <w:rFonts w:ascii="Times New Roman" w:hAnsi="Times New Roman"/>
          <w:i/>
          <w:sz w:val="24"/>
          <w:szCs w:val="24"/>
        </w:rPr>
        <w:t>Diplostomum</w:t>
      </w:r>
      <w:proofErr w:type="spellEnd"/>
      <w:r>
        <w:rPr>
          <w:rFonts w:ascii="Times New Roman" w:hAnsi="Times New Roman"/>
          <w:sz w:val="24"/>
          <w:szCs w:val="24"/>
        </w:rPr>
        <w:t xml:space="preserve"> sp. 6 (</w:t>
      </w: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Accession # </w:t>
      </w:r>
      <w:r w:rsidRPr="00D027E0">
        <w:rPr>
          <w:rFonts w:ascii="Times New Roman" w:hAnsi="Times New Roman"/>
          <w:sz w:val="24"/>
          <w:szCs w:val="24"/>
        </w:rPr>
        <w:t>KX037901.1</w:t>
      </w:r>
      <w:r>
        <w:rPr>
          <w:rFonts w:ascii="Times New Roman" w:hAnsi="Times New Roman"/>
          <w:sz w:val="24"/>
          <w:szCs w:val="24"/>
        </w:rPr>
        <w:t xml:space="preserve">) were used as outgroups for COI analyses and sequences from </w:t>
      </w:r>
      <w:proofErr w:type="spellStart"/>
      <w:r w:rsidRPr="00736118">
        <w:rPr>
          <w:rFonts w:ascii="Times New Roman" w:hAnsi="Times New Roman"/>
          <w:i/>
          <w:sz w:val="24"/>
          <w:szCs w:val="24"/>
        </w:rPr>
        <w:t>Diplostomum</w:t>
      </w:r>
      <w:proofErr w:type="spellEnd"/>
      <w:r w:rsidRPr="007361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6118">
        <w:rPr>
          <w:rFonts w:ascii="Times New Roman" w:hAnsi="Times New Roman"/>
          <w:i/>
          <w:sz w:val="24"/>
          <w:szCs w:val="24"/>
        </w:rPr>
        <w:t>baeri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Accession # </w:t>
      </w:r>
      <w:r w:rsidRPr="001271D3">
        <w:rPr>
          <w:rFonts w:ascii="Times New Roman" w:hAnsi="Times New Roman"/>
          <w:sz w:val="24"/>
          <w:szCs w:val="24"/>
        </w:rPr>
        <w:t>AY123042.1</w:t>
      </w:r>
      <w:r>
        <w:rPr>
          <w:rFonts w:ascii="Times New Roman" w:hAnsi="Times New Roman"/>
          <w:sz w:val="24"/>
          <w:szCs w:val="24"/>
        </w:rPr>
        <w:t xml:space="preserve">) and </w:t>
      </w:r>
      <w:proofErr w:type="spellStart"/>
      <w:r w:rsidRPr="00736118">
        <w:rPr>
          <w:rFonts w:ascii="Times New Roman" w:hAnsi="Times New Roman"/>
          <w:i/>
          <w:sz w:val="24"/>
          <w:szCs w:val="24"/>
        </w:rPr>
        <w:t>Diplostomum</w:t>
      </w:r>
      <w:proofErr w:type="spellEnd"/>
      <w:r w:rsidRPr="007361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6118">
        <w:rPr>
          <w:rFonts w:ascii="Times New Roman" w:hAnsi="Times New Roman"/>
          <w:i/>
          <w:sz w:val="24"/>
          <w:szCs w:val="24"/>
        </w:rPr>
        <w:t>huronense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GenBank</w:t>
      </w:r>
      <w:proofErr w:type="spellEnd"/>
      <w:r>
        <w:rPr>
          <w:rFonts w:ascii="Times New Roman" w:hAnsi="Times New Roman"/>
          <w:sz w:val="24"/>
          <w:szCs w:val="24"/>
        </w:rPr>
        <w:t xml:space="preserve"> Accession # </w:t>
      </w:r>
      <w:r w:rsidRPr="001271D3">
        <w:rPr>
          <w:rFonts w:ascii="Times New Roman" w:hAnsi="Times New Roman"/>
          <w:sz w:val="24"/>
          <w:szCs w:val="24"/>
        </w:rPr>
        <w:t>AY123044.1</w:t>
      </w:r>
      <w:r>
        <w:rPr>
          <w:rFonts w:ascii="Times New Roman" w:hAnsi="Times New Roman"/>
          <w:sz w:val="24"/>
          <w:szCs w:val="24"/>
        </w:rPr>
        <w:t>) were used as outgroups for ITS1 analyses.</w:t>
      </w:r>
    </w:p>
    <w:p w:rsidR="002F3438" w:rsidRPr="00DC38E6" w:rsidRDefault="002F3438" w:rsidP="002F34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sectPr w:rsidR="002F3438" w:rsidRPr="00DC3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6"/>
    <w:rsid w:val="00127883"/>
    <w:rsid w:val="00132C88"/>
    <w:rsid w:val="001A4ECB"/>
    <w:rsid w:val="00253115"/>
    <w:rsid w:val="002F3438"/>
    <w:rsid w:val="00491B15"/>
    <w:rsid w:val="007D0252"/>
    <w:rsid w:val="00A630CF"/>
    <w:rsid w:val="00DC38E6"/>
    <w:rsid w:val="00E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D3FE"/>
  <w15:chartTrackingRefBased/>
  <w15:docId w15:val="{35A857C8-3C07-4E31-9031-E88B396D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Moyne College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 Keeney</dc:creator>
  <cp:keywords/>
  <dc:description/>
  <cp:lastModifiedBy>Devon B Keeney</cp:lastModifiedBy>
  <cp:revision>5</cp:revision>
  <dcterms:created xsi:type="dcterms:W3CDTF">2018-01-25T20:34:00Z</dcterms:created>
  <dcterms:modified xsi:type="dcterms:W3CDTF">2018-01-26T19:18:00Z</dcterms:modified>
</cp:coreProperties>
</file>