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FA8" w:rsidRPr="00134FA8" w:rsidRDefault="00134FA8" w:rsidP="00134FA8">
      <w:pPr>
        <w:widowControl w:val="0"/>
        <w:spacing w:after="200" w:line="480" w:lineRule="auto"/>
        <w:ind w:right="-306"/>
        <w:rPr>
          <w:rFonts w:ascii="Arial" w:hAnsi="Arial" w:cs="Arial"/>
          <w:b/>
          <w:bCs/>
          <w:sz w:val="24"/>
          <w:szCs w:val="24"/>
        </w:rPr>
      </w:pPr>
      <w:r w:rsidRPr="00134FA8">
        <w:rPr>
          <w:rFonts w:ascii="Arial" w:hAnsi="Arial" w:cs="Arial"/>
          <w:b/>
          <w:bCs/>
          <w:sz w:val="24"/>
          <w:szCs w:val="24"/>
        </w:rPr>
        <w:t>SUPPLEMENTAL MATERIALS</w:t>
      </w:r>
    </w:p>
    <w:p w:rsidR="00134FA8" w:rsidRPr="00134FA8" w:rsidRDefault="00134FA8" w:rsidP="00134FA8">
      <w:pPr>
        <w:widowControl w:val="0"/>
        <w:spacing w:after="0" w:line="480" w:lineRule="auto"/>
        <w:ind w:right="-612"/>
        <w:rPr>
          <w:rFonts w:ascii="Arial" w:hAnsi="Arial" w:cs="Arial"/>
          <w:sz w:val="24"/>
          <w:szCs w:val="24"/>
          <w:vertAlign w:val="superscript"/>
        </w:rPr>
      </w:pPr>
      <w:bookmarkStart w:id="0" w:name="_GoBack"/>
      <w:bookmarkEnd w:id="0"/>
      <w:r w:rsidRPr="00134FA8">
        <w:rPr>
          <w:rFonts w:ascii="Arial" w:hAnsi="Arial" w:cs="Arial"/>
          <w:b/>
          <w:sz w:val="24"/>
          <w:szCs w:val="24"/>
        </w:rPr>
        <w:t>Table S1.</w:t>
      </w:r>
      <w:r w:rsidRPr="00134FA8">
        <w:rPr>
          <w:rFonts w:ascii="Arial" w:hAnsi="Arial" w:cs="Arial"/>
          <w:sz w:val="24"/>
          <w:szCs w:val="24"/>
        </w:rPr>
        <w:t xml:space="preserve">  Numbers and percentages of pro- and anti-apoptosis genes that were up-regulated and down-regulated in THP-1 macrophages incubated with live or dead microsporidia.</w:t>
      </w:r>
      <w:r w:rsidRPr="00134FA8">
        <w:rPr>
          <w:rFonts w:ascii="Arial" w:hAnsi="Arial" w:cs="Arial"/>
          <w:sz w:val="24"/>
          <w:szCs w:val="24"/>
          <w:vertAlign w:val="superscript"/>
        </w:rPr>
        <w:t>a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320"/>
        <w:gridCol w:w="1531"/>
        <w:gridCol w:w="266"/>
        <w:gridCol w:w="1710"/>
        <w:gridCol w:w="1871"/>
        <w:gridCol w:w="266"/>
        <w:gridCol w:w="1832"/>
      </w:tblGrid>
      <w:tr w:rsidR="00134FA8" w:rsidRPr="00134FA8" w:rsidTr="00135909">
        <w:trPr>
          <w:trHeight w:val="310"/>
        </w:trPr>
        <w:tc>
          <w:tcPr>
            <w:tcW w:w="23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THP-1 treatment and  replicate number</w:t>
            </w:r>
          </w:p>
        </w:tc>
        <w:tc>
          <w:tcPr>
            <w:tcW w:w="3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 xml:space="preserve">Pro-Apoptosis Genes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Anti-Apoptosis Genes</w:t>
            </w:r>
          </w:p>
        </w:tc>
      </w:tr>
      <w:tr w:rsidR="00134FA8" w:rsidRPr="00134FA8" w:rsidTr="00135909">
        <w:trPr>
          <w:trHeight w:val="600"/>
        </w:trPr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Number of genes (percent of up- vs down-regulated genes)</w:t>
            </w:r>
          </w:p>
        </w:tc>
        <w:tc>
          <w:tcPr>
            <w:tcW w:w="3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Number of genes (percent of up- vs down-regulated genes)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Up-regulated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 xml:space="preserve">Down regulated 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Up-regulated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Down-regulated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ind w:right="-213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</w:rPr>
            </w:pPr>
          </w:p>
          <w:p w:rsidR="00134FA8" w:rsidRPr="00134FA8" w:rsidRDefault="00134FA8" w:rsidP="00134FA8">
            <w:pPr>
              <w:spacing w:after="0" w:line="480" w:lineRule="auto"/>
              <w:ind w:right="-213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i/>
                <w:iCs/>
                <w:color w:val="000000"/>
              </w:rPr>
              <w:t xml:space="preserve">E. cuniculi </w:t>
            </w:r>
            <w:r w:rsidRPr="00134FA8">
              <w:rPr>
                <w:rFonts w:ascii="Arial" w:eastAsia="Times New Roman" w:hAnsi="Arial" w:cs="Arial"/>
                <w:b/>
                <w:color w:val="000000"/>
              </w:rPr>
              <w:t xml:space="preserve">- dead 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42 (93.3)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 (6.7)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4 (21.1)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15 (78.9)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44 (93.6)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 (6.7)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9 (42.9)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12 (57.1)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44 (93.6)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 (6.7)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9 (42.9)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12 (57.1)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mean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43.3 (93.5)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3 (6.7)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7 (36.1)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13 (63.9)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</w:rPr>
            </w:pPr>
          </w:p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i/>
                <w:iCs/>
                <w:color w:val="000000"/>
              </w:rPr>
              <w:t>E. cuniculi</w:t>
            </w:r>
            <w:r w:rsidRPr="00134FA8">
              <w:rPr>
                <w:rFonts w:ascii="Arial" w:eastAsia="Times New Roman" w:hAnsi="Arial" w:cs="Arial"/>
                <w:b/>
                <w:color w:val="000000"/>
              </w:rPr>
              <w:t xml:space="preserve"> - live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7 (14)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40 (85.1)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11 (52.4)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10 (47.6)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19 (39.6)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29 (60.4)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17 (81)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4 (19)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13 (27.7)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34 (72.3)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15 (75)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5 (25)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mean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13 (27.5)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34 (72.5)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14 (69.4)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6 (30.6)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</w:rPr>
            </w:pPr>
          </w:p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i/>
                <w:iCs/>
                <w:color w:val="000000"/>
              </w:rPr>
              <w:lastRenderedPageBreak/>
              <w:t>V. corneae</w:t>
            </w:r>
            <w:r w:rsidRPr="00134FA8">
              <w:rPr>
                <w:rFonts w:ascii="Arial" w:eastAsia="Times New Roman" w:hAnsi="Arial" w:cs="Arial"/>
                <w:b/>
                <w:color w:val="000000"/>
              </w:rPr>
              <w:t xml:space="preserve"> - dead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16 (37.2)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27 (62.8)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8 (40)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12 (60)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23 (47.9)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25 (52.1)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10 (50)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10 (50)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26 (60.5)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17 (39.5)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10 (62.5)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6 (37.5)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mean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22 (48.5)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23 (51.5)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9 (50)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9 (50)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</w:rPr>
            </w:pPr>
          </w:p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i/>
                <w:iCs/>
                <w:color w:val="000000"/>
              </w:rPr>
              <w:t xml:space="preserve">V. corneae </w:t>
            </w:r>
            <w:r w:rsidRPr="00134FA8">
              <w:rPr>
                <w:rFonts w:ascii="Arial" w:eastAsia="Times New Roman" w:hAnsi="Arial" w:cs="Arial"/>
                <w:b/>
                <w:color w:val="000000"/>
              </w:rPr>
              <w:t xml:space="preserve">- live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14 (31.1)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31 (68.9)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8 (40)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12 (60)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20 (43.5)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26 (56.5)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10 (52.6)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9 (47.4)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31 (67.4)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15 (32.6)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14 (73.7)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134FA8">
              <w:rPr>
                <w:rFonts w:ascii="Arial" w:eastAsia="Times New Roman" w:hAnsi="Arial" w:cs="Arial"/>
                <w:bCs/>
                <w:color w:val="000000"/>
              </w:rPr>
              <w:t>5 (26.3)</w:t>
            </w:r>
          </w:p>
        </w:tc>
      </w:tr>
      <w:tr w:rsidR="00134FA8" w:rsidRPr="00134FA8" w:rsidTr="00135909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mean</w:t>
            </w: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22 (47.4)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24 (52.6)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11 (55.2)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4FA8" w:rsidRPr="00134FA8" w:rsidRDefault="00134FA8" w:rsidP="00134FA8">
            <w:pPr>
              <w:spacing w:after="0" w:line="48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134FA8">
              <w:rPr>
                <w:rFonts w:ascii="Arial" w:eastAsia="Times New Roman" w:hAnsi="Arial" w:cs="Arial"/>
                <w:b/>
                <w:color w:val="000000"/>
              </w:rPr>
              <w:t>9 (44.8)</w:t>
            </w:r>
          </w:p>
        </w:tc>
      </w:tr>
    </w:tbl>
    <w:p w:rsidR="00134FA8" w:rsidRPr="00134FA8" w:rsidRDefault="00134FA8" w:rsidP="00134FA8">
      <w:pPr>
        <w:spacing w:after="0" w:line="480" w:lineRule="auto"/>
        <w:ind w:right="-613"/>
        <w:rPr>
          <w:rFonts w:ascii="Arial" w:eastAsia="Times New Roman" w:hAnsi="Arial" w:cs="Arial"/>
          <w:bCs/>
          <w:color w:val="000000"/>
        </w:rPr>
      </w:pPr>
    </w:p>
    <w:p w:rsidR="00134FA8" w:rsidRPr="00134FA8" w:rsidRDefault="00134FA8" w:rsidP="00134FA8">
      <w:pPr>
        <w:spacing w:after="0" w:line="480" w:lineRule="auto"/>
        <w:ind w:right="-613"/>
        <w:rPr>
          <w:rFonts w:ascii="Arial" w:hAnsi="Arial" w:cs="Arial"/>
        </w:rPr>
      </w:pPr>
      <w:r w:rsidRPr="00134FA8">
        <w:rPr>
          <w:rFonts w:ascii="Arial" w:eastAsia="Times New Roman" w:hAnsi="Arial" w:cs="Arial"/>
          <w:bCs/>
          <w:color w:val="000000"/>
          <w:vertAlign w:val="superscript"/>
        </w:rPr>
        <w:t xml:space="preserve">a </w:t>
      </w:r>
      <w:r w:rsidRPr="00134FA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The apoptosis RT</w:t>
      </w:r>
      <w:r w:rsidRPr="00134FA8">
        <w:rPr>
          <w:rFonts w:ascii="Arial" w:eastAsia="Times New Roman" w:hAnsi="Arial" w:cs="Arial"/>
          <w:bCs/>
          <w:color w:val="000000"/>
          <w:sz w:val="24"/>
          <w:szCs w:val="24"/>
          <w:vertAlign w:val="superscript"/>
        </w:rPr>
        <w:t>2</w:t>
      </w:r>
      <w:r w:rsidRPr="00134FA8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Profiler PCR Array kit was used to assay gene expression of treated THP-1 compared to medium-treated controls. Genes that increased or decreased at least 2-fold relative to medium-treated macrophages were included. Gene expression was normalized against beta-2 microglobulin that was expressed at the same levels in treated and untreated samples. Number of pro-apoptosis genes = 47. Number of anti-apoptosis genes = 21.  Number of apoptosis regulatory genes = 15</w:t>
      </w:r>
      <w:r w:rsidRPr="00134FA8">
        <w:rPr>
          <w:rFonts w:ascii="Arial" w:hAnsi="Arial" w:cs="Arial"/>
        </w:rPr>
        <w:br w:type="page"/>
      </w:r>
    </w:p>
    <w:p w:rsidR="00134FA8" w:rsidRPr="00134FA8" w:rsidRDefault="00134FA8" w:rsidP="00134FA8">
      <w:pPr>
        <w:tabs>
          <w:tab w:val="left" w:pos="360"/>
        </w:tabs>
        <w:spacing w:after="0" w:line="480" w:lineRule="auto"/>
        <w:ind w:right="-23"/>
        <w:rPr>
          <w:rFonts w:ascii="Arial" w:hAnsi="Arial" w:cs="Arial"/>
          <w:bCs/>
          <w:sz w:val="24"/>
          <w:szCs w:val="24"/>
        </w:rPr>
      </w:pPr>
      <w:r w:rsidRPr="00134FA8">
        <w:rPr>
          <w:rFonts w:ascii="Arial" w:hAnsi="Arial" w:cs="Arial"/>
          <w:b/>
          <w:bCs/>
          <w:sz w:val="24"/>
          <w:szCs w:val="24"/>
        </w:rPr>
        <w:lastRenderedPageBreak/>
        <w:t>Table S2.</w:t>
      </w:r>
      <w:r w:rsidRPr="00134FA8">
        <w:rPr>
          <w:rFonts w:ascii="Arial" w:hAnsi="Arial" w:cs="Arial"/>
          <w:bCs/>
          <w:sz w:val="24"/>
          <w:szCs w:val="24"/>
        </w:rPr>
        <w:t xml:space="preserve">  Mean expression levels of apoptosis-related genes by THP-1 macrophages cultured with live or dead </w:t>
      </w:r>
      <w:r w:rsidRPr="00134FA8">
        <w:rPr>
          <w:rFonts w:ascii="Arial" w:hAnsi="Arial" w:cs="Arial"/>
          <w:bCs/>
          <w:i/>
          <w:sz w:val="24"/>
          <w:szCs w:val="24"/>
        </w:rPr>
        <w:t>E. cuniculi</w:t>
      </w:r>
      <w:r w:rsidRPr="00134FA8">
        <w:rPr>
          <w:rFonts w:ascii="Arial" w:hAnsi="Arial" w:cs="Arial"/>
          <w:bCs/>
          <w:sz w:val="24"/>
          <w:szCs w:val="24"/>
        </w:rPr>
        <w:t xml:space="preserve"> or </w:t>
      </w:r>
      <w:r w:rsidRPr="00134FA8">
        <w:rPr>
          <w:rFonts w:ascii="Arial" w:hAnsi="Arial" w:cs="Arial"/>
          <w:bCs/>
          <w:i/>
          <w:sz w:val="24"/>
          <w:szCs w:val="24"/>
        </w:rPr>
        <w:t>V. corneae</w:t>
      </w:r>
      <w:r w:rsidRPr="00134FA8">
        <w:rPr>
          <w:rFonts w:ascii="Arial" w:hAnsi="Arial" w:cs="Arial"/>
          <w:bCs/>
          <w:sz w:val="24"/>
          <w:szCs w:val="24"/>
        </w:rPr>
        <w:t xml:space="preserve"> spores.   </w:t>
      </w:r>
    </w:p>
    <w:p w:rsidR="00134FA8" w:rsidRPr="00134FA8" w:rsidRDefault="00134FA8" w:rsidP="00134FA8">
      <w:pPr>
        <w:tabs>
          <w:tab w:val="left" w:pos="360"/>
        </w:tabs>
        <w:spacing w:after="0" w:line="480" w:lineRule="auto"/>
        <w:ind w:right="-22"/>
        <w:rPr>
          <w:rFonts w:ascii="Arial" w:hAnsi="Arial" w:cs="Arial"/>
          <w:bCs/>
        </w:rPr>
      </w:pPr>
    </w:p>
    <w:tbl>
      <w:tblPr>
        <w:tblStyle w:val="TableGrid"/>
        <w:tblW w:w="104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63"/>
        <w:gridCol w:w="5040"/>
        <w:gridCol w:w="1068"/>
        <w:gridCol w:w="1092"/>
        <w:gridCol w:w="900"/>
        <w:gridCol w:w="1080"/>
      </w:tblGrid>
      <w:tr w:rsidR="00134FA8" w:rsidRPr="00134FA8" w:rsidTr="00135909">
        <w:trPr>
          <w:trHeight w:val="375"/>
        </w:trPr>
        <w:tc>
          <w:tcPr>
            <w:tcW w:w="1263" w:type="dxa"/>
            <w:vMerge w:val="restart"/>
            <w:vAlign w:val="center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134FA8">
              <w:rPr>
                <w:rFonts w:ascii="Times New Roman" w:hAnsi="Times New Roman" w:cs="Arial"/>
                <w:b/>
                <w:sz w:val="24"/>
                <w:szCs w:val="24"/>
              </w:rPr>
              <w:t>Gene Name</w:t>
            </w:r>
          </w:p>
        </w:tc>
        <w:tc>
          <w:tcPr>
            <w:tcW w:w="5040" w:type="dxa"/>
            <w:vMerge w:val="restart"/>
            <w:vAlign w:val="center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134FA8">
              <w:rPr>
                <w:rFonts w:ascii="Times New Roman" w:hAnsi="Times New Roman" w:cs="Arial"/>
                <w:b/>
                <w:sz w:val="24"/>
                <w:szCs w:val="24"/>
              </w:rPr>
              <w:t>Gene Description</w:t>
            </w:r>
          </w:p>
        </w:tc>
        <w:tc>
          <w:tcPr>
            <w:tcW w:w="4140" w:type="dxa"/>
            <w:gridSpan w:val="4"/>
            <w:vAlign w:val="center"/>
          </w:tcPr>
          <w:p w:rsidR="00134FA8" w:rsidRPr="00134FA8" w:rsidRDefault="00134FA8" w:rsidP="00BC0414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134FA8">
              <w:rPr>
                <w:rFonts w:ascii="Times New Roman" w:hAnsi="Times New Roman" w:cs="Arial"/>
                <w:b/>
                <w:sz w:val="24"/>
                <w:szCs w:val="24"/>
              </w:rPr>
              <w:t xml:space="preserve">Experimental </w:t>
            </w:r>
            <w:r w:rsidR="00BC0414">
              <w:rPr>
                <w:rFonts w:ascii="Times New Roman" w:hAnsi="Times New Roman" w:cs="Arial"/>
                <w:b/>
                <w:sz w:val="24"/>
                <w:szCs w:val="24"/>
              </w:rPr>
              <w:t>treatment</w:t>
            </w:r>
            <w:r w:rsidRPr="00134FA8">
              <w:rPr>
                <w:rFonts w:ascii="Times New Roman" w:hAnsi="Times New Roman" w:cs="Arial"/>
                <w:b/>
                <w:sz w:val="24"/>
                <w:szCs w:val="24"/>
                <w:vertAlign w:val="superscript"/>
              </w:rPr>
              <w:t>a</w:t>
            </w:r>
            <w:r w:rsidRPr="00134FA8">
              <w:rPr>
                <w:rFonts w:ascii="Times New Roman" w:hAnsi="Times New Roman" w:cs="Arial"/>
                <w:b/>
                <w:sz w:val="24"/>
                <w:szCs w:val="24"/>
              </w:rPr>
              <w:t xml:space="preserve"> </w:t>
            </w:r>
          </w:p>
        </w:tc>
      </w:tr>
      <w:tr w:rsidR="00134FA8" w:rsidRPr="00134FA8" w:rsidTr="00135909">
        <w:trPr>
          <w:trHeight w:val="342"/>
        </w:trPr>
        <w:tc>
          <w:tcPr>
            <w:tcW w:w="1263" w:type="dxa"/>
            <w:vMerge/>
            <w:vAlign w:val="center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</w:p>
        </w:tc>
        <w:tc>
          <w:tcPr>
            <w:tcW w:w="5040" w:type="dxa"/>
            <w:vMerge/>
            <w:vAlign w:val="center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</w:p>
        </w:tc>
        <w:tc>
          <w:tcPr>
            <w:tcW w:w="1068" w:type="dxa"/>
            <w:vAlign w:val="center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E.c.</w:t>
            </w:r>
            <w:r w:rsidRPr="00134FA8">
              <w:rPr>
                <w:rFonts w:ascii="Times New Roman" w:hAnsi="Times New Roman" w:cs="Arial"/>
                <w:b/>
                <w:vertAlign w:val="superscript"/>
              </w:rPr>
              <w:t xml:space="preserve"> </w:t>
            </w:r>
            <w:r w:rsidRPr="00134FA8">
              <w:rPr>
                <w:rFonts w:ascii="Times New Roman" w:hAnsi="Times New Roman" w:cs="Arial"/>
                <w:b/>
              </w:rPr>
              <w:t>live</w:t>
            </w:r>
          </w:p>
        </w:tc>
        <w:tc>
          <w:tcPr>
            <w:tcW w:w="1092" w:type="dxa"/>
            <w:vAlign w:val="center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E.c. dead</w:t>
            </w:r>
          </w:p>
        </w:tc>
        <w:tc>
          <w:tcPr>
            <w:tcW w:w="900" w:type="dxa"/>
            <w:vAlign w:val="center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V.c. live</w:t>
            </w:r>
          </w:p>
        </w:tc>
        <w:tc>
          <w:tcPr>
            <w:tcW w:w="1080" w:type="dxa"/>
            <w:vAlign w:val="center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V.c. dead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ABL1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C-abl oncogene 1, receptor tyrosine kinase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+4.65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-1.48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+2.20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-1.92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AKT1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000000" w:themeColor="text1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V-akt murine thymoma viral oncogene hom.1, Ser/Thr kinase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+1.43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-1.07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+4.38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-7.90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BAD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000000" w:themeColor="text1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BCL2-associated agonist of cell death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-1.58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+1.83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+10.72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-3.36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BAG1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000000" w:themeColor="text1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BCL2-associated athanogene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+2.60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-0.38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+1.7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-1.24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BAG3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BCL2-associated athanogene 3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+2.17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-2.51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+1.52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-0.35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BAG4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BCL2-associated athanogene 4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-1.45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+0.83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-0.94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+2.79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BAK1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BCL2-antagonist/killer 1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-2.70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+1.52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-0.17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+1.91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BAX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BCL2-associated X protein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+1.75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+1.04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+7.67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+1.1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BCL2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B-cell CLL/lymphoma 2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+2.04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-1.91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+2.36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-3.13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BCL2L1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BCL2-like 1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-1.52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+2.14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+4.41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-3.20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BCL2L11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BCL2-like 11 (apoptosis facilitator)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-1.80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  <w:b/>
              </w:rPr>
              <w:t>+2.96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  <w:b/>
              </w:rPr>
              <w:t>+4.13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-5.08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BCLAF1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BCL2-associated transcription factor 1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-1.96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+2.93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-2.20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+1.70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  <w:color w:val="000000" w:themeColor="text1"/>
              </w:rPr>
            </w:pPr>
            <w:r w:rsidRPr="00134FA8">
              <w:rPr>
                <w:rFonts w:ascii="Times New Roman" w:hAnsi="Times New Roman" w:cs="Arial"/>
                <w:i/>
                <w:color w:val="000000" w:themeColor="text1"/>
              </w:rPr>
              <w:t>BIRC2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Baculoviral IAP repeat-containing 2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</w:t>
            </w:r>
            <w:r w:rsidRPr="00134FA8">
              <w:rPr>
                <w:rFonts w:ascii="Times New Roman" w:hAnsi="Times New Roman" w:cs="Arial"/>
              </w:rPr>
              <w:t>0.52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-1.13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-2.04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+2.89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BIRC6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Baculoviral IAP repeat-containing 6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+1.89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-2.79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+1.56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-0.98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BNIP3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BCL2/adenovirus E1B 19kDa interacting protein 3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-2.62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+1.92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+1.60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-2.18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BNIP3L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BCL2/adenovirus E1B 19kDa interacting protein 3-like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+4.48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  <w:b/>
              </w:rPr>
              <w:t>-2.30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+0.52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+0.07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CARD8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Caspase recruitment domain family, member 8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-2.94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+2.18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-1.9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+1.7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CASP1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 xml:space="preserve">Caspase 1, apoptosis-related cysteine peptidase 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-4.78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+2.82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+8.17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-12.44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CASP3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Caspase 3, apoptosis-related cysteine peptidase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-1.88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+1.84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-3.83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  <w:vertAlign w:val="subscript"/>
              </w:rPr>
            </w:pPr>
            <w:r w:rsidRPr="00134FA8">
              <w:rPr>
                <w:rFonts w:ascii="Times New Roman" w:hAnsi="Times New Roman" w:cs="Arial"/>
                <w:b/>
              </w:rPr>
              <w:t>+3.68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CASP4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Caspase 4, apoptosis-related cysteine peptidase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-2.24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+2.03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+3.32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-3.21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lastRenderedPageBreak/>
              <w:t>CASP9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Caspase 9, apoptosis-related cysteine peptidase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-5.33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+2.29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-0.66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+1.37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CIDEA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Cell death-inducing DFFA-like effector a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-3.91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-1.22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+2.46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-0.84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CRADD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CASP2 and RIPK1 domain with death domain adaptor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+1.58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+3.64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+0.11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+1.40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DARK1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Death-associated protein kinase 1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-1.48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+2.97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-2.49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n/d</w:t>
            </w:r>
            <w:r w:rsidRPr="00134FA8">
              <w:rPr>
                <w:rFonts w:ascii="Times New Roman" w:hAnsi="Times New Roman" w:cs="Arial"/>
                <w:vertAlign w:val="superscript"/>
              </w:rPr>
              <w:t>4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DFFA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DNA fragmentation factor, 45kDa, alpha polypeptide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-1.67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-1.80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-2.02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+1.26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FADD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Fas (TNFRSF6)-associated via death domain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-1.69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+3.14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-2.19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+3.09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GADD45A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</w:rPr>
              <w:t>Growth arrest and DNA-damage-inducible, alpha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+1.47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-2.12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-0.48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+1.99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LTA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Lymphotoxin alpha (TNF superfamily, member 1)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-2.66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+2.51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-5.85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+7.72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NOL3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Nucleolar protein 3 (apoptosis repressor with CARD domain)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+1.69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-2.55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+0.08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-0.91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PYCARD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softHyphen/>
              <w:t>PYD and CARD domain containing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+1.10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+3.15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+0.73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-0.53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CD27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TNFR family, CD27 molecule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+1.76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-2.36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-3.99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+5.24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CD40LG</w:t>
            </w:r>
          </w:p>
        </w:tc>
        <w:tc>
          <w:tcPr>
            <w:tcW w:w="504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</w:rPr>
              <w:t>TNFR family</w:t>
            </w:r>
            <w:r w:rsidRPr="00134FA8">
              <w:rPr>
                <w:rFonts w:ascii="Times New Roman" w:hAnsi="Times New Roman" w:cs="Arial"/>
                <w:color w:val="000000" w:themeColor="text1"/>
              </w:rPr>
              <w:t>, CD40 ligand</w:t>
            </w:r>
          </w:p>
        </w:tc>
        <w:tc>
          <w:tcPr>
            <w:tcW w:w="1068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+2.74</w:t>
            </w:r>
          </w:p>
        </w:tc>
        <w:tc>
          <w:tcPr>
            <w:tcW w:w="1092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-5.56</w:t>
            </w:r>
          </w:p>
        </w:tc>
        <w:tc>
          <w:tcPr>
            <w:tcW w:w="90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  <w:b/>
              </w:rPr>
              <w:t>-4.33</w:t>
            </w:r>
          </w:p>
        </w:tc>
        <w:tc>
          <w:tcPr>
            <w:tcW w:w="1080" w:type="dxa"/>
            <w:shd w:val="clear" w:color="auto" w:fill="auto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+4.94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FAS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Fas (TNF receptor superfamily, member 6)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-2.32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+1.64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0.32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-1.88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TNFRSF11B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Tumor necrosis factor receptor superfamily, member 11b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-3.05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+2.61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+3.94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-3.87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TNFRSF1A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Tumor necrosis factor receptor superfamily, member 1A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+2.81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-1.63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-3.01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+4.25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TNFRSF21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Tumor necrosis factor receptor superfamily, member 21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  <w:vertAlign w:val="subscript"/>
              </w:rPr>
            </w:pPr>
            <w:r w:rsidRPr="00134FA8">
              <w:rPr>
                <w:rFonts w:ascii="Times New Roman" w:hAnsi="Times New Roman" w:cs="Arial"/>
                <w:b/>
              </w:rPr>
              <w:t>+2.16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-1.72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-2.02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+2.32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TP53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Tumor protein p53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+2.46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+1.59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+100.6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-46.4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TP53BP2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Tumor protein p53 binding protein, 2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-2.87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+2.65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-2.98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+3.91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TP73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FF0000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Tumor protein p73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+2.11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  <w:b/>
              </w:rPr>
              <w:t>+2.75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-3.15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+10.16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TRADD</w:t>
            </w:r>
          </w:p>
        </w:tc>
        <w:tc>
          <w:tcPr>
            <w:tcW w:w="504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color w:val="323E4F" w:themeColor="text2" w:themeShade="BF"/>
              </w:rPr>
            </w:pPr>
            <w:r w:rsidRPr="00134FA8">
              <w:rPr>
                <w:rFonts w:ascii="Times New Roman" w:hAnsi="Times New Roman" w:cs="Arial"/>
                <w:color w:val="000000" w:themeColor="text1"/>
              </w:rPr>
              <w:t>TNFRSF1A-associated via death domain</w:t>
            </w:r>
          </w:p>
        </w:tc>
        <w:tc>
          <w:tcPr>
            <w:tcW w:w="1068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-2.78</w:t>
            </w:r>
          </w:p>
        </w:tc>
        <w:tc>
          <w:tcPr>
            <w:tcW w:w="1092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+1.57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-2.56</w:t>
            </w:r>
          </w:p>
        </w:tc>
        <w:tc>
          <w:tcPr>
            <w:tcW w:w="1080" w:type="dxa"/>
            <w:shd w:val="clear" w:color="auto" w:fill="808080" w:themeFill="background1" w:themeFillShade="80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+1.86</w:t>
            </w:r>
          </w:p>
        </w:tc>
      </w:tr>
      <w:tr w:rsidR="00134FA8" w:rsidRPr="00134FA8" w:rsidTr="00135909">
        <w:trPr>
          <w:trHeight w:val="85"/>
        </w:trPr>
        <w:tc>
          <w:tcPr>
            <w:tcW w:w="1263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TRAF2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TNF receptor-associated factor 2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+0.29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-2.04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+3.25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-3.58</w:t>
            </w:r>
          </w:p>
        </w:tc>
      </w:tr>
      <w:tr w:rsidR="00134FA8" w:rsidRPr="00134FA8" w:rsidTr="00135909">
        <w:tc>
          <w:tcPr>
            <w:tcW w:w="1263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  <w:i/>
              </w:rPr>
            </w:pPr>
            <w:r w:rsidRPr="00134FA8">
              <w:rPr>
                <w:rFonts w:ascii="Times New Roman" w:hAnsi="Times New Roman" w:cs="Arial"/>
                <w:i/>
              </w:rPr>
              <w:t>TRAF4</w:t>
            </w:r>
          </w:p>
        </w:tc>
        <w:tc>
          <w:tcPr>
            <w:tcW w:w="504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TNF receptor-associated factor 4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-1.82</w:t>
            </w:r>
          </w:p>
        </w:tc>
        <w:tc>
          <w:tcPr>
            <w:tcW w:w="1092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</w:rPr>
            </w:pPr>
            <w:r w:rsidRPr="00134FA8">
              <w:rPr>
                <w:rFonts w:ascii="Times New Roman" w:hAnsi="Times New Roman" w:cs="Arial"/>
              </w:rPr>
              <w:t>+2.40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+3.58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34FA8" w:rsidRPr="00134FA8" w:rsidRDefault="00134FA8" w:rsidP="00134FA8">
            <w:pPr>
              <w:tabs>
                <w:tab w:val="left" w:pos="360"/>
              </w:tabs>
              <w:spacing w:after="0" w:line="480" w:lineRule="auto"/>
              <w:jc w:val="center"/>
              <w:rPr>
                <w:rFonts w:ascii="Times New Roman" w:hAnsi="Times New Roman" w:cs="Arial"/>
                <w:b/>
              </w:rPr>
            </w:pPr>
            <w:r w:rsidRPr="00134FA8">
              <w:rPr>
                <w:rFonts w:ascii="Times New Roman" w:hAnsi="Times New Roman" w:cs="Arial"/>
                <w:b/>
              </w:rPr>
              <w:t>-3.38</w:t>
            </w:r>
          </w:p>
        </w:tc>
      </w:tr>
    </w:tbl>
    <w:p w:rsidR="00134FA8" w:rsidRPr="00134FA8" w:rsidRDefault="00134FA8" w:rsidP="00134FA8">
      <w:pPr>
        <w:tabs>
          <w:tab w:val="left" w:pos="360"/>
        </w:tabs>
        <w:spacing w:after="0" w:line="480" w:lineRule="auto"/>
        <w:ind w:left="-992" w:right="-23"/>
        <w:rPr>
          <w:rFonts w:ascii="Arial" w:hAnsi="Arial" w:cs="Arial"/>
          <w:bCs/>
          <w:sz w:val="24"/>
          <w:szCs w:val="24"/>
          <w:vertAlign w:val="superscript"/>
        </w:rPr>
      </w:pPr>
    </w:p>
    <w:p w:rsidR="00134FA8" w:rsidRPr="00134FA8" w:rsidRDefault="00134FA8" w:rsidP="00134FA8">
      <w:pPr>
        <w:tabs>
          <w:tab w:val="left" w:pos="360"/>
        </w:tabs>
        <w:spacing w:after="200" w:line="480" w:lineRule="auto"/>
        <w:ind w:right="-1"/>
        <w:rPr>
          <w:rFonts w:ascii="Arial" w:hAnsi="Arial" w:cs="Arial"/>
          <w:bCs/>
          <w:sz w:val="24"/>
          <w:szCs w:val="24"/>
        </w:rPr>
      </w:pPr>
      <w:r w:rsidRPr="00134FA8">
        <w:rPr>
          <w:rFonts w:ascii="Arial" w:hAnsi="Arial" w:cs="Arial"/>
          <w:bCs/>
          <w:sz w:val="24"/>
          <w:szCs w:val="24"/>
          <w:vertAlign w:val="superscript"/>
        </w:rPr>
        <w:t>a</w:t>
      </w:r>
      <w:r w:rsidRPr="00134FA8">
        <w:rPr>
          <w:rFonts w:ascii="Arial" w:hAnsi="Arial" w:cs="Arial"/>
          <w:bCs/>
          <w:sz w:val="24"/>
          <w:szCs w:val="24"/>
        </w:rPr>
        <w:t xml:space="preserve"> Mean log</w:t>
      </w:r>
      <w:r w:rsidRPr="00134FA8">
        <w:rPr>
          <w:rFonts w:ascii="Arial" w:hAnsi="Arial" w:cs="Arial"/>
          <w:bCs/>
          <w:sz w:val="24"/>
          <w:szCs w:val="24"/>
          <w:vertAlign w:val="subscript"/>
        </w:rPr>
        <w:t>2</w:t>
      </w:r>
      <w:r w:rsidRPr="00134FA8">
        <w:rPr>
          <w:rFonts w:ascii="Arial" w:hAnsi="Arial" w:cs="Arial"/>
          <w:bCs/>
          <w:sz w:val="24"/>
          <w:szCs w:val="24"/>
        </w:rPr>
        <w:t>-fold expression of genes are shown in comparison to gene expression in medium-treated macrophages averaged from three replicates per group.  The 10 maximal up- and down-regulated genes in each group are indicated in bold font.  Anti-</w:t>
      </w:r>
      <w:r w:rsidRPr="00134FA8">
        <w:rPr>
          <w:rFonts w:ascii="Arial" w:hAnsi="Arial" w:cs="Arial"/>
          <w:bCs/>
          <w:sz w:val="24"/>
          <w:szCs w:val="24"/>
        </w:rPr>
        <w:lastRenderedPageBreak/>
        <w:t>apoptotic genes are shown in non-highlighted fields, pro-apoptotic genes are highlighted in dark grey fields and regulatory genes are highlighted in light grey fields.  E.c. =</w:t>
      </w:r>
      <w:r w:rsidRPr="00134FA8">
        <w:rPr>
          <w:rFonts w:ascii="Arial" w:hAnsi="Arial" w:cs="Arial"/>
          <w:bCs/>
          <w:i/>
          <w:sz w:val="24"/>
          <w:szCs w:val="24"/>
        </w:rPr>
        <w:t xml:space="preserve"> Encephalitozoon cuniculi</w:t>
      </w:r>
      <w:r w:rsidRPr="00134FA8">
        <w:rPr>
          <w:rFonts w:ascii="Arial" w:hAnsi="Arial" w:cs="Arial"/>
          <w:bCs/>
          <w:sz w:val="24"/>
          <w:szCs w:val="24"/>
        </w:rPr>
        <w:t>;</w:t>
      </w:r>
      <w:r w:rsidRPr="00134FA8">
        <w:rPr>
          <w:rFonts w:ascii="Arial" w:hAnsi="Arial" w:cs="Arial"/>
          <w:bCs/>
          <w:sz w:val="24"/>
          <w:szCs w:val="24"/>
          <w:vertAlign w:val="superscript"/>
        </w:rPr>
        <w:t xml:space="preserve"> </w:t>
      </w:r>
      <w:r w:rsidRPr="00134FA8">
        <w:rPr>
          <w:rFonts w:ascii="Arial" w:hAnsi="Arial" w:cs="Arial"/>
          <w:bCs/>
          <w:sz w:val="24"/>
          <w:szCs w:val="24"/>
        </w:rPr>
        <w:t xml:space="preserve">V.c. = </w:t>
      </w:r>
      <w:r w:rsidRPr="00134FA8">
        <w:rPr>
          <w:rFonts w:ascii="Arial" w:hAnsi="Arial" w:cs="Arial"/>
          <w:bCs/>
          <w:i/>
          <w:sz w:val="24"/>
          <w:szCs w:val="24"/>
        </w:rPr>
        <w:t xml:space="preserve">Vittaforma corneae.  </w:t>
      </w:r>
    </w:p>
    <w:p w:rsidR="00134FA8" w:rsidRPr="00134FA8" w:rsidRDefault="00134FA8" w:rsidP="00134FA8">
      <w:pPr>
        <w:spacing w:after="200" w:line="276" w:lineRule="auto"/>
        <w:rPr>
          <w:rFonts w:ascii="Arial" w:hAnsi="Arial" w:cs="Arial"/>
          <w:bCs/>
        </w:rPr>
      </w:pPr>
    </w:p>
    <w:p w:rsidR="000442E3" w:rsidRDefault="000442E3"/>
    <w:sectPr w:rsidR="000442E3" w:rsidSect="00FC5B2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6F6" w:rsidRDefault="00E706F6">
      <w:pPr>
        <w:spacing w:after="0" w:line="240" w:lineRule="auto"/>
      </w:pPr>
      <w:r>
        <w:separator/>
      </w:r>
    </w:p>
  </w:endnote>
  <w:endnote w:type="continuationSeparator" w:id="0">
    <w:p w:rsidR="00E706F6" w:rsidRDefault="00E7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B2F" w:rsidRDefault="00134FA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2324">
      <w:rPr>
        <w:noProof/>
      </w:rPr>
      <w:t>3</w:t>
    </w:r>
    <w:r>
      <w:rPr>
        <w:noProof/>
      </w:rPr>
      <w:fldChar w:fldCharType="end"/>
    </w:r>
  </w:p>
  <w:p w:rsidR="00FC5B2F" w:rsidRDefault="00E706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6F6" w:rsidRDefault="00E706F6">
      <w:pPr>
        <w:spacing w:after="0" w:line="240" w:lineRule="auto"/>
      </w:pPr>
      <w:r>
        <w:separator/>
      </w:r>
    </w:p>
  </w:footnote>
  <w:footnote w:type="continuationSeparator" w:id="0">
    <w:p w:rsidR="00E706F6" w:rsidRDefault="00E706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FA8"/>
    <w:rsid w:val="000442E3"/>
    <w:rsid w:val="00134FA8"/>
    <w:rsid w:val="00622324"/>
    <w:rsid w:val="0088049C"/>
    <w:rsid w:val="009F62A5"/>
    <w:rsid w:val="00B13A8D"/>
    <w:rsid w:val="00BC0414"/>
    <w:rsid w:val="00E7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3612DB-DCEC-47B1-9598-34DBF091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34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4FA8"/>
  </w:style>
  <w:style w:type="table" w:styleId="TableGrid">
    <w:name w:val="Table Grid"/>
    <w:basedOn w:val="TableNormal"/>
    <w:uiPriority w:val="59"/>
    <w:rsid w:val="00134FA8"/>
    <w:pPr>
      <w:spacing w:after="200" w:line="276" w:lineRule="auto"/>
    </w:pPr>
    <w:rPr>
      <w:rFonts w:ascii="Calibri" w:eastAsia="Calibri" w:hAnsi="Calibri" w:cs="Times New Roman"/>
      <w:bCs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 Didier</dc:creator>
  <cp:keywords/>
  <dc:description/>
  <cp:lastModifiedBy>Elizabeth S Didier</cp:lastModifiedBy>
  <cp:revision>2</cp:revision>
  <dcterms:created xsi:type="dcterms:W3CDTF">2018-10-03T18:32:00Z</dcterms:created>
  <dcterms:modified xsi:type="dcterms:W3CDTF">2018-10-03T18:32:00Z</dcterms:modified>
</cp:coreProperties>
</file>