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F2" w:rsidRDefault="00BF7CF2" w:rsidP="00084C7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File S1. </w:t>
      </w:r>
      <w:r w:rsidR="00243382" w:rsidRPr="0024338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References </w:t>
      </w:r>
      <w:r w:rsidR="0024338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used in the explicative models </w:t>
      </w:r>
      <w:r w:rsidR="00243382" w:rsidRPr="00243382">
        <w:rPr>
          <w:rFonts w:ascii="Times New Roman" w:hAnsi="Times New Roman" w:cs="Times New Roman"/>
          <w:noProof/>
          <w:sz w:val="24"/>
          <w:szCs w:val="24"/>
          <w:lang w:val="en-US"/>
        </w:rPr>
        <w:t>on leukocytes as sou</w:t>
      </w:r>
      <w:r w:rsidR="00243382">
        <w:rPr>
          <w:rFonts w:ascii="Times New Roman" w:hAnsi="Times New Roman" w:cs="Times New Roman"/>
          <w:noProof/>
          <w:sz w:val="24"/>
          <w:szCs w:val="24"/>
          <w:lang w:val="en-US"/>
        </w:rPr>
        <w:t>r</w:t>
      </w:r>
      <w:r w:rsidR="00243382" w:rsidRPr="0024338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ces and targets of molecules </w:t>
      </w:r>
      <w:r w:rsidR="00243382">
        <w:rPr>
          <w:rFonts w:ascii="Times New Roman" w:hAnsi="Times New Roman" w:cs="Times New Roman"/>
          <w:noProof/>
          <w:sz w:val="24"/>
          <w:szCs w:val="24"/>
          <w:lang w:val="en-US"/>
        </w:rPr>
        <w:t>of the renin-</w:t>
      </w:r>
      <w:r w:rsidR="00243382" w:rsidRPr="00243382">
        <w:rPr>
          <w:rFonts w:ascii="Times New Roman" w:hAnsi="Times New Roman" w:cs="Times New Roman"/>
          <w:noProof/>
          <w:sz w:val="24"/>
          <w:szCs w:val="24"/>
          <w:lang w:val="en-US"/>
        </w:rPr>
        <w:t>angiotensin system</w:t>
      </w:r>
      <w:r w:rsidR="00243382">
        <w:rPr>
          <w:rFonts w:ascii="Times New Roman" w:hAnsi="Times New Roman" w:cs="Times New Roman"/>
          <w:noProof/>
          <w:sz w:val="24"/>
          <w:szCs w:val="24"/>
          <w:lang w:val="en-US"/>
        </w:rPr>
        <w:t>, figures 5 and 6</w:t>
      </w:r>
      <w:r w:rsidR="00243382" w:rsidRPr="00243382"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41089E" w:rsidRDefault="0041089E" w:rsidP="00084C7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</w:p>
    <w:p w:rsidR="00BF7CF2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b/>
          <w:noProof/>
          <w:sz w:val="24"/>
          <w:szCs w:val="24"/>
          <w:lang w:val="en-US"/>
        </w:rPr>
      </w:pPr>
      <w:r w:rsidRPr="00E97454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Almeida, A</w:t>
      </w:r>
      <w:bookmarkStart w:id="0" w:name="_GoBack"/>
      <w:bookmarkEnd w:id="0"/>
      <w:r w:rsidRPr="00E97454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P, Frábregas, BC, Madureira, MM, Santos, RJS, Campagnole-Santos, MJ and Santos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E97454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RAS</w:t>
      </w:r>
      <w:r w:rsidRPr="00E97454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(2000)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Angiotensin-(1-7) potentiates the coronary vasodilatatory effect of bradykinin in the isolated rat heart. </w:t>
      </w:r>
      <w:r w:rsidRPr="00E97454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Brazilian Journal of Medical and Biological Research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97454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33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709–713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Bahk, TJ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Daniels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MD, Leon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JS, Wang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K and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Engman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DM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(2008)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Comparison of angiotensin converting enzyme inhibition and angiotensin II receptor blockade for the prevention of experimental autoimmune myocarditis. 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International Journal of Cardiology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ED1F6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125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85–93.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Cang, Y and </w:t>
      </w:r>
      <w:r w:rsidRPr="002C717F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ei</w:t>
      </w:r>
      <w:r w:rsidRPr="002C717F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W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(2015)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Angiotensin II in inflammation, immunity and rheumatoid arthritis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Clinical and Experimental </w:t>
      </w:r>
      <w:r w:rsidRPr="002C717F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Immunol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ogy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2C717F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179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, 137–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145.</w:t>
      </w:r>
    </w:p>
    <w:p w:rsidR="00084C78" w:rsidRPr="00805485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Clapperton, M, Beswick, PH, Abdullah, I, Dargie, HJ, Fisher, AC and McMurray, J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(1995)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Effect of captopril, enalaprilat and mercaptopropionyl glycine (MPG) on the oxidative activity of human isolated neutrophils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British Journal of Clinical Pharmacology</w:t>
      </w:r>
      <w:r w:rsidRPr="0080548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8054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40</w:t>
      </w:r>
      <w:r w:rsidRPr="00805485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31–35.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Dzau 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,VJ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Bernstein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K, Celermajer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D, Cohen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J, Dahlo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B, Deanfield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J, Diez J, Drexler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H, Ferrari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R, van Gilst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W, Hansson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L, Hornig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B, Husain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A, Johnston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C, Lazar, H, Lonn, E, Lu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scher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T, Mancini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J, Mimran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A, Pepine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C, Rabelink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T, Remme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W, Ruilope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L, Ruzicka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M, Schunkert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H, Swedberg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K, Unger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T, Vaughan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D and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Weber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B112B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</w:t>
      </w:r>
      <w:r w:rsidRPr="005B112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(2001)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The relevance of tissue angiotensin-converting enzyme: manifestations in mechanistic and endpoint data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5B112B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The American Journal of Cardiology</w:t>
      </w:r>
      <w:r>
        <w:rPr>
          <w:rFonts w:ascii="Times New Roman" w:hAnsi="Times New Roman" w:cs="Times New Roman"/>
          <w:bCs/>
          <w:noProof/>
          <w:sz w:val="24"/>
          <w:szCs w:val="24"/>
          <w:lang w:val="en-US"/>
        </w:rPr>
        <w:t xml:space="preserve"> </w:t>
      </w:r>
      <w:r w:rsidRPr="007D2B0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88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1–20.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Filardi, LS and Brener Z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(1987)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Susceptibility and natural resistance of </w:t>
      </w:r>
      <w:r w:rsidRPr="00496485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Trypanosoma cruzi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strains to drugs us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ed clinically in Chagas disease.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Transactions of the Royal Society of Tropical Medicine and Hygiene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89119C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81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, 755–759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lastRenderedPageBreak/>
        <w:t>Freeman, EJ, Chisolm GM, Ferrario, CM and Tallant EA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(1996)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Angiotensin-(1-7) inhibits vas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cular smooth muscle cell growth.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34514D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Hypertension</w:t>
      </w:r>
      <w:r>
        <w:rPr>
          <w:rFonts w:ascii="Times New Roman" w:hAnsi="Times New Roman" w:cs="Times New Roman"/>
          <w:bCs/>
          <w:noProof/>
          <w:sz w:val="24"/>
          <w:szCs w:val="24"/>
          <w:lang w:val="en-US"/>
        </w:rPr>
        <w:t xml:space="preserve"> </w:t>
      </w:r>
      <w:r w:rsidRPr="0034514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28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104–108.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Huda, S and</w:t>
      </w:r>
      <w:r w:rsidRPr="00896F3C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A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khter</w:t>
      </w:r>
      <w:r w:rsidRPr="00896F3C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N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(2014)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Modulation of oxidative stress by enalapril and valsartan in adrenaline treated rats: a comparative study. </w:t>
      </w:r>
      <w:r w:rsidRPr="00896F3C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Bangladesh Med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ical</w:t>
      </w:r>
      <w:r w:rsidRPr="00896F3C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Res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earch</w:t>
      </w:r>
      <w:r w:rsidRPr="00896F3C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Counc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il</w:t>
      </w:r>
      <w:r w:rsidRPr="00896F3C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Bull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etin </w:t>
      </w:r>
      <w:r w:rsidRPr="00896F3C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40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, 25–30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Jankowski, V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Vanholder R, Giet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M, Henning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L, To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lle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M, Schönfelder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G, Krakow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A, Karadogan S, Gustavsson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N, Gobom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J, Webb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J, Lehrach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H, Giebing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G, Schlüter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H, Hilgers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KF, Zidek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W and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Jankowski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(2005)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Detection of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a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ngiotensin II in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s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upernatants of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s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timulated mononuclear leukocytes by matrix-assisted laser desorption ionization time-of-flight/time-of-flight mass analysis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5F4866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Hypertension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5F486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46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5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91–597.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Montezano, AC</w:t>
      </w:r>
      <w:r w:rsidRPr="0024646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Nguyen Dinh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C</w:t>
      </w:r>
      <w:r w:rsidRPr="0024646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A, Rios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FJ and</w:t>
      </w:r>
      <w:r w:rsidRPr="0024646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Touyz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24646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RM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(2014)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Angiotensin II and vascular injury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246469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Current Hypertension Reports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246469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16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1-11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</w:p>
    <w:p w:rsidR="00084C78" w:rsidRPr="00E3691B" w:rsidRDefault="00084C78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Raffai, G and Lombard, J</w:t>
      </w:r>
      <w:r w:rsidRPr="001329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H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(2017)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Angiotensin-(1-7) selectively induces relaxation and modulates endothelium-dependent dilation in mesenteric arteries of salt-fed rats. </w:t>
      </w:r>
      <w:r w:rsidRPr="00132985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Journal of 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V</w:t>
      </w:r>
      <w:r w:rsidRPr="00132985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ascular 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R</w:t>
      </w:r>
      <w:r w:rsidRPr="00132985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esearch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 w:rsidRPr="001329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53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105–118. </w:t>
      </w:r>
    </w:p>
    <w:p w:rsidR="00510B64" w:rsidRPr="00E3691B" w:rsidRDefault="00510B64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EC5338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Santos, RA, Campagnole-Santos, MJ and Andrade, SP</w:t>
      </w:r>
      <w:r w:rsidRPr="00EC5338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(2000) Angiotensin-(1-7): An update. </w:t>
      </w:r>
      <w:r w:rsidRPr="00DE27DD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Regulatory Peptides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DE27D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91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45–62. </w:t>
      </w:r>
    </w:p>
    <w:p w:rsidR="00510B64" w:rsidRPr="00E3691B" w:rsidRDefault="00510B64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78599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Simões, ACS, Silveira, KD, Ferreira, AJ and Teixeira, MM</w:t>
      </w:r>
      <w:r w:rsidRPr="00785992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(2013) ACE2, angiotensin-(1-7) and Mas receptor axis in inflammation and fibrosis. </w:t>
      </w:r>
      <w:r w:rsidRPr="00785992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British Journal of Pharmacology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785992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169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, 477–492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. </w:t>
      </w:r>
    </w:p>
    <w:p w:rsidR="00510B64" w:rsidRPr="00E3691B" w:rsidRDefault="00510B64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4A21DA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Skidgel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RA and Erdo</w:t>
      </w:r>
      <w:r w:rsidRPr="004A21DA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4A21DA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EG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(1985)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Novel activity of human angiotensin I converting enzyme: release of the NH2- and COOH-terminal tripeptides from the luteinizing hormone-releasing hormone. </w:t>
      </w:r>
      <w:r w:rsidRPr="004A21DA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Proceedings of the National Academy of Sciences of the United States of America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4A21DA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82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, 1025–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>102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9. </w:t>
      </w:r>
    </w:p>
    <w:p w:rsidR="00510B64" w:rsidRPr="00E3691B" w:rsidRDefault="00510B64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Thomas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G, Tacke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R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Hedrick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CC and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Hanna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RN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(2015) 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Nonclassical Patrolling Monocyte Function in the Vasculature.</w:t>
      </w:r>
      <w:r w:rsidRPr="005974B6">
        <w:rPr>
          <w:rFonts w:ascii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5974B6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Arteriosclerosis, Thrombosis, and Vascular Biology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lastRenderedPageBreak/>
        <w:t>35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1306–1316. </w:t>
      </w:r>
    </w:p>
    <w:p w:rsidR="00510B64" w:rsidRPr="00E3691B" w:rsidRDefault="00510B64" w:rsidP="0041089E">
      <w:pPr>
        <w:widowControl w:val="0"/>
        <w:autoSpaceDE w:val="0"/>
        <w:autoSpaceDN w:val="0"/>
        <w:adjustRightInd w:val="0"/>
        <w:spacing w:after="0" w:line="480" w:lineRule="auto"/>
        <w:ind w:left="284" w:hanging="285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Van Over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tvelt, L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 Vanderheyde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N, Verhasselt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V, Ismaili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J, De Vos L, Goldman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5974B6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M, </w:t>
      </w:r>
      <w:r w:rsidRPr="006447C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Weinstoc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k, JV, Blum, AM and </w:t>
      </w:r>
      <w:r w:rsidRPr="006447C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Kassab</w:t>
      </w:r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t>,</w:t>
      </w:r>
      <w:r w:rsidRPr="006447C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 xml:space="preserve"> JT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(1987)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Angiotensin II is chemotactic for a T-cell subset which can express migration inhibition factor activity in murine </w:t>
      </w:r>
      <w:r w:rsidRPr="00F354F6">
        <w:rPr>
          <w:rFonts w:ascii="Times New Roman" w:hAnsi="Times New Roman" w:cs="Times New Roman"/>
          <w:i/>
          <w:noProof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noProof/>
          <w:sz w:val="24"/>
          <w:szCs w:val="24"/>
          <w:lang w:val="en-US"/>
        </w:rPr>
        <w:t>chistosoma</w:t>
      </w:r>
      <w:r w:rsidRPr="00F354F6">
        <w:rPr>
          <w:rFonts w:ascii="Times New Roman" w:hAnsi="Times New Roman" w:cs="Times New Roman"/>
          <w:i/>
          <w:noProof/>
          <w:sz w:val="24"/>
          <w:szCs w:val="24"/>
          <w:lang w:val="en-US"/>
        </w:rPr>
        <w:t xml:space="preserve"> mansoni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>.</w:t>
      </w:r>
      <w:r w:rsidRPr="006447CD">
        <w:rPr>
          <w:rFonts w:ascii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6447CD"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>Cellular Immunology</w:t>
      </w:r>
      <w:r>
        <w:rPr>
          <w:rFonts w:ascii="Times New Roman" w:hAnsi="Times New Roman" w:cs="Times New Roman"/>
          <w:bCs/>
          <w:i/>
          <w:noProof/>
          <w:sz w:val="24"/>
          <w:szCs w:val="24"/>
          <w:lang w:val="en-US"/>
        </w:rPr>
        <w:t xml:space="preserve"> </w:t>
      </w:r>
      <w:r w:rsidRPr="006447CD">
        <w:rPr>
          <w:rFonts w:ascii="Times New Roman" w:hAnsi="Times New Roman" w:cs="Times New Roman"/>
          <w:b/>
          <w:noProof/>
          <w:sz w:val="24"/>
          <w:szCs w:val="24"/>
          <w:lang w:val="en-US"/>
        </w:rPr>
        <w:t>107</w:t>
      </w:r>
      <w:r w:rsidRPr="00E3691B"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, 180–187. </w:t>
      </w:r>
    </w:p>
    <w:p w:rsidR="00084C78" w:rsidRPr="00E3691B" w:rsidRDefault="00084C78" w:rsidP="00084C78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t xml:space="preserve"> </w:t>
      </w:r>
    </w:p>
    <w:p w:rsidR="00084C78" w:rsidRPr="00084C78" w:rsidRDefault="00084C78" w:rsidP="00B26897">
      <w:pPr>
        <w:rPr>
          <w:lang w:val="en-US"/>
        </w:rPr>
      </w:pPr>
    </w:p>
    <w:sectPr w:rsidR="00084C78" w:rsidRPr="00084C78" w:rsidSect="00953A96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C25" w:rsidRDefault="00127C25" w:rsidP="00523A27">
      <w:pPr>
        <w:spacing w:after="0" w:line="240" w:lineRule="auto"/>
      </w:pPr>
      <w:r>
        <w:separator/>
      </w:r>
    </w:p>
  </w:endnote>
  <w:endnote w:type="continuationSeparator" w:id="0">
    <w:p w:rsidR="00127C25" w:rsidRDefault="00127C25" w:rsidP="00523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C25" w:rsidRDefault="00127C25" w:rsidP="00523A27">
      <w:pPr>
        <w:spacing w:after="0" w:line="240" w:lineRule="auto"/>
      </w:pPr>
      <w:r>
        <w:separator/>
      </w:r>
    </w:p>
  </w:footnote>
  <w:footnote w:type="continuationSeparator" w:id="0">
    <w:p w:rsidR="00127C25" w:rsidRDefault="00127C25" w:rsidP="00523A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3CAA"/>
    <w:multiLevelType w:val="hybridMultilevel"/>
    <w:tmpl w:val="E6A03BD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D308A"/>
    <w:multiLevelType w:val="multilevel"/>
    <w:tmpl w:val="BCA454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9E08D8"/>
    <w:multiLevelType w:val="multilevel"/>
    <w:tmpl w:val="D7AEE7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94F4741"/>
    <w:multiLevelType w:val="hybridMultilevel"/>
    <w:tmpl w:val="9FBC8E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65B61"/>
    <w:multiLevelType w:val="multilevel"/>
    <w:tmpl w:val="CBC86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13552C0"/>
    <w:multiLevelType w:val="multilevel"/>
    <w:tmpl w:val="B39C0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EE155E2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9F95FF5"/>
    <w:multiLevelType w:val="hybridMultilevel"/>
    <w:tmpl w:val="EB060E2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75CC6"/>
    <w:multiLevelType w:val="hybridMultilevel"/>
    <w:tmpl w:val="D1A42A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46915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9C6474"/>
    <w:multiLevelType w:val="hybridMultilevel"/>
    <w:tmpl w:val="1880389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38E"/>
    <w:rsid w:val="00004C4D"/>
    <w:rsid w:val="00020E34"/>
    <w:rsid w:val="00024E7A"/>
    <w:rsid w:val="00027768"/>
    <w:rsid w:val="00045FFF"/>
    <w:rsid w:val="00054058"/>
    <w:rsid w:val="0006132D"/>
    <w:rsid w:val="0006244B"/>
    <w:rsid w:val="00064A66"/>
    <w:rsid w:val="00066027"/>
    <w:rsid w:val="000672F1"/>
    <w:rsid w:val="000704FE"/>
    <w:rsid w:val="00070612"/>
    <w:rsid w:val="0007273D"/>
    <w:rsid w:val="00084C78"/>
    <w:rsid w:val="00086CEE"/>
    <w:rsid w:val="000A0C9A"/>
    <w:rsid w:val="000A4365"/>
    <w:rsid w:val="000C36D7"/>
    <w:rsid w:val="000C736C"/>
    <w:rsid w:val="000D540D"/>
    <w:rsid w:val="000F0940"/>
    <w:rsid w:val="000F72AE"/>
    <w:rsid w:val="0011372E"/>
    <w:rsid w:val="00114167"/>
    <w:rsid w:val="00127C25"/>
    <w:rsid w:val="00132889"/>
    <w:rsid w:val="00135549"/>
    <w:rsid w:val="00152101"/>
    <w:rsid w:val="00161BCE"/>
    <w:rsid w:val="00161CD0"/>
    <w:rsid w:val="00163699"/>
    <w:rsid w:val="0016609C"/>
    <w:rsid w:val="00171872"/>
    <w:rsid w:val="00171FE4"/>
    <w:rsid w:val="00185A63"/>
    <w:rsid w:val="001862E6"/>
    <w:rsid w:val="001938FA"/>
    <w:rsid w:val="001966D9"/>
    <w:rsid w:val="00197356"/>
    <w:rsid w:val="001A3614"/>
    <w:rsid w:val="001A7775"/>
    <w:rsid w:val="001C20CA"/>
    <w:rsid w:val="001C2896"/>
    <w:rsid w:val="001C2E77"/>
    <w:rsid w:val="001D6DAD"/>
    <w:rsid w:val="001D6E15"/>
    <w:rsid w:val="001D7C67"/>
    <w:rsid w:val="001E15F9"/>
    <w:rsid w:val="001E1CB5"/>
    <w:rsid w:val="001E2360"/>
    <w:rsid w:val="001E24B6"/>
    <w:rsid w:val="001E6266"/>
    <w:rsid w:val="001E6D79"/>
    <w:rsid w:val="001F0064"/>
    <w:rsid w:val="001F02EA"/>
    <w:rsid w:val="00206675"/>
    <w:rsid w:val="00207FAD"/>
    <w:rsid w:val="00214136"/>
    <w:rsid w:val="00217A5C"/>
    <w:rsid w:val="00240E6E"/>
    <w:rsid w:val="00243382"/>
    <w:rsid w:val="00243890"/>
    <w:rsid w:val="00245205"/>
    <w:rsid w:val="0025014B"/>
    <w:rsid w:val="00251728"/>
    <w:rsid w:val="002537BD"/>
    <w:rsid w:val="00255A6E"/>
    <w:rsid w:val="0026792C"/>
    <w:rsid w:val="0027171A"/>
    <w:rsid w:val="00283A58"/>
    <w:rsid w:val="00286C22"/>
    <w:rsid w:val="0029278D"/>
    <w:rsid w:val="00293C3D"/>
    <w:rsid w:val="00296041"/>
    <w:rsid w:val="002A40C2"/>
    <w:rsid w:val="002C00D1"/>
    <w:rsid w:val="002C398B"/>
    <w:rsid w:val="002C513E"/>
    <w:rsid w:val="002D01A3"/>
    <w:rsid w:val="002D382A"/>
    <w:rsid w:val="002D6D93"/>
    <w:rsid w:val="002E2B3D"/>
    <w:rsid w:val="002E2E98"/>
    <w:rsid w:val="002E3D15"/>
    <w:rsid w:val="002E7ACF"/>
    <w:rsid w:val="002F4F7B"/>
    <w:rsid w:val="002F52D6"/>
    <w:rsid w:val="00301CA1"/>
    <w:rsid w:val="003136DD"/>
    <w:rsid w:val="003175B5"/>
    <w:rsid w:val="00325748"/>
    <w:rsid w:val="0032777F"/>
    <w:rsid w:val="00332257"/>
    <w:rsid w:val="00334A15"/>
    <w:rsid w:val="00335476"/>
    <w:rsid w:val="00340D39"/>
    <w:rsid w:val="00341917"/>
    <w:rsid w:val="00343F0D"/>
    <w:rsid w:val="00346601"/>
    <w:rsid w:val="00350183"/>
    <w:rsid w:val="0035437E"/>
    <w:rsid w:val="003570CF"/>
    <w:rsid w:val="00357C91"/>
    <w:rsid w:val="00360BCC"/>
    <w:rsid w:val="003715B6"/>
    <w:rsid w:val="00373D19"/>
    <w:rsid w:val="00374C2D"/>
    <w:rsid w:val="003808F3"/>
    <w:rsid w:val="00380D86"/>
    <w:rsid w:val="00385E00"/>
    <w:rsid w:val="00386BF4"/>
    <w:rsid w:val="0039461F"/>
    <w:rsid w:val="00397BF6"/>
    <w:rsid w:val="003A0F73"/>
    <w:rsid w:val="003A1025"/>
    <w:rsid w:val="003A2057"/>
    <w:rsid w:val="003A33C2"/>
    <w:rsid w:val="003A4138"/>
    <w:rsid w:val="003A6A65"/>
    <w:rsid w:val="003B22ED"/>
    <w:rsid w:val="003B39A1"/>
    <w:rsid w:val="003C09FA"/>
    <w:rsid w:val="003C63DB"/>
    <w:rsid w:val="003D4AD4"/>
    <w:rsid w:val="003D7A7E"/>
    <w:rsid w:val="003F639C"/>
    <w:rsid w:val="004060CF"/>
    <w:rsid w:val="0041089E"/>
    <w:rsid w:val="00412C4C"/>
    <w:rsid w:val="00415A8D"/>
    <w:rsid w:val="00421FEB"/>
    <w:rsid w:val="0042259A"/>
    <w:rsid w:val="00423245"/>
    <w:rsid w:val="00424381"/>
    <w:rsid w:val="0042633A"/>
    <w:rsid w:val="00434C16"/>
    <w:rsid w:val="004421F1"/>
    <w:rsid w:val="00442E83"/>
    <w:rsid w:val="00452B94"/>
    <w:rsid w:val="004530AE"/>
    <w:rsid w:val="004549B0"/>
    <w:rsid w:val="00457C80"/>
    <w:rsid w:val="00460970"/>
    <w:rsid w:val="0046129E"/>
    <w:rsid w:val="00461AEB"/>
    <w:rsid w:val="00464599"/>
    <w:rsid w:val="00473196"/>
    <w:rsid w:val="004742B1"/>
    <w:rsid w:val="004762F2"/>
    <w:rsid w:val="004845C0"/>
    <w:rsid w:val="004860A3"/>
    <w:rsid w:val="00487C96"/>
    <w:rsid w:val="00490032"/>
    <w:rsid w:val="00497639"/>
    <w:rsid w:val="004A0440"/>
    <w:rsid w:val="004A15E7"/>
    <w:rsid w:val="004A33A1"/>
    <w:rsid w:val="004B0E9D"/>
    <w:rsid w:val="004B35C5"/>
    <w:rsid w:val="004B65A7"/>
    <w:rsid w:val="004B7B10"/>
    <w:rsid w:val="004C08DD"/>
    <w:rsid w:val="004C2B31"/>
    <w:rsid w:val="004C4E93"/>
    <w:rsid w:val="004D138E"/>
    <w:rsid w:val="004D28A2"/>
    <w:rsid w:val="004D6728"/>
    <w:rsid w:val="004E50D5"/>
    <w:rsid w:val="004F0C65"/>
    <w:rsid w:val="004F64DC"/>
    <w:rsid w:val="004F73D5"/>
    <w:rsid w:val="005006F6"/>
    <w:rsid w:val="0050080C"/>
    <w:rsid w:val="00503C1F"/>
    <w:rsid w:val="00504755"/>
    <w:rsid w:val="00510B64"/>
    <w:rsid w:val="005166BB"/>
    <w:rsid w:val="00520461"/>
    <w:rsid w:val="00523A27"/>
    <w:rsid w:val="00533014"/>
    <w:rsid w:val="00534690"/>
    <w:rsid w:val="00536B0C"/>
    <w:rsid w:val="00544276"/>
    <w:rsid w:val="00544439"/>
    <w:rsid w:val="00546CEE"/>
    <w:rsid w:val="00550FB5"/>
    <w:rsid w:val="00556C6C"/>
    <w:rsid w:val="005605B3"/>
    <w:rsid w:val="00561531"/>
    <w:rsid w:val="00561C35"/>
    <w:rsid w:val="005721FE"/>
    <w:rsid w:val="00581949"/>
    <w:rsid w:val="00583DF8"/>
    <w:rsid w:val="0059063F"/>
    <w:rsid w:val="005915DD"/>
    <w:rsid w:val="005977FE"/>
    <w:rsid w:val="00597FE4"/>
    <w:rsid w:val="005A1460"/>
    <w:rsid w:val="005A1EC0"/>
    <w:rsid w:val="005A5DBE"/>
    <w:rsid w:val="005B0C47"/>
    <w:rsid w:val="005B3EAD"/>
    <w:rsid w:val="005C0D80"/>
    <w:rsid w:val="005C23F1"/>
    <w:rsid w:val="005C75BE"/>
    <w:rsid w:val="005D2ABB"/>
    <w:rsid w:val="005D2B99"/>
    <w:rsid w:val="005F78EC"/>
    <w:rsid w:val="006030E9"/>
    <w:rsid w:val="006076F1"/>
    <w:rsid w:val="00610546"/>
    <w:rsid w:val="00613184"/>
    <w:rsid w:val="0061493D"/>
    <w:rsid w:val="00614E14"/>
    <w:rsid w:val="00616ECA"/>
    <w:rsid w:val="00625D0F"/>
    <w:rsid w:val="006262FB"/>
    <w:rsid w:val="00634090"/>
    <w:rsid w:val="006352C8"/>
    <w:rsid w:val="006422E1"/>
    <w:rsid w:val="00646745"/>
    <w:rsid w:val="00650411"/>
    <w:rsid w:val="00655852"/>
    <w:rsid w:val="00657B70"/>
    <w:rsid w:val="0066108C"/>
    <w:rsid w:val="00664C47"/>
    <w:rsid w:val="0067103F"/>
    <w:rsid w:val="006737C7"/>
    <w:rsid w:val="0067528B"/>
    <w:rsid w:val="00681C5B"/>
    <w:rsid w:val="00684DDF"/>
    <w:rsid w:val="00692A92"/>
    <w:rsid w:val="00693372"/>
    <w:rsid w:val="006965FC"/>
    <w:rsid w:val="00697216"/>
    <w:rsid w:val="006A113E"/>
    <w:rsid w:val="006B684E"/>
    <w:rsid w:val="006C25DC"/>
    <w:rsid w:val="006C4B5D"/>
    <w:rsid w:val="006C54A4"/>
    <w:rsid w:val="006C76AC"/>
    <w:rsid w:val="006D00CD"/>
    <w:rsid w:val="006D5051"/>
    <w:rsid w:val="006D6EC8"/>
    <w:rsid w:val="006E6E1D"/>
    <w:rsid w:val="006F0FCE"/>
    <w:rsid w:val="006F1A73"/>
    <w:rsid w:val="006F2691"/>
    <w:rsid w:val="006F53D6"/>
    <w:rsid w:val="006F6609"/>
    <w:rsid w:val="006F6C1E"/>
    <w:rsid w:val="00700130"/>
    <w:rsid w:val="00701BFB"/>
    <w:rsid w:val="00702907"/>
    <w:rsid w:val="007057E4"/>
    <w:rsid w:val="007075CA"/>
    <w:rsid w:val="007078C2"/>
    <w:rsid w:val="00717375"/>
    <w:rsid w:val="0072002E"/>
    <w:rsid w:val="00723A59"/>
    <w:rsid w:val="00725817"/>
    <w:rsid w:val="007360E3"/>
    <w:rsid w:val="0074259F"/>
    <w:rsid w:val="007469B0"/>
    <w:rsid w:val="00746E3B"/>
    <w:rsid w:val="00747D21"/>
    <w:rsid w:val="00751287"/>
    <w:rsid w:val="007603C6"/>
    <w:rsid w:val="00761D31"/>
    <w:rsid w:val="00763431"/>
    <w:rsid w:val="00772E15"/>
    <w:rsid w:val="007740D7"/>
    <w:rsid w:val="00774B55"/>
    <w:rsid w:val="00774D1B"/>
    <w:rsid w:val="00784C2C"/>
    <w:rsid w:val="007A00DA"/>
    <w:rsid w:val="007A25BE"/>
    <w:rsid w:val="007A5F8B"/>
    <w:rsid w:val="007B230D"/>
    <w:rsid w:val="007B24D6"/>
    <w:rsid w:val="007B3093"/>
    <w:rsid w:val="007B6088"/>
    <w:rsid w:val="007B7BE2"/>
    <w:rsid w:val="007C2FC8"/>
    <w:rsid w:val="007D0943"/>
    <w:rsid w:val="007D2C69"/>
    <w:rsid w:val="007D3ACB"/>
    <w:rsid w:val="007D448A"/>
    <w:rsid w:val="007D46EF"/>
    <w:rsid w:val="007E16A4"/>
    <w:rsid w:val="007E3351"/>
    <w:rsid w:val="007F051A"/>
    <w:rsid w:val="007F1EEE"/>
    <w:rsid w:val="007F3F9D"/>
    <w:rsid w:val="007F4568"/>
    <w:rsid w:val="007F503D"/>
    <w:rsid w:val="007F6CF3"/>
    <w:rsid w:val="0080427C"/>
    <w:rsid w:val="00805952"/>
    <w:rsid w:val="00807E64"/>
    <w:rsid w:val="00813693"/>
    <w:rsid w:val="0081407D"/>
    <w:rsid w:val="00814E68"/>
    <w:rsid w:val="0081562B"/>
    <w:rsid w:val="008206BF"/>
    <w:rsid w:val="00823923"/>
    <w:rsid w:val="00833726"/>
    <w:rsid w:val="0084017E"/>
    <w:rsid w:val="00844792"/>
    <w:rsid w:val="00844B87"/>
    <w:rsid w:val="00845BB8"/>
    <w:rsid w:val="00847F67"/>
    <w:rsid w:val="00854282"/>
    <w:rsid w:val="0087331F"/>
    <w:rsid w:val="008756E6"/>
    <w:rsid w:val="00881226"/>
    <w:rsid w:val="00885F67"/>
    <w:rsid w:val="00886D2C"/>
    <w:rsid w:val="00887521"/>
    <w:rsid w:val="00890075"/>
    <w:rsid w:val="008933CD"/>
    <w:rsid w:val="00894CA3"/>
    <w:rsid w:val="008A0047"/>
    <w:rsid w:val="008A012E"/>
    <w:rsid w:val="008A2B1F"/>
    <w:rsid w:val="008A2FF3"/>
    <w:rsid w:val="008A32FF"/>
    <w:rsid w:val="008B2013"/>
    <w:rsid w:val="008B4CB8"/>
    <w:rsid w:val="008C171D"/>
    <w:rsid w:val="008C6FF1"/>
    <w:rsid w:val="008D0BB5"/>
    <w:rsid w:val="008D75DD"/>
    <w:rsid w:val="008F1C0D"/>
    <w:rsid w:val="008F25AC"/>
    <w:rsid w:val="008F332E"/>
    <w:rsid w:val="00902683"/>
    <w:rsid w:val="00902885"/>
    <w:rsid w:val="00904369"/>
    <w:rsid w:val="00906FB3"/>
    <w:rsid w:val="00906FBA"/>
    <w:rsid w:val="00921979"/>
    <w:rsid w:val="009225F2"/>
    <w:rsid w:val="00922BAF"/>
    <w:rsid w:val="0092522F"/>
    <w:rsid w:val="009315C3"/>
    <w:rsid w:val="009428BC"/>
    <w:rsid w:val="00945274"/>
    <w:rsid w:val="00951F7A"/>
    <w:rsid w:val="00953A96"/>
    <w:rsid w:val="00953AE8"/>
    <w:rsid w:val="009620B4"/>
    <w:rsid w:val="00976C4E"/>
    <w:rsid w:val="00980096"/>
    <w:rsid w:val="009807A7"/>
    <w:rsid w:val="0098513F"/>
    <w:rsid w:val="00986387"/>
    <w:rsid w:val="0099237D"/>
    <w:rsid w:val="009944B5"/>
    <w:rsid w:val="009A12D5"/>
    <w:rsid w:val="009A3AEE"/>
    <w:rsid w:val="009A57FF"/>
    <w:rsid w:val="009C522E"/>
    <w:rsid w:val="009C6F23"/>
    <w:rsid w:val="009D1654"/>
    <w:rsid w:val="009D3E3E"/>
    <w:rsid w:val="009D5F74"/>
    <w:rsid w:val="009D7184"/>
    <w:rsid w:val="009E16B0"/>
    <w:rsid w:val="009E5BE4"/>
    <w:rsid w:val="009F1F38"/>
    <w:rsid w:val="00A0497A"/>
    <w:rsid w:val="00A11439"/>
    <w:rsid w:val="00A122F8"/>
    <w:rsid w:val="00A14E8B"/>
    <w:rsid w:val="00A16069"/>
    <w:rsid w:val="00A17D35"/>
    <w:rsid w:val="00A21CF4"/>
    <w:rsid w:val="00A26B71"/>
    <w:rsid w:val="00A27C4B"/>
    <w:rsid w:val="00A318E9"/>
    <w:rsid w:val="00A33E1D"/>
    <w:rsid w:val="00A37926"/>
    <w:rsid w:val="00A414B0"/>
    <w:rsid w:val="00A47CBF"/>
    <w:rsid w:val="00A60286"/>
    <w:rsid w:val="00A63E03"/>
    <w:rsid w:val="00A72CA9"/>
    <w:rsid w:val="00A75A0B"/>
    <w:rsid w:val="00A77700"/>
    <w:rsid w:val="00A814C2"/>
    <w:rsid w:val="00A833D1"/>
    <w:rsid w:val="00A97753"/>
    <w:rsid w:val="00AA00A8"/>
    <w:rsid w:val="00AA510E"/>
    <w:rsid w:val="00AA6B02"/>
    <w:rsid w:val="00AC2BDB"/>
    <w:rsid w:val="00AC31AC"/>
    <w:rsid w:val="00AC3742"/>
    <w:rsid w:val="00AC3E4F"/>
    <w:rsid w:val="00AC57E4"/>
    <w:rsid w:val="00AC60DB"/>
    <w:rsid w:val="00AC7046"/>
    <w:rsid w:val="00AE2880"/>
    <w:rsid w:val="00AE3C55"/>
    <w:rsid w:val="00AF7CAC"/>
    <w:rsid w:val="00B009A1"/>
    <w:rsid w:val="00B02932"/>
    <w:rsid w:val="00B069A9"/>
    <w:rsid w:val="00B16CE0"/>
    <w:rsid w:val="00B2293A"/>
    <w:rsid w:val="00B26897"/>
    <w:rsid w:val="00B27C08"/>
    <w:rsid w:val="00B312A9"/>
    <w:rsid w:val="00B33543"/>
    <w:rsid w:val="00B34776"/>
    <w:rsid w:val="00B35BDF"/>
    <w:rsid w:val="00B361D8"/>
    <w:rsid w:val="00B539F6"/>
    <w:rsid w:val="00B55839"/>
    <w:rsid w:val="00B66EE3"/>
    <w:rsid w:val="00B67D25"/>
    <w:rsid w:val="00B77691"/>
    <w:rsid w:val="00B80B84"/>
    <w:rsid w:val="00B84BD6"/>
    <w:rsid w:val="00B85194"/>
    <w:rsid w:val="00B918E9"/>
    <w:rsid w:val="00B92807"/>
    <w:rsid w:val="00B97AE2"/>
    <w:rsid w:val="00BA1721"/>
    <w:rsid w:val="00BB145D"/>
    <w:rsid w:val="00BD475A"/>
    <w:rsid w:val="00BE79D6"/>
    <w:rsid w:val="00BF59B4"/>
    <w:rsid w:val="00BF68C5"/>
    <w:rsid w:val="00BF7CF2"/>
    <w:rsid w:val="00C11C20"/>
    <w:rsid w:val="00C129A7"/>
    <w:rsid w:val="00C22F2F"/>
    <w:rsid w:val="00C26FF1"/>
    <w:rsid w:val="00C31F0C"/>
    <w:rsid w:val="00C3281F"/>
    <w:rsid w:val="00C37E9E"/>
    <w:rsid w:val="00C40BDD"/>
    <w:rsid w:val="00C44565"/>
    <w:rsid w:val="00C46322"/>
    <w:rsid w:val="00C47524"/>
    <w:rsid w:val="00C475E2"/>
    <w:rsid w:val="00C534EB"/>
    <w:rsid w:val="00C552F4"/>
    <w:rsid w:val="00C608E3"/>
    <w:rsid w:val="00C62DF0"/>
    <w:rsid w:val="00C8296C"/>
    <w:rsid w:val="00C919F0"/>
    <w:rsid w:val="00CA135F"/>
    <w:rsid w:val="00CA1715"/>
    <w:rsid w:val="00CA2E42"/>
    <w:rsid w:val="00CA3E1C"/>
    <w:rsid w:val="00CA6D97"/>
    <w:rsid w:val="00CB4D2D"/>
    <w:rsid w:val="00CC1CFA"/>
    <w:rsid w:val="00CC49AA"/>
    <w:rsid w:val="00CD0D71"/>
    <w:rsid w:val="00CD14D3"/>
    <w:rsid w:val="00CE2F6D"/>
    <w:rsid w:val="00CF1B0C"/>
    <w:rsid w:val="00CF26C2"/>
    <w:rsid w:val="00CF4799"/>
    <w:rsid w:val="00CF7B6F"/>
    <w:rsid w:val="00D1541C"/>
    <w:rsid w:val="00D160A5"/>
    <w:rsid w:val="00D27415"/>
    <w:rsid w:val="00D352BE"/>
    <w:rsid w:val="00D3637D"/>
    <w:rsid w:val="00D426E7"/>
    <w:rsid w:val="00D43D82"/>
    <w:rsid w:val="00D4747E"/>
    <w:rsid w:val="00D502EF"/>
    <w:rsid w:val="00D52044"/>
    <w:rsid w:val="00D557D2"/>
    <w:rsid w:val="00D55A08"/>
    <w:rsid w:val="00D5615B"/>
    <w:rsid w:val="00D61BC5"/>
    <w:rsid w:val="00D7798A"/>
    <w:rsid w:val="00D80A09"/>
    <w:rsid w:val="00D90940"/>
    <w:rsid w:val="00D944B6"/>
    <w:rsid w:val="00D951BA"/>
    <w:rsid w:val="00D965D4"/>
    <w:rsid w:val="00D97677"/>
    <w:rsid w:val="00D97747"/>
    <w:rsid w:val="00D97CB8"/>
    <w:rsid w:val="00DA1857"/>
    <w:rsid w:val="00DA584F"/>
    <w:rsid w:val="00DB1220"/>
    <w:rsid w:val="00DB6FC2"/>
    <w:rsid w:val="00DD6A89"/>
    <w:rsid w:val="00DE3ED8"/>
    <w:rsid w:val="00DE625A"/>
    <w:rsid w:val="00DF095E"/>
    <w:rsid w:val="00DF4C61"/>
    <w:rsid w:val="00DF7CD6"/>
    <w:rsid w:val="00E16661"/>
    <w:rsid w:val="00E245F8"/>
    <w:rsid w:val="00E3351F"/>
    <w:rsid w:val="00E36913"/>
    <w:rsid w:val="00E45696"/>
    <w:rsid w:val="00E46F02"/>
    <w:rsid w:val="00E57F9B"/>
    <w:rsid w:val="00E600F2"/>
    <w:rsid w:val="00E67A15"/>
    <w:rsid w:val="00E71F28"/>
    <w:rsid w:val="00E7270A"/>
    <w:rsid w:val="00E73006"/>
    <w:rsid w:val="00E75CCE"/>
    <w:rsid w:val="00E775E5"/>
    <w:rsid w:val="00E805D7"/>
    <w:rsid w:val="00E92DFC"/>
    <w:rsid w:val="00E935FB"/>
    <w:rsid w:val="00EA6C94"/>
    <w:rsid w:val="00EA76B3"/>
    <w:rsid w:val="00EB09A2"/>
    <w:rsid w:val="00ED48A9"/>
    <w:rsid w:val="00ED6FB7"/>
    <w:rsid w:val="00ED7D9F"/>
    <w:rsid w:val="00EE50DA"/>
    <w:rsid w:val="00EE5E24"/>
    <w:rsid w:val="00EF3300"/>
    <w:rsid w:val="00EF675B"/>
    <w:rsid w:val="00F208D7"/>
    <w:rsid w:val="00F22DE2"/>
    <w:rsid w:val="00F26519"/>
    <w:rsid w:val="00F26C73"/>
    <w:rsid w:val="00F26F4E"/>
    <w:rsid w:val="00F3370C"/>
    <w:rsid w:val="00F37C9D"/>
    <w:rsid w:val="00F406EE"/>
    <w:rsid w:val="00F47731"/>
    <w:rsid w:val="00F563EE"/>
    <w:rsid w:val="00F76451"/>
    <w:rsid w:val="00F7725C"/>
    <w:rsid w:val="00F77A6A"/>
    <w:rsid w:val="00F80D2F"/>
    <w:rsid w:val="00F82D98"/>
    <w:rsid w:val="00F93EB1"/>
    <w:rsid w:val="00F95C3A"/>
    <w:rsid w:val="00FA1616"/>
    <w:rsid w:val="00FA338C"/>
    <w:rsid w:val="00FB1918"/>
    <w:rsid w:val="00FB468C"/>
    <w:rsid w:val="00FC2C27"/>
    <w:rsid w:val="00FC7866"/>
    <w:rsid w:val="00FD0C73"/>
    <w:rsid w:val="00FE66D3"/>
    <w:rsid w:val="00FE73A0"/>
    <w:rsid w:val="00FF0228"/>
    <w:rsid w:val="00FF0B95"/>
    <w:rsid w:val="00FF1570"/>
    <w:rsid w:val="00FF2DD7"/>
    <w:rsid w:val="00FF7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E17D0C-FC29-471F-8D67-16F96E78B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918"/>
  </w:style>
  <w:style w:type="paragraph" w:styleId="Ttulo1">
    <w:name w:val="heading 1"/>
    <w:basedOn w:val="Normal"/>
    <w:next w:val="Normal"/>
    <w:link w:val="Ttulo1Char"/>
    <w:uiPriority w:val="9"/>
    <w:qFormat/>
    <w:rsid w:val="00487C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14E8B"/>
    <w:pPr>
      <w:keepNext/>
      <w:keepLines/>
      <w:spacing w:before="120" w:after="120" w:line="480" w:lineRule="auto"/>
      <w:ind w:firstLine="709"/>
      <w:outlineLvl w:val="1"/>
    </w:pPr>
    <w:rPr>
      <w:rFonts w:ascii="Arial" w:eastAsia="Times New Roman" w:hAnsi="Arial" w:cs="Times New Roman"/>
      <w:b/>
      <w:bCs/>
      <w:sz w:val="24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C75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4E8B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rsid w:val="00A14E8B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shorttext">
    <w:name w:val="short_text"/>
    <w:basedOn w:val="Fontepargpadro"/>
    <w:rsid w:val="005915DD"/>
  </w:style>
  <w:style w:type="character" w:styleId="Hyperlink">
    <w:name w:val="Hyperlink"/>
    <w:basedOn w:val="Fontepargpadro"/>
    <w:uiPriority w:val="99"/>
    <w:unhideWhenUsed/>
    <w:rsid w:val="004C2B31"/>
    <w:rPr>
      <w:color w:val="0000FF" w:themeColor="hyperlink"/>
      <w:u w:val="single"/>
    </w:rPr>
  </w:style>
  <w:style w:type="paragraph" w:customStyle="1" w:styleId="Corpo">
    <w:name w:val="Corpo"/>
    <w:rsid w:val="00550FB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C75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comgrade">
    <w:name w:val="Table Grid"/>
    <w:basedOn w:val="Tabelanormal"/>
    <w:uiPriority w:val="59"/>
    <w:rsid w:val="00813693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basedOn w:val="Fontepargpadro"/>
    <w:uiPriority w:val="20"/>
    <w:qFormat/>
    <w:rsid w:val="00813693"/>
    <w:rPr>
      <w:i/>
      <w:iCs/>
    </w:rPr>
  </w:style>
  <w:style w:type="character" w:customStyle="1" w:styleId="apple-converted-space">
    <w:name w:val="apple-converted-space"/>
    <w:basedOn w:val="Fontepargpadro"/>
    <w:rsid w:val="00700130"/>
  </w:style>
  <w:style w:type="character" w:customStyle="1" w:styleId="mixed-citation">
    <w:name w:val="mixed-citation"/>
    <w:basedOn w:val="Fontepargpadro"/>
    <w:rsid w:val="00700130"/>
  </w:style>
  <w:style w:type="character" w:customStyle="1" w:styleId="Ttulo1Char">
    <w:name w:val="Título 1 Char"/>
    <w:basedOn w:val="Fontepargpadro"/>
    <w:link w:val="Ttulo1"/>
    <w:uiPriority w:val="9"/>
    <w:rsid w:val="00487C9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ighlight">
    <w:name w:val="highlight"/>
    <w:basedOn w:val="Fontepargpadro"/>
    <w:rsid w:val="00487C96"/>
  </w:style>
  <w:style w:type="character" w:customStyle="1" w:styleId="italicheader">
    <w:name w:val="italic_header"/>
    <w:basedOn w:val="Fontepargpadro"/>
    <w:rsid w:val="00B85194"/>
  </w:style>
  <w:style w:type="character" w:customStyle="1" w:styleId="st">
    <w:name w:val="st"/>
    <w:basedOn w:val="Fontepargpadro"/>
    <w:rsid w:val="00B85194"/>
  </w:style>
  <w:style w:type="paragraph" w:styleId="NormalWeb">
    <w:name w:val="Normal (Web)"/>
    <w:basedOn w:val="Normal"/>
    <w:uiPriority w:val="99"/>
    <w:semiHidden/>
    <w:unhideWhenUsed/>
    <w:rsid w:val="001C2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23A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3A27"/>
  </w:style>
  <w:style w:type="paragraph" w:styleId="Rodap">
    <w:name w:val="footer"/>
    <w:basedOn w:val="Normal"/>
    <w:link w:val="RodapChar"/>
    <w:uiPriority w:val="99"/>
    <w:unhideWhenUsed/>
    <w:rsid w:val="00523A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8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91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7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76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8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2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0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7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9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6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625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Cliente</cp:lastModifiedBy>
  <cp:revision>3</cp:revision>
  <dcterms:created xsi:type="dcterms:W3CDTF">2019-02-09T00:34:00Z</dcterms:created>
  <dcterms:modified xsi:type="dcterms:W3CDTF">2019-02-09T00:49:00Z</dcterms:modified>
</cp:coreProperties>
</file>