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3CFD9" w14:textId="77777777" w:rsidR="00536925" w:rsidRPr="00536925" w:rsidRDefault="00536925" w:rsidP="00536925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925">
        <w:rPr>
          <w:rFonts w:ascii="Times New Roman" w:eastAsia="Times New Roman" w:hAnsi="Times New Roman" w:cs="Times New Roman"/>
          <w:sz w:val="24"/>
          <w:szCs w:val="24"/>
        </w:rPr>
        <w:t>Supplementary material. The primers used for</w:t>
      </w:r>
      <w:r w:rsidRPr="00536925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536925">
        <w:rPr>
          <w:rFonts w:ascii="Times New Roman" w:eastAsia="Times New Roman" w:hAnsi="Times New Roman" w:cs="Times New Roman"/>
          <w:sz w:val="24"/>
          <w:szCs w:val="24"/>
        </w:rPr>
        <w:t>real time RT-PCR for each gene</w:t>
      </w:r>
    </w:p>
    <w:tbl>
      <w:tblPr>
        <w:tblStyle w:val="TableGrid1"/>
        <w:tblW w:w="8949" w:type="dxa"/>
        <w:tblInd w:w="-31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6101"/>
        <w:gridCol w:w="1843"/>
      </w:tblGrid>
      <w:tr w:rsidR="00536925" w:rsidRPr="00536925" w14:paraId="24A1A467" w14:textId="77777777" w:rsidTr="00536925">
        <w:tc>
          <w:tcPr>
            <w:tcW w:w="1005" w:type="dxa"/>
            <w:tcBorders>
              <w:left w:val="nil"/>
              <w:bottom w:val="single" w:sz="4" w:space="0" w:color="000000"/>
              <w:right w:val="nil"/>
            </w:tcBorders>
          </w:tcPr>
          <w:p w14:paraId="43C95C9F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</w:t>
            </w:r>
          </w:p>
        </w:tc>
        <w:tc>
          <w:tcPr>
            <w:tcW w:w="6101" w:type="dxa"/>
            <w:tcBorders>
              <w:left w:val="nil"/>
              <w:bottom w:val="single" w:sz="4" w:space="0" w:color="000000"/>
              <w:right w:val="nil"/>
            </w:tcBorders>
          </w:tcPr>
          <w:p w14:paraId="1EF320B9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Primer Sequence </w:t>
            </w:r>
          </w:p>
        </w:tc>
        <w:tc>
          <w:tcPr>
            <w:tcW w:w="1843" w:type="dxa"/>
            <w:tcBorders>
              <w:left w:val="nil"/>
              <w:bottom w:val="single" w:sz="4" w:space="0" w:color="000000"/>
              <w:right w:val="nil"/>
            </w:tcBorders>
          </w:tcPr>
          <w:p w14:paraId="703B0E54" w14:textId="133F57F2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rence</w:t>
            </w:r>
          </w:p>
        </w:tc>
      </w:tr>
      <w:tr w:rsidR="00536925" w:rsidRPr="00536925" w14:paraId="6812F6F5" w14:textId="77777777" w:rsidTr="00536925">
        <w:tc>
          <w:tcPr>
            <w:tcW w:w="1005" w:type="dxa"/>
            <w:vMerge w:val="restart"/>
            <w:tcBorders>
              <w:bottom w:val="nil"/>
              <w:right w:val="nil"/>
            </w:tcBorders>
          </w:tcPr>
          <w:p w14:paraId="682CCEDE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25">
              <w:rPr>
                <w:rFonts w:ascii="Times New Roman" w:eastAsia="SymbolMT" w:hAnsi="Times New Roman" w:cs="Times New Roman"/>
                <w:sz w:val="24"/>
                <w:szCs w:val="24"/>
              </w:rPr>
              <w:t>β-actin</w:t>
            </w:r>
          </w:p>
        </w:tc>
        <w:tc>
          <w:tcPr>
            <w:tcW w:w="6101" w:type="dxa"/>
            <w:tcBorders>
              <w:left w:val="nil"/>
              <w:bottom w:val="nil"/>
              <w:right w:val="nil"/>
            </w:tcBorders>
          </w:tcPr>
          <w:p w14:paraId="1A09177B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S: 5′-AAGTCCCTCACCCTCCCAAAAG-3′</w:t>
            </w:r>
          </w:p>
        </w:tc>
        <w:tc>
          <w:tcPr>
            <w:tcW w:w="1843" w:type="dxa"/>
            <w:vMerge w:val="restart"/>
            <w:tcBorders>
              <w:left w:val="nil"/>
              <w:bottom w:val="nil"/>
            </w:tcBorders>
          </w:tcPr>
          <w:p w14:paraId="69D694AF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Peinnequin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et al., 2004</w:t>
            </w:r>
          </w:p>
        </w:tc>
      </w:tr>
      <w:tr w:rsidR="00536925" w:rsidRPr="00536925" w14:paraId="25240096" w14:textId="77777777" w:rsidTr="00536925">
        <w:tc>
          <w:tcPr>
            <w:tcW w:w="1005" w:type="dxa"/>
            <w:vMerge/>
            <w:tcBorders>
              <w:top w:val="nil"/>
              <w:bottom w:val="nil"/>
              <w:right w:val="nil"/>
            </w:tcBorders>
          </w:tcPr>
          <w:p w14:paraId="3A98F8BC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198B1512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AS: 5′-AAGCAATGCTGTCACCTTCCC-3′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</w:tcBorders>
          </w:tcPr>
          <w:p w14:paraId="07B4260A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25" w:rsidRPr="00536925" w14:paraId="124B56CB" w14:textId="77777777" w:rsidTr="00536925">
        <w:tc>
          <w:tcPr>
            <w:tcW w:w="1005" w:type="dxa"/>
            <w:vMerge w:val="restart"/>
            <w:tcBorders>
              <w:top w:val="nil"/>
              <w:bottom w:val="nil"/>
              <w:right w:val="nil"/>
            </w:tcBorders>
          </w:tcPr>
          <w:p w14:paraId="713741BF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TNF-α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6FE2329F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S: 5′-AAATGGGCTCCCTCTCATCAGTTC-3′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</w:tcBorders>
          </w:tcPr>
          <w:p w14:paraId="53BCEFE0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25" w:rsidRPr="00536925" w14:paraId="5E410B80" w14:textId="77777777" w:rsidTr="00536925">
        <w:tc>
          <w:tcPr>
            <w:tcW w:w="1005" w:type="dxa"/>
            <w:vMerge/>
            <w:tcBorders>
              <w:top w:val="nil"/>
              <w:bottom w:val="nil"/>
              <w:right w:val="nil"/>
            </w:tcBorders>
          </w:tcPr>
          <w:p w14:paraId="6F4D6B3B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0817AD33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AS: 5′-TCTGCTTGGTGGTTTGCTACGAC-3′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</w:tcBorders>
          </w:tcPr>
          <w:p w14:paraId="0F5C2D43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25" w:rsidRPr="00536925" w14:paraId="35670C12" w14:textId="77777777" w:rsidTr="00536925">
        <w:tc>
          <w:tcPr>
            <w:tcW w:w="1005" w:type="dxa"/>
            <w:vMerge w:val="restart"/>
            <w:tcBorders>
              <w:top w:val="nil"/>
              <w:bottom w:val="nil"/>
              <w:right w:val="nil"/>
            </w:tcBorders>
          </w:tcPr>
          <w:p w14:paraId="00631521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IL-6 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742E4E7A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S: 5′-TCCTACCCCAACTTCCAATGCTC-3′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</w:tcBorders>
          </w:tcPr>
          <w:p w14:paraId="2F85A711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25" w:rsidRPr="00536925" w14:paraId="7E5A489B" w14:textId="77777777" w:rsidTr="00536925">
        <w:tc>
          <w:tcPr>
            <w:tcW w:w="1005" w:type="dxa"/>
            <w:vMerge/>
            <w:tcBorders>
              <w:top w:val="nil"/>
              <w:bottom w:val="nil"/>
              <w:right w:val="nil"/>
            </w:tcBorders>
          </w:tcPr>
          <w:p w14:paraId="4D46E0A9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3325903B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AS: 5′- TTGGATGGTCTTGGTCCTTAGCC-3′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</w:tcBorders>
          </w:tcPr>
          <w:p w14:paraId="431B034C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25" w:rsidRPr="00536925" w14:paraId="18A89970" w14:textId="77777777" w:rsidTr="00536925">
        <w:tc>
          <w:tcPr>
            <w:tcW w:w="1005" w:type="dxa"/>
            <w:vMerge w:val="restart"/>
            <w:tcBorders>
              <w:top w:val="nil"/>
              <w:bottom w:val="nil"/>
              <w:right w:val="nil"/>
            </w:tcBorders>
          </w:tcPr>
          <w:p w14:paraId="68A065E1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IL-8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6C716771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S: 5′-CATTAATATTTAACGATGTGGATGCGTTTCA-3′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</w:tcBorders>
          </w:tcPr>
          <w:p w14:paraId="559A39CF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Tong et al., 2008</w:t>
            </w:r>
          </w:p>
        </w:tc>
      </w:tr>
      <w:tr w:rsidR="00536925" w:rsidRPr="00536925" w14:paraId="6901C36D" w14:textId="77777777" w:rsidTr="00536925">
        <w:tc>
          <w:tcPr>
            <w:tcW w:w="1005" w:type="dxa"/>
            <w:vMerge/>
            <w:tcBorders>
              <w:top w:val="nil"/>
              <w:bottom w:val="nil"/>
              <w:right w:val="nil"/>
            </w:tcBorders>
          </w:tcPr>
          <w:p w14:paraId="17130BFF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50BFF2DA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AS: 5′-GCCTACCATCTTTAAACTGCACAAT-3′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</w:tcBorders>
          </w:tcPr>
          <w:p w14:paraId="6ED47E64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25" w:rsidRPr="00536925" w14:paraId="37DF405C" w14:textId="77777777" w:rsidTr="00536925">
        <w:tc>
          <w:tcPr>
            <w:tcW w:w="1005" w:type="dxa"/>
            <w:vMerge w:val="restart"/>
            <w:tcBorders>
              <w:top w:val="nil"/>
              <w:right w:val="nil"/>
            </w:tcBorders>
          </w:tcPr>
          <w:p w14:paraId="03B32B9B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iNOS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0B9C8838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S: 5′-TGG TCC AAC CTG CAG GTC TT -3′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</w:tcBorders>
          </w:tcPr>
          <w:p w14:paraId="0F227495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Long et al., 2003</w:t>
            </w:r>
          </w:p>
        </w:tc>
      </w:tr>
      <w:tr w:rsidR="00536925" w:rsidRPr="00536925" w14:paraId="7CFB4E73" w14:textId="77777777" w:rsidTr="00536925">
        <w:tc>
          <w:tcPr>
            <w:tcW w:w="1005" w:type="dxa"/>
            <w:vMerge/>
            <w:tcBorders>
              <w:right w:val="nil"/>
            </w:tcBorders>
          </w:tcPr>
          <w:p w14:paraId="0AB4E729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nil"/>
              <w:left w:val="nil"/>
              <w:right w:val="nil"/>
            </w:tcBorders>
          </w:tcPr>
          <w:p w14:paraId="5914CC49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AS: 5′-CAG TAA TGG CCG ACC TGA TGT-3′</w:t>
            </w:r>
          </w:p>
        </w:tc>
        <w:tc>
          <w:tcPr>
            <w:tcW w:w="1843" w:type="dxa"/>
            <w:vMerge/>
            <w:tcBorders>
              <w:left w:val="nil"/>
            </w:tcBorders>
          </w:tcPr>
          <w:p w14:paraId="0DEDF5CC" w14:textId="77777777" w:rsidR="00536925" w:rsidRPr="00536925" w:rsidRDefault="00536925" w:rsidP="0053692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07253E" w14:textId="77777777" w:rsidR="00536925" w:rsidRDefault="00536925" w:rsidP="00536925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925">
        <w:rPr>
          <w:rFonts w:ascii="Times New Roman" w:eastAsia="Times New Roman" w:hAnsi="Times New Roman" w:cs="Times New Roman"/>
          <w:sz w:val="24"/>
          <w:szCs w:val="24"/>
        </w:rPr>
        <w:t>S, sense; AS, anti-sense</w:t>
      </w:r>
    </w:p>
    <w:p w14:paraId="32775226" w14:textId="77777777" w:rsidR="00A17149" w:rsidRDefault="00A17149" w:rsidP="00536925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A2A74" w14:textId="77777777" w:rsidR="00A17149" w:rsidRPr="00A17149" w:rsidRDefault="00A17149" w:rsidP="00A17149">
      <w:pPr>
        <w:autoSpaceDE w:val="0"/>
        <w:autoSpaceDN w:val="0"/>
        <w:adjustRightInd w:val="0"/>
        <w:spacing w:after="0" w:line="240" w:lineRule="auto"/>
        <w:rPr>
          <w:rFonts w:ascii="AdvOTa42dc7d3.B" w:hAnsi="AdvOTa42dc7d3.B" w:cs="AdvOTa42dc7d3.B"/>
          <w:b/>
          <w:color w:val="000000" w:themeColor="text1"/>
          <w:sz w:val="19"/>
          <w:szCs w:val="19"/>
          <w:lang w:val="en-IN"/>
        </w:rPr>
      </w:pPr>
      <w:r w:rsidRPr="00A17149">
        <w:rPr>
          <w:rFonts w:ascii="AdvOTa42dc7d3.B" w:hAnsi="AdvOTa42dc7d3.B" w:cs="AdvOTa42dc7d3.B"/>
          <w:b/>
          <w:color w:val="000000" w:themeColor="text1"/>
          <w:sz w:val="19"/>
          <w:szCs w:val="19"/>
          <w:lang w:val="en-IN"/>
        </w:rPr>
        <w:t>References</w:t>
      </w:r>
    </w:p>
    <w:p w14:paraId="30662BA9" w14:textId="77777777" w:rsidR="00A17149" w:rsidRDefault="00A17149" w:rsidP="00A17149">
      <w:pPr>
        <w:autoSpaceDE w:val="0"/>
        <w:autoSpaceDN w:val="0"/>
        <w:adjustRightInd w:val="0"/>
        <w:spacing w:after="0" w:line="240" w:lineRule="auto"/>
        <w:rPr>
          <w:rFonts w:ascii="AdvOTa42dc7d3.B" w:hAnsi="AdvOTa42dc7d3.B" w:cs="AdvOTa42dc7d3.B"/>
          <w:color w:val="387B2E"/>
          <w:sz w:val="19"/>
          <w:szCs w:val="19"/>
          <w:lang w:val="en-IN"/>
        </w:rPr>
      </w:pPr>
    </w:p>
    <w:p w14:paraId="2697563F" w14:textId="36CB4D6D" w:rsidR="00A17149" w:rsidRDefault="00A17149" w:rsidP="00A17149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sz w:val="16"/>
          <w:szCs w:val="16"/>
          <w:lang w:val="en-IN"/>
        </w:rPr>
      </w:pPr>
      <w:r w:rsidRPr="00A17149">
        <w:rPr>
          <w:rFonts w:ascii="AdvOTb65e897d.B" w:hAnsi="AdvOTb65e897d.B" w:cs="AdvOTb65e897d.B"/>
          <w:b/>
          <w:sz w:val="16"/>
          <w:szCs w:val="16"/>
          <w:lang w:val="en-IN"/>
        </w:rPr>
        <w:t xml:space="preserve">Long JP, Tong HH, Shannon PA and </w:t>
      </w:r>
      <w:proofErr w:type="spellStart"/>
      <w:r w:rsidRPr="00A17149">
        <w:rPr>
          <w:rFonts w:ascii="AdvOTb65e897d.B" w:hAnsi="AdvOTb65e897d.B" w:cs="AdvOTb65e897d.B"/>
          <w:b/>
          <w:sz w:val="16"/>
          <w:szCs w:val="16"/>
          <w:lang w:val="en-IN"/>
        </w:rPr>
        <w:t>DeMaria</w:t>
      </w:r>
      <w:proofErr w:type="spellEnd"/>
      <w:r w:rsidRPr="00A17149">
        <w:rPr>
          <w:rFonts w:ascii="AdvOTb65e897d.B" w:hAnsi="AdvOTb65e897d.B" w:cs="AdvOTb65e897d.B"/>
          <w:b/>
          <w:sz w:val="16"/>
          <w:szCs w:val="16"/>
          <w:lang w:val="en-IN"/>
        </w:rPr>
        <w:t xml:space="preserve"> TF</w:t>
      </w:r>
      <w:r>
        <w:rPr>
          <w:rFonts w:ascii="AdvOTb65e897d.B" w:hAnsi="AdvOTb65e897d.B" w:cs="AdvOTb65e897d.B"/>
          <w:sz w:val="16"/>
          <w:szCs w:val="16"/>
          <w:lang w:val="en-IN"/>
        </w:rPr>
        <w:t xml:space="preserve"> </w:t>
      </w:r>
      <w:r>
        <w:rPr>
          <w:rFonts w:ascii="AdvOT1ef757c0" w:hAnsi="AdvOT1ef757c0" w:cs="AdvOT1ef757c0"/>
          <w:sz w:val="16"/>
          <w:szCs w:val="16"/>
          <w:lang w:val="en-IN"/>
        </w:rPr>
        <w:t xml:space="preserve">(2003) Differential expression </w:t>
      </w:r>
      <w:r>
        <w:rPr>
          <w:rFonts w:ascii="AdvOT1ef757c0" w:hAnsi="AdvOT1ef757c0" w:cs="AdvOT1ef757c0"/>
          <w:sz w:val="16"/>
          <w:szCs w:val="16"/>
          <w:lang w:val="en-IN"/>
        </w:rPr>
        <w:t>of cytokine genes and inducible nitric ox</w:t>
      </w:r>
      <w:r>
        <w:rPr>
          <w:rFonts w:ascii="AdvOT1ef757c0" w:hAnsi="AdvOT1ef757c0" w:cs="AdvOT1ef757c0"/>
          <w:sz w:val="16"/>
          <w:szCs w:val="16"/>
          <w:lang w:val="en-IN"/>
        </w:rPr>
        <w:t xml:space="preserve">ide synthase induced by opacity </w:t>
      </w:r>
      <w:r>
        <w:rPr>
          <w:rFonts w:ascii="AdvOT1ef757c0" w:hAnsi="AdvOT1ef757c0" w:cs="AdvOT1ef757c0"/>
          <w:sz w:val="16"/>
          <w:szCs w:val="16"/>
          <w:lang w:val="en-IN"/>
        </w:rPr>
        <w:t xml:space="preserve">phenotype variants of </w:t>
      </w:r>
      <w:r>
        <w:rPr>
          <w:rFonts w:ascii="AdvOT7d6df7ab.I" w:hAnsi="AdvOT7d6df7ab.I" w:cs="AdvOT7d6df7ab.I"/>
          <w:sz w:val="16"/>
          <w:szCs w:val="16"/>
          <w:lang w:val="en-IN"/>
        </w:rPr>
        <w:t xml:space="preserve">Streptococcus pneumoniae </w:t>
      </w:r>
      <w:r>
        <w:rPr>
          <w:rFonts w:ascii="AdvOT1ef757c0" w:hAnsi="AdvOT1ef757c0" w:cs="AdvOT1ef757c0"/>
          <w:sz w:val="16"/>
          <w:szCs w:val="16"/>
          <w:lang w:val="en-IN"/>
        </w:rPr>
        <w:t xml:space="preserve">during acute Otitis </w:t>
      </w:r>
      <w:r>
        <w:rPr>
          <w:rFonts w:ascii="AdvOT1ef757c0" w:hAnsi="AdvOT1ef757c0" w:cs="AdvOT1ef757c0"/>
          <w:sz w:val="16"/>
          <w:szCs w:val="16"/>
          <w:lang w:val="en-IN"/>
        </w:rPr>
        <w:t>media in the rat</w:t>
      </w:r>
      <w:r w:rsidRPr="00A17149">
        <w:rPr>
          <w:rFonts w:ascii="AdvOT1ef757c0" w:hAnsi="AdvOT1ef757c0" w:cs="AdvOT1ef757c0"/>
          <w:i/>
          <w:sz w:val="16"/>
          <w:szCs w:val="16"/>
          <w:lang w:val="en-IN"/>
        </w:rPr>
        <w:t xml:space="preserve">. </w:t>
      </w:r>
      <w:r w:rsidRPr="00A17149">
        <w:rPr>
          <w:rFonts w:ascii="AdvOT7d6df7ab.I" w:hAnsi="AdvOT7d6df7ab.I" w:cs="AdvOT7d6df7ab.I"/>
          <w:i/>
          <w:sz w:val="16"/>
          <w:szCs w:val="16"/>
          <w:lang w:val="en-IN"/>
        </w:rPr>
        <w:t>Infection and Immunity</w:t>
      </w:r>
      <w:r>
        <w:rPr>
          <w:rFonts w:ascii="AdvOT7d6df7ab.I" w:hAnsi="AdvOT7d6df7ab.I" w:cs="AdvOT7d6df7ab.I"/>
          <w:sz w:val="16"/>
          <w:szCs w:val="16"/>
          <w:lang w:val="en-IN"/>
        </w:rPr>
        <w:t xml:space="preserve"> </w:t>
      </w:r>
      <w:r w:rsidRPr="00A17149">
        <w:rPr>
          <w:rFonts w:ascii="AdvOTb65e897d.B" w:hAnsi="AdvOTb65e897d.B" w:cs="AdvOTb65e897d.B"/>
          <w:b/>
          <w:sz w:val="16"/>
          <w:szCs w:val="16"/>
          <w:lang w:val="en-IN"/>
        </w:rPr>
        <w:t>71</w:t>
      </w:r>
      <w:r>
        <w:rPr>
          <w:rFonts w:ascii="AdvOT1ef757c0" w:hAnsi="AdvOT1ef757c0" w:cs="AdvOT1ef757c0"/>
          <w:sz w:val="16"/>
          <w:szCs w:val="16"/>
          <w:lang w:val="en-IN"/>
        </w:rPr>
        <w:t>, 5531</w:t>
      </w:r>
      <w:r>
        <w:rPr>
          <w:rFonts w:ascii="AdvOT1ef757c0+20" w:hAnsi="AdvOT1ef757c0+20" w:cs="AdvOT1ef757c0+20"/>
          <w:sz w:val="16"/>
          <w:szCs w:val="16"/>
          <w:lang w:val="en-IN"/>
        </w:rPr>
        <w:t>–</w:t>
      </w:r>
      <w:r>
        <w:rPr>
          <w:rFonts w:ascii="AdvOT1ef757c0" w:hAnsi="AdvOT1ef757c0" w:cs="AdvOT1ef757c0"/>
          <w:sz w:val="16"/>
          <w:szCs w:val="16"/>
          <w:lang w:val="en-IN"/>
        </w:rPr>
        <w:t>5540.</w:t>
      </w:r>
    </w:p>
    <w:p w14:paraId="4C0115C2" w14:textId="77777777" w:rsidR="00A17149" w:rsidRDefault="00A17149" w:rsidP="00A17149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sz w:val="16"/>
          <w:szCs w:val="16"/>
          <w:lang w:val="en-IN"/>
        </w:rPr>
      </w:pPr>
    </w:p>
    <w:p w14:paraId="4245A256" w14:textId="77777777" w:rsidR="00A17149" w:rsidRDefault="00A17149" w:rsidP="00A17149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sz w:val="16"/>
          <w:szCs w:val="16"/>
          <w:lang w:val="en-IN"/>
        </w:rPr>
      </w:pPr>
      <w:proofErr w:type="spellStart"/>
      <w:r w:rsidRPr="00A17149">
        <w:rPr>
          <w:rFonts w:ascii="AdvOTb65e897d.B" w:hAnsi="AdvOTb65e897d.B" w:cs="AdvOTb65e897d.B"/>
          <w:b/>
          <w:sz w:val="16"/>
          <w:szCs w:val="16"/>
          <w:lang w:val="en-IN"/>
        </w:rPr>
        <w:t>Peinnequin</w:t>
      </w:r>
      <w:proofErr w:type="spellEnd"/>
      <w:r w:rsidRPr="00A17149">
        <w:rPr>
          <w:rFonts w:ascii="AdvOTb65e897d.B" w:hAnsi="AdvOTb65e897d.B" w:cs="AdvOTb65e897d.B"/>
          <w:b/>
          <w:sz w:val="16"/>
          <w:szCs w:val="16"/>
          <w:lang w:val="en-IN"/>
        </w:rPr>
        <w:t xml:space="preserve"> A, </w:t>
      </w:r>
      <w:proofErr w:type="spellStart"/>
      <w:r w:rsidRPr="00A17149">
        <w:rPr>
          <w:rFonts w:ascii="AdvOTb65e897d.B" w:hAnsi="AdvOTb65e897d.B" w:cs="AdvOTb65e897d.B"/>
          <w:b/>
          <w:sz w:val="16"/>
          <w:szCs w:val="16"/>
          <w:lang w:val="en-IN"/>
        </w:rPr>
        <w:t>Mouret</w:t>
      </w:r>
      <w:proofErr w:type="spellEnd"/>
      <w:r w:rsidRPr="00A17149">
        <w:rPr>
          <w:rFonts w:ascii="AdvOTb65e897d.B" w:hAnsi="AdvOTb65e897d.B" w:cs="AdvOTb65e897d.B"/>
          <w:b/>
          <w:sz w:val="16"/>
          <w:szCs w:val="16"/>
          <w:lang w:val="en-IN"/>
        </w:rPr>
        <w:t xml:space="preserve"> C, </w:t>
      </w:r>
      <w:proofErr w:type="spellStart"/>
      <w:r w:rsidRPr="00A17149">
        <w:rPr>
          <w:rFonts w:ascii="AdvOTb65e897d.B" w:hAnsi="AdvOTb65e897d.B" w:cs="AdvOTb65e897d.B"/>
          <w:b/>
          <w:sz w:val="16"/>
          <w:szCs w:val="16"/>
          <w:lang w:val="en-IN"/>
        </w:rPr>
        <w:t>Birot</w:t>
      </w:r>
      <w:proofErr w:type="spellEnd"/>
      <w:r w:rsidRPr="00A17149">
        <w:rPr>
          <w:rFonts w:ascii="AdvOTb65e897d.B" w:hAnsi="AdvOTb65e897d.B" w:cs="AdvOTb65e897d.B"/>
          <w:b/>
          <w:sz w:val="16"/>
          <w:szCs w:val="16"/>
          <w:lang w:val="en-IN"/>
        </w:rPr>
        <w:t xml:space="preserve"> O, </w:t>
      </w:r>
      <w:r w:rsidRPr="00A17149">
        <w:rPr>
          <w:rFonts w:ascii="Tahoma" w:hAnsi="Tahoma" w:cs="Tahoma"/>
          <w:b/>
          <w:color w:val="000000"/>
          <w:sz w:val="16"/>
          <w:szCs w:val="16"/>
          <w:lang w:val="en-IN"/>
        </w:rPr>
        <w:t xml:space="preserve">Alonso A, Mathieu J, </w:t>
      </w:r>
      <w:proofErr w:type="spellStart"/>
      <w:r w:rsidRPr="00A17149">
        <w:rPr>
          <w:rFonts w:ascii="Tahoma" w:hAnsi="Tahoma" w:cs="Tahoma"/>
          <w:b/>
          <w:color w:val="000000"/>
          <w:sz w:val="16"/>
          <w:szCs w:val="16"/>
          <w:lang w:val="en-IN"/>
        </w:rPr>
        <w:t>Clarençon</w:t>
      </w:r>
      <w:proofErr w:type="spellEnd"/>
      <w:r w:rsidRPr="00A17149">
        <w:rPr>
          <w:rFonts w:ascii="Tahoma" w:hAnsi="Tahoma" w:cs="Tahoma"/>
          <w:b/>
          <w:color w:val="000000"/>
          <w:sz w:val="16"/>
          <w:szCs w:val="16"/>
          <w:lang w:val="en-IN"/>
        </w:rPr>
        <w:t xml:space="preserve"> D, </w:t>
      </w:r>
      <w:proofErr w:type="spellStart"/>
      <w:r w:rsidRPr="00A17149">
        <w:rPr>
          <w:rFonts w:ascii="Tahoma" w:hAnsi="Tahoma" w:cs="Tahoma"/>
          <w:b/>
          <w:color w:val="000000"/>
          <w:sz w:val="16"/>
          <w:szCs w:val="16"/>
          <w:lang w:val="en-IN"/>
        </w:rPr>
        <w:t>Agay</w:t>
      </w:r>
      <w:proofErr w:type="spellEnd"/>
      <w:r w:rsidRPr="00A17149">
        <w:rPr>
          <w:rFonts w:ascii="Tahoma" w:hAnsi="Tahoma" w:cs="Tahoma"/>
          <w:b/>
          <w:color w:val="000000"/>
          <w:sz w:val="16"/>
          <w:szCs w:val="16"/>
          <w:lang w:val="en-IN"/>
        </w:rPr>
        <w:t xml:space="preserve"> D, </w:t>
      </w:r>
      <w:proofErr w:type="spellStart"/>
      <w:r w:rsidRPr="00A17149">
        <w:rPr>
          <w:rFonts w:ascii="Tahoma" w:hAnsi="Tahoma" w:cs="Tahoma"/>
          <w:b/>
          <w:color w:val="000000"/>
          <w:sz w:val="16"/>
          <w:szCs w:val="16"/>
          <w:lang w:val="en-IN"/>
        </w:rPr>
        <w:t>Chancerelle</w:t>
      </w:r>
      <w:proofErr w:type="spellEnd"/>
      <w:r w:rsidRPr="00A17149">
        <w:rPr>
          <w:rFonts w:ascii="Tahoma" w:hAnsi="Tahoma" w:cs="Tahoma"/>
          <w:b/>
          <w:color w:val="000000"/>
          <w:sz w:val="16"/>
          <w:szCs w:val="16"/>
          <w:lang w:val="en-IN"/>
        </w:rPr>
        <w:t xml:space="preserve"> Y and </w:t>
      </w:r>
      <w:proofErr w:type="spellStart"/>
      <w:r w:rsidRPr="00A17149">
        <w:rPr>
          <w:rFonts w:ascii="Tahoma" w:hAnsi="Tahoma" w:cs="Tahoma"/>
          <w:b/>
          <w:color w:val="000000"/>
          <w:sz w:val="16"/>
          <w:szCs w:val="16"/>
          <w:lang w:val="en-IN"/>
        </w:rPr>
        <w:t>Multon</w:t>
      </w:r>
      <w:proofErr w:type="spellEnd"/>
      <w:r w:rsidRPr="00A17149">
        <w:rPr>
          <w:rFonts w:ascii="Tahoma" w:hAnsi="Tahoma" w:cs="Tahoma"/>
          <w:b/>
          <w:color w:val="000000"/>
          <w:sz w:val="16"/>
          <w:szCs w:val="16"/>
          <w:lang w:val="en-IN"/>
        </w:rPr>
        <w:t xml:space="preserve"> E</w:t>
      </w:r>
      <w:r>
        <w:rPr>
          <w:rFonts w:ascii="AdvOT1ef757c0" w:hAnsi="AdvOT1ef757c0" w:cs="AdvOT1ef757c0"/>
          <w:sz w:val="16"/>
          <w:szCs w:val="16"/>
          <w:lang w:val="en-IN"/>
        </w:rPr>
        <w:t xml:space="preserve"> </w:t>
      </w:r>
      <w:r>
        <w:rPr>
          <w:rFonts w:ascii="AdvOT1ef757c0" w:hAnsi="AdvOT1ef757c0" w:cs="AdvOT1ef757c0"/>
          <w:sz w:val="16"/>
          <w:szCs w:val="16"/>
          <w:lang w:val="en-IN"/>
        </w:rPr>
        <w:t xml:space="preserve">(2004) </w:t>
      </w:r>
    </w:p>
    <w:p w14:paraId="5D93D28F" w14:textId="0C9F0D66" w:rsidR="00A17149" w:rsidRDefault="00A17149" w:rsidP="00A17149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sz w:val="16"/>
          <w:szCs w:val="16"/>
          <w:lang w:val="en-IN"/>
        </w:rPr>
      </w:pPr>
      <w:r>
        <w:rPr>
          <w:rFonts w:ascii="AdvOT1ef757c0" w:hAnsi="AdvOT1ef757c0" w:cs="AdvOT1ef757c0"/>
          <w:sz w:val="16"/>
          <w:szCs w:val="16"/>
          <w:lang w:val="en-IN"/>
        </w:rPr>
        <w:t xml:space="preserve">Rat pro-inflammatory cytokine </w:t>
      </w:r>
      <w:r>
        <w:rPr>
          <w:rFonts w:ascii="AdvOT1ef757c0" w:hAnsi="AdvOT1ef757c0" w:cs="AdvOT1ef757c0"/>
          <w:sz w:val="16"/>
          <w:szCs w:val="16"/>
          <w:lang w:val="en-IN"/>
        </w:rPr>
        <w:t>and cytokine related mRNA quantif</w:t>
      </w:r>
      <w:r>
        <w:rPr>
          <w:rFonts w:ascii="AdvOT1ef757c0" w:hAnsi="AdvOT1ef757c0" w:cs="AdvOT1ef757c0"/>
          <w:sz w:val="16"/>
          <w:szCs w:val="16"/>
          <w:lang w:val="en-IN"/>
        </w:rPr>
        <w:t xml:space="preserve">ication by real-time polymerase </w:t>
      </w:r>
      <w:r>
        <w:rPr>
          <w:rFonts w:ascii="AdvOT1ef757c0" w:hAnsi="AdvOT1ef757c0" w:cs="AdvOT1ef757c0"/>
          <w:sz w:val="16"/>
          <w:szCs w:val="16"/>
          <w:lang w:val="en-IN"/>
        </w:rPr>
        <w:t xml:space="preserve">chain reaction using SYBR green. </w:t>
      </w:r>
      <w:r w:rsidRPr="00A17149">
        <w:rPr>
          <w:rFonts w:ascii="AdvOT7d6df7ab.I" w:hAnsi="AdvOT7d6df7ab.I" w:cs="AdvOT7d6df7ab.I"/>
          <w:i/>
          <w:sz w:val="16"/>
          <w:szCs w:val="16"/>
          <w:lang w:val="en-IN"/>
        </w:rPr>
        <w:t>BMC Immunology</w:t>
      </w:r>
      <w:r>
        <w:rPr>
          <w:rFonts w:ascii="AdvOT7d6df7ab.I" w:hAnsi="AdvOT7d6df7ab.I" w:cs="AdvOT7d6df7ab.I"/>
          <w:sz w:val="16"/>
          <w:szCs w:val="16"/>
          <w:lang w:val="en-IN"/>
        </w:rPr>
        <w:t xml:space="preserve"> </w:t>
      </w:r>
      <w:r w:rsidRPr="00A17149">
        <w:rPr>
          <w:rFonts w:ascii="AdvOTb65e897d.B" w:hAnsi="AdvOTb65e897d.B" w:cs="AdvOTb65e897d.B"/>
          <w:b/>
          <w:sz w:val="16"/>
          <w:szCs w:val="16"/>
          <w:lang w:val="en-IN"/>
        </w:rPr>
        <w:t>5</w:t>
      </w:r>
      <w:r>
        <w:rPr>
          <w:rFonts w:ascii="AdvOT1ef757c0" w:hAnsi="AdvOT1ef757c0" w:cs="AdvOT1ef757c0"/>
          <w:sz w:val="16"/>
          <w:szCs w:val="16"/>
          <w:lang w:val="en-IN"/>
        </w:rPr>
        <w:t>, 3.</w:t>
      </w:r>
    </w:p>
    <w:p w14:paraId="13818FF8" w14:textId="77777777" w:rsidR="00A17149" w:rsidRDefault="00A17149" w:rsidP="00A17149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sz w:val="16"/>
          <w:szCs w:val="16"/>
          <w:lang w:val="en-IN"/>
        </w:rPr>
      </w:pPr>
    </w:p>
    <w:p w14:paraId="6C7CCDDF" w14:textId="25449D73" w:rsidR="00A17149" w:rsidRPr="00A17149" w:rsidRDefault="00A17149" w:rsidP="00A17149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sz w:val="16"/>
          <w:szCs w:val="16"/>
          <w:rtl/>
          <w:lang w:val="en-IN"/>
        </w:rPr>
      </w:pPr>
      <w:r w:rsidRPr="00A17149">
        <w:rPr>
          <w:rFonts w:ascii="AdvOTb65e897d.B" w:hAnsi="AdvOTb65e897d.B" w:cs="AdvOTb65e897d.B"/>
          <w:b/>
          <w:sz w:val="16"/>
          <w:szCs w:val="16"/>
          <w:lang w:val="en-IN"/>
        </w:rPr>
        <w:t xml:space="preserve">Tong HH, Chen Y, Liu X and </w:t>
      </w:r>
      <w:proofErr w:type="spellStart"/>
      <w:r w:rsidRPr="00A17149">
        <w:rPr>
          <w:rFonts w:ascii="AdvOTb65e897d.B" w:hAnsi="AdvOTb65e897d.B" w:cs="AdvOTb65e897d.B"/>
          <w:b/>
          <w:sz w:val="16"/>
          <w:szCs w:val="16"/>
          <w:lang w:val="en-IN"/>
        </w:rPr>
        <w:t>DeMaria</w:t>
      </w:r>
      <w:proofErr w:type="spellEnd"/>
      <w:r w:rsidRPr="00A17149">
        <w:rPr>
          <w:rFonts w:ascii="AdvOTb65e897d.B" w:hAnsi="AdvOTb65e897d.B" w:cs="AdvOTb65e897d.B"/>
          <w:b/>
          <w:sz w:val="16"/>
          <w:szCs w:val="16"/>
          <w:lang w:val="en-IN"/>
        </w:rPr>
        <w:t xml:space="preserve"> TF</w:t>
      </w:r>
      <w:r>
        <w:rPr>
          <w:rFonts w:ascii="AdvOTb65e897d.B" w:hAnsi="AdvOTb65e897d.B" w:cs="AdvOTb65e897d.B"/>
          <w:sz w:val="16"/>
          <w:szCs w:val="16"/>
          <w:lang w:val="en-IN"/>
        </w:rPr>
        <w:t xml:space="preserve"> </w:t>
      </w:r>
      <w:r>
        <w:rPr>
          <w:rFonts w:ascii="AdvOT1ef757c0" w:hAnsi="AdvOT1ef757c0" w:cs="AdvOT1ef757c0"/>
          <w:sz w:val="16"/>
          <w:szCs w:val="16"/>
          <w:lang w:val="en-IN"/>
        </w:rPr>
        <w:t>(2</w:t>
      </w:r>
      <w:r>
        <w:rPr>
          <w:rFonts w:ascii="AdvOT1ef757c0" w:hAnsi="AdvOT1ef757c0" w:cs="AdvOT1ef757c0"/>
          <w:sz w:val="16"/>
          <w:szCs w:val="16"/>
          <w:lang w:val="en-IN"/>
        </w:rPr>
        <w:t xml:space="preserve">008) Differential expression of </w:t>
      </w:r>
      <w:r>
        <w:rPr>
          <w:rFonts w:ascii="AdvOT1ef757c0" w:hAnsi="AdvOT1ef757c0" w:cs="AdvOT1ef757c0"/>
          <w:sz w:val="16"/>
          <w:szCs w:val="16"/>
          <w:lang w:val="en-IN"/>
        </w:rPr>
        <w:t xml:space="preserve">cytokine genes and </w:t>
      </w:r>
      <w:proofErr w:type="spellStart"/>
      <w:r>
        <w:rPr>
          <w:rFonts w:ascii="AdvOT1ef757c0" w:hAnsi="AdvOT1ef757c0" w:cs="AdvOT1ef757c0"/>
          <w:sz w:val="16"/>
          <w:szCs w:val="16"/>
          <w:lang w:val="en-IN"/>
        </w:rPr>
        <w:t>iNOS</w:t>
      </w:r>
      <w:proofErr w:type="spellEnd"/>
      <w:r>
        <w:rPr>
          <w:rFonts w:ascii="AdvOT1ef757c0" w:hAnsi="AdvOT1ef757c0" w:cs="AdvOT1ef757c0"/>
          <w:sz w:val="16"/>
          <w:szCs w:val="16"/>
          <w:lang w:val="en-IN"/>
        </w:rPr>
        <w:t xml:space="preserve"> induced by non</w:t>
      </w:r>
      <w:r>
        <w:rPr>
          <w:rFonts w:ascii="AdvOT1ef757c0" w:hAnsi="AdvOT1ef757c0" w:cs="AdvOT1ef757c0"/>
          <w:sz w:val="16"/>
          <w:szCs w:val="16"/>
          <w:lang w:val="en-IN"/>
        </w:rPr>
        <w:t xml:space="preserve">viable </w:t>
      </w:r>
      <w:proofErr w:type="spellStart"/>
      <w:r>
        <w:rPr>
          <w:rFonts w:ascii="AdvOT1ef757c0" w:hAnsi="AdvOT1ef757c0" w:cs="AdvOT1ef757c0"/>
          <w:sz w:val="16"/>
          <w:szCs w:val="16"/>
          <w:lang w:val="en-IN"/>
        </w:rPr>
        <w:t>NTHi</w:t>
      </w:r>
      <w:proofErr w:type="spellEnd"/>
      <w:r>
        <w:rPr>
          <w:rFonts w:ascii="AdvOT1ef757c0" w:hAnsi="AdvOT1ef757c0" w:cs="AdvOT1ef757c0"/>
          <w:sz w:val="16"/>
          <w:szCs w:val="16"/>
          <w:lang w:val="en-IN"/>
        </w:rPr>
        <w:t xml:space="preserve"> bacteria or its LOS </w:t>
      </w:r>
      <w:r>
        <w:rPr>
          <w:rFonts w:ascii="AdvOT1ef757c0" w:hAnsi="AdvOT1ef757c0" w:cs="AdvOT1ef757c0"/>
          <w:sz w:val="16"/>
          <w:szCs w:val="16"/>
          <w:lang w:val="en-IN"/>
        </w:rPr>
        <w:t xml:space="preserve">mutants in the rat model of otitis media. </w:t>
      </w:r>
      <w:r w:rsidRPr="00A17149">
        <w:rPr>
          <w:rFonts w:ascii="AdvOT7d6df7ab.I" w:hAnsi="AdvOT7d6df7ab.I" w:cs="AdvOT7d6df7ab.I"/>
          <w:i/>
          <w:sz w:val="16"/>
          <w:szCs w:val="16"/>
          <w:lang w:val="en-IN"/>
        </w:rPr>
        <w:t>International Journal of</w:t>
      </w:r>
      <w:r>
        <w:rPr>
          <w:rFonts w:ascii="AdvOT1ef757c0" w:hAnsi="AdvOT1ef757c0" w:cs="AdvOT1ef757c0"/>
          <w:sz w:val="16"/>
          <w:szCs w:val="16"/>
          <w:lang w:val="en-IN"/>
        </w:rPr>
        <w:t xml:space="preserve"> </w:t>
      </w:r>
      <w:proofErr w:type="spellStart"/>
      <w:r w:rsidRPr="00A17149">
        <w:rPr>
          <w:rFonts w:ascii="AdvOT7d6df7ab.I" w:hAnsi="AdvOT7d6df7ab.I" w:cs="AdvOT7d6df7ab.I"/>
          <w:i/>
          <w:sz w:val="16"/>
          <w:szCs w:val="16"/>
          <w:lang w:val="en-IN"/>
        </w:rPr>
        <w:t>Pediatric</w:t>
      </w:r>
      <w:proofErr w:type="spellEnd"/>
      <w:r w:rsidRPr="00A17149">
        <w:rPr>
          <w:rFonts w:ascii="AdvOT7d6df7ab.I" w:hAnsi="AdvOT7d6df7ab.I" w:cs="AdvOT7d6df7ab.I"/>
          <w:i/>
          <w:sz w:val="16"/>
          <w:szCs w:val="16"/>
          <w:lang w:val="en-IN"/>
        </w:rPr>
        <w:t xml:space="preserve"> Otorhinolaryngology</w:t>
      </w:r>
      <w:r>
        <w:rPr>
          <w:rFonts w:ascii="AdvOT7d6df7ab.I" w:hAnsi="AdvOT7d6df7ab.I" w:cs="AdvOT7d6df7ab.I"/>
          <w:sz w:val="16"/>
          <w:szCs w:val="16"/>
          <w:lang w:val="en-IN"/>
        </w:rPr>
        <w:t xml:space="preserve"> </w:t>
      </w:r>
      <w:r w:rsidRPr="00A17149">
        <w:rPr>
          <w:rFonts w:ascii="AdvOTb65e897d.B" w:hAnsi="AdvOTb65e897d.B" w:cs="AdvOTb65e897d.B"/>
          <w:b/>
          <w:sz w:val="16"/>
          <w:szCs w:val="16"/>
          <w:lang w:val="en-IN"/>
        </w:rPr>
        <w:t>72</w:t>
      </w:r>
      <w:r>
        <w:rPr>
          <w:rFonts w:ascii="AdvOT1ef757c0" w:hAnsi="AdvOT1ef757c0" w:cs="AdvOT1ef757c0"/>
          <w:sz w:val="16"/>
          <w:szCs w:val="16"/>
          <w:lang w:val="en-IN"/>
        </w:rPr>
        <w:t>, 1183</w:t>
      </w:r>
      <w:r>
        <w:rPr>
          <w:rFonts w:ascii="AdvOT1ef757c0+20" w:hAnsi="AdvOT1ef757c0+20" w:cs="AdvOT1ef757c0+20"/>
          <w:sz w:val="16"/>
          <w:szCs w:val="16"/>
          <w:lang w:val="en-IN"/>
        </w:rPr>
        <w:t>–</w:t>
      </w:r>
      <w:r>
        <w:rPr>
          <w:rFonts w:ascii="AdvOT1ef757c0" w:hAnsi="AdvOT1ef757c0" w:cs="AdvOT1ef757c0"/>
          <w:sz w:val="16"/>
          <w:szCs w:val="16"/>
          <w:lang w:val="en-IN"/>
        </w:rPr>
        <w:t>1191.</w:t>
      </w:r>
    </w:p>
    <w:p w14:paraId="0C5841C6" w14:textId="77777777" w:rsidR="003440D5" w:rsidRDefault="003440D5">
      <w:bookmarkStart w:id="0" w:name="_GoBack"/>
      <w:bookmarkEnd w:id="0"/>
    </w:p>
    <w:sectPr w:rsidR="003440D5" w:rsidSect="002D531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OTa42dc7d3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b65e897d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1ef757c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7d6df7ab.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1ef757c0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25"/>
    <w:rsid w:val="002D5311"/>
    <w:rsid w:val="003440D5"/>
    <w:rsid w:val="00536925"/>
    <w:rsid w:val="009836A9"/>
    <w:rsid w:val="00996AA9"/>
    <w:rsid w:val="009D0AC8"/>
    <w:rsid w:val="00A17149"/>
    <w:rsid w:val="00CA5C0A"/>
    <w:rsid w:val="00EA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656F"/>
  <w15:chartTrackingRefBased/>
  <w15:docId w15:val="{579F1267-4F87-4CC1-835F-66A4E039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36925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53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LOGIDASAN P.</cp:lastModifiedBy>
  <cp:revision>2</cp:revision>
  <dcterms:created xsi:type="dcterms:W3CDTF">2019-05-08T15:37:00Z</dcterms:created>
  <dcterms:modified xsi:type="dcterms:W3CDTF">2019-05-29T03:16:00Z</dcterms:modified>
</cp:coreProperties>
</file>