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FABBE" w14:textId="42CE1ADA" w:rsidR="00502A67" w:rsidRPr="006F3BF6" w:rsidRDefault="00775E00" w:rsidP="00502A67">
      <w:pPr>
        <w:pStyle w:val="Heading1"/>
        <w:rPr>
          <w:rFonts w:ascii="Times New Roman" w:hAnsi="Times New Roman"/>
          <w:color w:val="000000"/>
          <w:lang w:val="en-GB"/>
        </w:rPr>
      </w:pPr>
      <w:r>
        <w:rPr>
          <w:rFonts w:ascii="Times New Roman" w:hAnsi="Times New Roman"/>
          <w:color w:val="000000"/>
          <w:lang w:val="en-GB"/>
        </w:rPr>
        <w:t>Supplementary Information</w:t>
      </w:r>
      <w:r w:rsidR="00D14499">
        <w:rPr>
          <w:rFonts w:ascii="Times New Roman" w:hAnsi="Times New Roman"/>
          <w:color w:val="000000"/>
          <w:lang w:val="en-GB"/>
        </w:rPr>
        <w:t>:</w:t>
      </w:r>
    </w:p>
    <w:p w14:paraId="731C6532" w14:textId="77777777" w:rsidR="00502A67" w:rsidRPr="006F3BF6" w:rsidRDefault="00502A67" w:rsidP="00502A67">
      <w:pPr>
        <w:pStyle w:val="Heading1"/>
        <w:pageBreakBefore w:val="0"/>
        <w:rPr>
          <w:rFonts w:ascii="Times New Roman" w:hAnsi="Times New Roman"/>
          <w:i/>
          <w:color w:val="000000" w:themeColor="text1"/>
          <w:lang w:val="en-US"/>
        </w:rPr>
      </w:pPr>
    </w:p>
    <w:p w14:paraId="236332D1" w14:textId="77777777" w:rsidR="00502A67" w:rsidRDefault="00502A67" w:rsidP="00502A67">
      <w:pPr>
        <w:pStyle w:val="Heading1"/>
        <w:pageBreakBefore w:val="0"/>
        <w:rPr>
          <w:rFonts w:ascii="Times New Roman" w:hAnsi="Times New Roman"/>
          <w:i/>
          <w:color w:val="000000" w:themeColor="text1"/>
          <w:lang w:val="en-US"/>
        </w:rPr>
      </w:pPr>
      <w:r w:rsidRPr="006F3BF6">
        <w:rPr>
          <w:rFonts w:ascii="Times New Roman" w:hAnsi="Times New Roman"/>
          <w:i/>
          <w:color w:val="000000" w:themeColor="text1"/>
          <w:lang w:val="en-US"/>
        </w:rPr>
        <w:t xml:space="preserve">Parasites shape community structure and dynamics in freshwater crustaceans </w:t>
      </w:r>
    </w:p>
    <w:p w14:paraId="2FA134F3" w14:textId="77777777" w:rsidR="00502A67" w:rsidRPr="004E64CF" w:rsidRDefault="00502A67" w:rsidP="00502A67">
      <w:pPr>
        <w:rPr>
          <w:lang w:val="en-US" w:eastAsia="ja-JP"/>
        </w:rPr>
      </w:pPr>
    </w:p>
    <w:p w14:paraId="56790A85" w14:textId="77777777" w:rsidR="00502A67" w:rsidRPr="0044479E" w:rsidRDefault="00502A67" w:rsidP="00502A67">
      <w:pPr>
        <w:spacing w:line="480" w:lineRule="auto"/>
        <w:rPr>
          <w:rFonts w:ascii="Times New Roman" w:hAnsi="Times New Roman" w:cs="Times New Roman"/>
          <w:sz w:val="28"/>
        </w:rPr>
      </w:pPr>
      <w:r w:rsidRPr="0044479E">
        <w:rPr>
          <w:rFonts w:ascii="Times New Roman" w:hAnsi="Times New Roman" w:cs="Times New Roman"/>
          <w:i/>
          <w:sz w:val="28"/>
        </w:rPr>
        <w:t>Supplementary Results</w:t>
      </w:r>
    </w:p>
    <w:p w14:paraId="7C956BA7" w14:textId="77777777" w:rsidR="00502A67" w:rsidRDefault="00502A67" w:rsidP="00502A67">
      <w:pPr>
        <w:spacing w:line="480" w:lineRule="auto"/>
        <w:rPr>
          <w:rFonts w:ascii="Times New Roman" w:hAnsi="Times New Roman" w:cs="Times New Roman"/>
          <w:bCs/>
          <w:i/>
          <w:lang w:val="en-US"/>
        </w:rPr>
      </w:pPr>
    </w:p>
    <w:p w14:paraId="0B4FCF9F" w14:textId="77777777" w:rsidR="00502A67" w:rsidRPr="0044479E" w:rsidRDefault="00502A67" w:rsidP="00502A67">
      <w:pPr>
        <w:spacing w:line="480" w:lineRule="auto"/>
        <w:rPr>
          <w:rFonts w:ascii="Times New Roman" w:hAnsi="Times New Roman" w:cs="Times New Roman"/>
          <w:bCs/>
          <w:i/>
          <w:lang w:val="en-US"/>
        </w:rPr>
      </w:pPr>
      <w:r w:rsidRPr="0044479E">
        <w:rPr>
          <w:rFonts w:ascii="Times New Roman" w:hAnsi="Times New Roman" w:cs="Times New Roman"/>
          <w:bCs/>
          <w:i/>
          <w:lang w:val="en-US"/>
        </w:rPr>
        <w:t>Host population dynamics</w:t>
      </w:r>
    </w:p>
    <w:p w14:paraId="0FDCB43F" w14:textId="77777777" w:rsidR="00502A67" w:rsidRPr="000A664F" w:rsidRDefault="00502A67" w:rsidP="00502A67">
      <w:pPr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bCs/>
          <w:lang w:val="en-US"/>
        </w:rPr>
        <w:t>The sex ratio</w:t>
      </w:r>
      <w:r>
        <w:rPr>
          <w:rFonts w:ascii="Times New Roman" w:hAnsi="Times New Roman" w:cs="Times New Roman"/>
          <w:bCs/>
          <w:lang w:val="en-US"/>
        </w:rPr>
        <w:t xml:space="preserve"> in </w:t>
      </w:r>
      <w:r w:rsidRPr="00F50BC5">
        <w:rPr>
          <w:rFonts w:ascii="Times New Roman" w:hAnsi="Times New Roman" w:cs="Times New Roman"/>
          <w:bCs/>
          <w:i/>
          <w:lang w:val="en-US"/>
        </w:rPr>
        <w:t>P. fluviatilis</w:t>
      </w:r>
      <w:r w:rsidRPr="00F50BC5">
        <w:rPr>
          <w:rFonts w:ascii="Times New Roman" w:hAnsi="Times New Roman" w:cs="Times New Roman"/>
          <w:bCs/>
          <w:lang w:val="en-US"/>
        </w:rPr>
        <w:t xml:space="preserve"> differed between low exposure and high exposure treatments at week 3 and 9, but not week 6 (Table 1</w:t>
      </w:r>
      <w:r w:rsidRPr="00F50BC5">
        <w:rPr>
          <w:rFonts w:ascii="Times New Roman" w:hAnsi="Times New Roman" w:cs="Times New Roman"/>
          <w:color w:val="000000"/>
          <w:lang w:val="en-US"/>
        </w:rPr>
        <w:t>).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F50BC5">
        <w:rPr>
          <w:rFonts w:ascii="Times New Roman" w:hAnsi="Times New Roman" w:cs="Times New Roman"/>
          <w:bCs/>
          <w:szCs w:val="22"/>
          <w:lang w:val="en-US"/>
        </w:rPr>
        <w:t>The ratio of males to females</w:t>
      </w:r>
      <w:r>
        <w:rPr>
          <w:rFonts w:ascii="Times New Roman" w:hAnsi="Times New Roman" w:cs="Times New Roman"/>
          <w:bCs/>
          <w:szCs w:val="22"/>
          <w:lang w:val="en-US"/>
        </w:rPr>
        <w:t xml:space="preserve"> in </w:t>
      </w:r>
      <w:r>
        <w:rPr>
          <w:rFonts w:ascii="Times New Roman" w:hAnsi="Times New Roman" w:cs="Times New Roman"/>
          <w:bCs/>
          <w:i/>
          <w:szCs w:val="22"/>
          <w:lang w:val="en-US"/>
        </w:rPr>
        <w:t>P. excavatum</w:t>
      </w:r>
      <w:r w:rsidRPr="00F50BC5">
        <w:rPr>
          <w:rFonts w:ascii="Times New Roman" w:hAnsi="Times New Roman" w:cs="Times New Roman"/>
          <w:bCs/>
          <w:szCs w:val="22"/>
          <w:lang w:val="en-US"/>
        </w:rPr>
        <w:t xml:space="preserve"> did not differ between low and high exposure </w:t>
      </w:r>
      <w:r w:rsidRPr="00F50BC5">
        <w:rPr>
          <w:rFonts w:ascii="Times New Roman" w:hAnsi="Times New Roman" w:cs="Times New Roman"/>
          <w:bCs/>
          <w:color w:val="000000" w:themeColor="text1"/>
          <w:szCs w:val="22"/>
          <w:lang w:val="en-US"/>
        </w:rPr>
        <w:t xml:space="preserve">treatments on any sampling </w:t>
      </w:r>
      <w:r w:rsidRPr="00F50BC5">
        <w:rPr>
          <w:rFonts w:ascii="Times New Roman" w:hAnsi="Times New Roman" w:cs="Times New Roman"/>
          <w:bCs/>
          <w:szCs w:val="22"/>
          <w:lang w:val="en-US"/>
        </w:rPr>
        <w:t xml:space="preserve">date </w:t>
      </w:r>
      <w:r w:rsidRPr="00F50BC5">
        <w:rPr>
          <w:rFonts w:ascii="Times New Roman" w:hAnsi="Times New Roman" w:cs="Times New Roman"/>
          <w:bCs/>
          <w:lang w:val="en-US"/>
        </w:rPr>
        <w:t>(Table 1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). </w:t>
      </w:r>
      <w:r w:rsidRPr="000A664F">
        <w:rPr>
          <w:rFonts w:ascii="Times New Roman" w:hAnsi="Times New Roman" w:cs="Times New Roman"/>
          <w:color w:val="000000"/>
          <w:lang w:val="en-US"/>
        </w:rPr>
        <w:t xml:space="preserve">However, since we did not see any recruitment and individual sex could not be determined as we set up the mesocosms, these ratios are just as likely due to the set-up of the experiment. </w:t>
      </w:r>
    </w:p>
    <w:p w14:paraId="20FB922E" w14:textId="77777777" w:rsidR="00502A67" w:rsidRDefault="00502A67" w:rsidP="00502A67">
      <w:pPr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lang w:val="en-US"/>
        </w:rPr>
        <w:t xml:space="preserve">Sex ratio in </w:t>
      </w:r>
      <w:r w:rsidRPr="00F50BC5">
        <w:rPr>
          <w:rFonts w:ascii="Times New Roman" w:hAnsi="Times New Roman" w:cs="Times New Roman"/>
          <w:i/>
          <w:lang w:val="en-US"/>
        </w:rPr>
        <w:t>A. annectens</w:t>
      </w:r>
      <w:r w:rsidRPr="00F50BC5">
        <w:rPr>
          <w:rFonts w:ascii="Times New Roman" w:hAnsi="Times New Roman" w:cs="Times New Roman"/>
          <w:lang w:val="en-US"/>
        </w:rPr>
        <w:t xml:space="preserve"> </w:t>
      </w:r>
      <w:r w:rsidRPr="00F50BC5">
        <w:rPr>
          <w:rFonts w:ascii="Times New Roman" w:hAnsi="Times New Roman" w:cs="Times New Roman"/>
          <w:color w:val="000000" w:themeColor="text1"/>
          <w:lang w:val="en-US"/>
        </w:rPr>
        <w:t xml:space="preserve">differed between treatments in week </w:t>
      </w:r>
      <w:r w:rsidRPr="00F50BC5">
        <w:rPr>
          <w:rFonts w:ascii="Times New Roman" w:hAnsi="Times New Roman" w:cs="Times New Roman"/>
          <w:lang w:val="en-US"/>
        </w:rPr>
        <w:t>3 and 9, but not in week 6 (Table 1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). The number of juveniles was higher in low exposure treatment mesocosms during week 6 and week 9 (Table 1). The proportion of males to females to juveniles in </w:t>
      </w:r>
      <w:r w:rsidRPr="00F50BC5">
        <w:rPr>
          <w:rFonts w:ascii="Times New Roman" w:hAnsi="Times New Roman" w:cs="Times New Roman"/>
          <w:i/>
          <w:lang w:val="en-US"/>
        </w:rPr>
        <w:t>A. lacustris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did not differ between treatments throughout all three sampling periods </w:t>
      </w:r>
      <w:r w:rsidRPr="00F50BC5">
        <w:rPr>
          <w:rFonts w:ascii="Times New Roman" w:hAnsi="Times New Roman" w:cs="Times New Roman"/>
          <w:lang w:val="en-US"/>
        </w:rPr>
        <w:t>(Table 1</w:t>
      </w:r>
      <w:r w:rsidRPr="00F50BC5">
        <w:rPr>
          <w:rFonts w:ascii="Times New Roman" w:hAnsi="Times New Roman" w:cs="Times New Roman"/>
          <w:color w:val="000000"/>
          <w:lang w:val="en-US"/>
        </w:rPr>
        <w:t>).</w:t>
      </w:r>
    </w:p>
    <w:p w14:paraId="6E23B883" w14:textId="77777777" w:rsidR="00502A67" w:rsidRDefault="00502A67" w:rsidP="00502A67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B6A7691" w14:textId="77777777" w:rsidR="00502A67" w:rsidRPr="0044479E" w:rsidRDefault="00502A67" w:rsidP="00502A67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i/>
          <w:color w:val="000000"/>
          <w:lang w:val="en-US"/>
        </w:rPr>
        <w:t>Host fecundity</w:t>
      </w:r>
    </w:p>
    <w:p w14:paraId="6E5397FA" w14:textId="77777777" w:rsidR="00502A67" w:rsidRDefault="00502A67" w:rsidP="00502A67">
      <w:pPr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lang w:val="en-US"/>
        </w:rPr>
        <w:t xml:space="preserve">The proportion of female </w:t>
      </w:r>
      <w:r w:rsidRPr="00F50BC5">
        <w:rPr>
          <w:rFonts w:ascii="Times New Roman" w:hAnsi="Times New Roman" w:cs="Times New Roman"/>
          <w:bCs/>
          <w:i/>
          <w:lang w:val="en-US"/>
        </w:rPr>
        <w:t xml:space="preserve">P. fluviatilis </w:t>
      </w:r>
      <w:r w:rsidRPr="00F50BC5">
        <w:rPr>
          <w:rFonts w:ascii="Times New Roman" w:hAnsi="Times New Roman" w:cs="Times New Roman"/>
          <w:lang w:val="en-US"/>
        </w:rPr>
        <w:t>carrying young did not differ between low and high exposure treatments in any of the three sampling periods (Table 2</w:t>
      </w:r>
      <w:r w:rsidRPr="00F50BC5">
        <w:rPr>
          <w:rFonts w:ascii="Times New Roman" w:hAnsi="Times New Roman" w:cs="Times New Roman"/>
          <w:color w:val="000000"/>
          <w:lang w:val="en-US"/>
        </w:rPr>
        <w:t>).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Infected females were more likely to be carrying </w:t>
      </w:r>
      <w:r w:rsidRPr="00502A67">
        <w:rPr>
          <w:rFonts w:ascii="Times New Roman" w:hAnsi="Times New Roman" w:cs="Times New Roman"/>
          <w:color w:val="000000" w:themeColor="text1"/>
          <w:lang w:val="en-US"/>
        </w:rPr>
        <w:t xml:space="preserve">young than uninfected ones throughout </w:t>
      </w:r>
      <w:r w:rsidRPr="00F50BC5">
        <w:rPr>
          <w:rFonts w:ascii="Times New Roman" w:hAnsi="Times New Roman" w:cs="Times New Roman"/>
          <w:color w:val="000000"/>
          <w:lang w:val="en-US"/>
        </w:rPr>
        <w:t>all sampling periods (</w:t>
      </w:r>
      <w:r w:rsidRPr="00F50BC5">
        <w:rPr>
          <w:rFonts w:ascii="Times New Roman" w:hAnsi="Times New Roman" w:cs="Times New Roman"/>
          <w:lang w:val="en-US"/>
        </w:rPr>
        <w:t xml:space="preserve">Week 3, </w:t>
      </w:r>
      <w:r w:rsidRPr="00F50BC5">
        <w:rPr>
          <w:rFonts w:ascii="Times New Roman" w:hAnsi="Times New Roman" w:cs="Times New Roman"/>
          <w:color w:val="000000"/>
          <w:lang w:val="en-US"/>
        </w:rPr>
        <w:t>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3.1,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0.073; Week 6,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23,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&lt; 0.0001; Week 9,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14,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0.0003). The relationship between infection status and the probability of carrying eggs held true in the low exposure treatment (</w:t>
      </w:r>
      <w:r w:rsidRPr="00F50BC5">
        <w:rPr>
          <w:rFonts w:ascii="Times New Roman" w:hAnsi="Times New Roman" w:cs="Times New Roman"/>
          <w:lang w:val="en-US"/>
        </w:rPr>
        <w:t xml:space="preserve">Week 3, </w:t>
      </w:r>
      <w:r w:rsidRPr="00F50BC5">
        <w:rPr>
          <w:rFonts w:ascii="Times New Roman" w:hAnsi="Times New Roman" w:cs="Times New Roman"/>
          <w:color w:val="000000"/>
          <w:lang w:val="en-US"/>
        </w:rPr>
        <w:t>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4.1,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0.04; Week 6,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15.7,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&lt; 0.0001; Week 9,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</w:t>
      </w:r>
      <w:r w:rsidRPr="00F50BC5">
        <w:rPr>
          <w:rFonts w:ascii="Times New Roman" w:hAnsi="Times New Roman" w:cs="Times New Roman"/>
          <w:color w:val="000000"/>
          <w:lang w:val="en-US"/>
        </w:rPr>
        <w:lastRenderedPageBreak/>
        <w:t xml:space="preserve">15.7,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0.0001), but not consistently in the high exposure treatment (</w:t>
      </w:r>
      <w:r w:rsidRPr="00F50BC5">
        <w:rPr>
          <w:rFonts w:ascii="Times New Roman" w:hAnsi="Times New Roman" w:cs="Times New Roman"/>
          <w:lang w:val="en-US"/>
        </w:rPr>
        <w:t xml:space="preserve">Week 3, </w:t>
      </w:r>
      <w:r w:rsidRPr="00F50BC5">
        <w:rPr>
          <w:rFonts w:ascii="Times New Roman" w:hAnsi="Times New Roman" w:cs="Times New Roman"/>
          <w:color w:val="000000"/>
          <w:lang w:val="en-US"/>
        </w:rPr>
        <w:t>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0.07,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0.80; Week 6,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7.6,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0.006; Week 9,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1.5,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0.22).</w:t>
      </w:r>
    </w:p>
    <w:p w14:paraId="17FA430A" w14:textId="77777777" w:rsidR="00502A67" w:rsidRPr="00F50BC5" w:rsidRDefault="00502A67" w:rsidP="00502A67">
      <w:pPr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bCs/>
          <w:lang w:val="en-US"/>
        </w:rPr>
        <w:t xml:space="preserve">Only two female </w:t>
      </w:r>
      <w:r w:rsidRPr="00F50BC5">
        <w:rPr>
          <w:rFonts w:ascii="Times New Roman" w:hAnsi="Times New Roman" w:cs="Times New Roman"/>
          <w:i/>
          <w:lang w:val="en-US"/>
        </w:rPr>
        <w:t>P. excavatum</w:t>
      </w:r>
      <w:r w:rsidRPr="00F50BC5">
        <w:rPr>
          <w:rFonts w:ascii="Times New Roman" w:hAnsi="Times New Roman" w:cs="Times New Roman"/>
          <w:lang w:val="en-US"/>
        </w:rPr>
        <w:t xml:space="preserve"> were carrying eggs, one in each treatment, and both were carrying the same number of eggs (three each). Both females were found during the week 3 sampling period. No </w:t>
      </w:r>
      <w:r w:rsidRPr="00F50BC5">
        <w:rPr>
          <w:rFonts w:ascii="Times New Roman" w:hAnsi="Times New Roman" w:cs="Times New Roman"/>
          <w:i/>
          <w:lang w:val="en-US"/>
        </w:rPr>
        <w:t xml:space="preserve">A. annectens </w:t>
      </w:r>
      <w:r w:rsidRPr="00F50BC5">
        <w:rPr>
          <w:rFonts w:ascii="Times New Roman" w:hAnsi="Times New Roman" w:cs="Times New Roman"/>
          <w:lang w:val="en-US"/>
        </w:rPr>
        <w:t xml:space="preserve">egg or pair was found in either treatment. The fecundity of </w:t>
      </w:r>
      <w:r w:rsidRPr="00F50BC5">
        <w:rPr>
          <w:rFonts w:ascii="Times New Roman" w:hAnsi="Times New Roman" w:cs="Times New Roman"/>
          <w:i/>
          <w:lang w:val="en-US"/>
        </w:rPr>
        <w:t>A. lacustris</w:t>
      </w:r>
      <w:r w:rsidRPr="00F50BC5">
        <w:rPr>
          <w:rFonts w:ascii="Times New Roman" w:hAnsi="Times New Roman" w:cs="Times New Roman"/>
          <w:lang w:val="en-US"/>
        </w:rPr>
        <w:t xml:space="preserve"> did not differ in week 6, but the proportion of paired individuals tended to be higher in low treatment tanks (</w:t>
      </w:r>
      <w:r w:rsidRPr="00F50BC5">
        <w:rPr>
          <w:rFonts w:ascii="Times New Roman" w:hAnsi="Times New Roman" w:cs="Times New Roman"/>
          <w:color w:val="000000"/>
          <w:lang w:val="en-US"/>
        </w:rPr>
        <w:t>Table 2). Similar trends were present in week 9 (</w:t>
      </w:r>
      <w:r w:rsidRPr="00F50BC5">
        <w:rPr>
          <w:rFonts w:ascii="Times New Roman" w:hAnsi="Times New Roman" w:cs="Times New Roman"/>
          <w:lang w:val="en-US"/>
        </w:rPr>
        <w:t>Table 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). No pair or young were found in </w:t>
      </w:r>
      <w:r w:rsidRPr="00F50BC5">
        <w:rPr>
          <w:rFonts w:ascii="Times New Roman" w:hAnsi="Times New Roman" w:cs="Times New Roman"/>
          <w:i/>
          <w:lang w:val="en-US"/>
        </w:rPr>
        <w:t>A. lacustris</w:t>
      </w:r>
      <w:r w:rsidRPr="00F50BC5">
        <w:rPr>
          <w:rFonts w:ascii="Times New Roman" w:hAnsi="Times New Roman" w:cs="Times New Roman"/>
          <w:lang w:val="en-US"/>
        </w:rPr>
        <w:t xml:space="preserve"> during week 3 sampling. </w:t>
      </w:r>
    </w:p>
    <w:p w14:paraId="76EA9BCA" w14:textId="77777777" w:rsidR="00502A67" w:rsidRDefault="00502A67" w:rsidP="00502A67">
      <w:pPr>
        <w:spacing w:line="480" w:lineRule="auto"/>
        <w:rPr>
          <w:rFonts w:ascii="Times New Roman" w:hAnsi="Times New Roman" w:cs="Times New Roman"/>
        </w:rPr>
      </w:pPr>
    </w:p>
    <w:p w14:paraId="21678753" w14:textId="77777777" w:rsidR="00502A67" w:rsidRDefault="00502A67" w:rsidP="00502A6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Parasite infection patterns</w:t>
      </w:r>
    </w:p>
    <w:p w14:paraId="1BBF4735" w14:textId="2A609D5B" w:rsidR="00502A67" w:rsidRPr="00F50BC5" w:rsidRDefault="00502A67" w:rsidP="00502A67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The mean abundance and prevalence of </w:t>
      </w:r>
      <w:r w:rsidRPr="00F50BC5">
        <w:rPr>
          <w:rFonts w:ascii="Times New Roman" w:hAnsi="Times New Roman" w:cs="Times New Roman"/>
          <w:bCs/>
          <w:i/>
          <w:color w:val="000000"/>
          <w:lang w:val="en-US"/>
        </w:rPr>
        <w:t>M. poulini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in </w:t>
      </w:r>
      <w:r w:rsidRPr="00F50BC5">
        <w:rPr>
          <w:rFonts w:ascii="Times New Roman" w:hAnsi="Times New Roman" w:cs="Times New Roman"/>
          <w:bCs/>
          <w:i/>
          <w:color w:val="000000"/>
          <w:lang w:val="en-US"/>
        </w:rPr>
        <w:t xml:space="preserve">P. fluviatilis 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decreased over time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in the low exposure treatment 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(abundance, </w:t>
      </w:r>
      <w:r w:rsidRPr="00F50BC5">
        <w:rPr>
          <w:rFonts w:ascii="Times New Roman" w:hAnsi="Times New Roman" w:cs="Times New Roman"/>
          <w:color w:val="000000"/>
          <w:lang w:val="en-US"/>
        </w:rPr>
        <w:t>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2,2999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4.6,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0.0097;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17.9,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0.0001</w:t>
      </w:r>
      <w:r w:rsidRPr="00F50BC5">
        <w:rPr>
          <w:rFonts w:ascii="Times New Roman" w:hAnsi="Times New Roman" w:cs="Times New Roman"/>
          <w:color w:val="000000"/>
          <w:lang w:val="en-US"/>
        </w:rPr>
        <w:t>) and high exposure treatment (abundance, 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2, 861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11.5,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&lt; 0.0001;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33.9,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&lt; 0.0001</w:t>
      </w:r>
      <w:r>
        <w:rPr>
          <w:rFonts w:ascii="Times New Roman" w:hAnsi="Times New Roman" w:cs="Times New Roman"/>
          <w:color w:val="000000"/>
          <w:lang w:val="en-US"/>
        </w:rPr>
        <w:t>; Fig. 3</w:t>
      </w:r>
      <w:r w:rsidRPr="00F50BC5">
        <w:rPr>
          <w:rFonts w:ascii="Times New Roman" w:hAnsi="Times New Roman" w:cs="Times New Roman"/>
          <w:color w:val="000000"/>
          <w:lang w:val="en-US"/>
        </w:rPr>
        <w:t>).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The mean abundance and prevalence of </w:t>
      </w:r>
      <w:r w:rsidRPr="00F50BC5">
        <w:rPr>
          <w:rFonts w:ascii="Times New Roman" w:hAnsi="Times New Roman" w:cs="Times New Roman"/>
          <w:bCs/>
          <w:i/>
          <w:color w:val="000000"/>
          <w:lang w:val="en-US"/>
        </w:rPr>
        <w:t>C. parvum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decreased over time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in both the low 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(abundance, </w:t>
      </w:r>
      <w:r w:rsidRPr="00F50BC5">
        <w:rPr>
          <w:rFonts w:ascii="Times New Roman" w:hAnsi="Times New Roman" w:cs="Times New Roman"/>
          <w:color w:val="000000"/>
          <w:lang w:val="en-US"/>
        </w:rPr>
        <w:t>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2,2999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5.0,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0.007;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13.8,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0.001</w:t>
      </w:r>
      <w:r w:rsidRPr="00F50BC5">
        <w:rPr>
          <w:rFonts w:ascii="Times New Roman" w:hAnsi="Times New Roman" w:cs="Times New Roman"/>
          <w:color w:val="000000"/>
          <w:lang w:val="en-US"/>
        </w:rPr>
        <w:t>) and high exposure treatments (abundance, 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2, 861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24.7,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&lt; 0.0001;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37.5,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&lt; 0.0001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; </w:t>
      </w:r>
      <w:r>
        <w:rPr>
          <w:rFonts w:ascii="Times New Roman" w:hAnsi="Times New Roman" w:cs="Times New Roman"/>
          <w:color w:val="000000"/>
          <w:lang w:val="en-US"/>
        </w:rPr>
        <w:t xml:space="preserve">Supplementary material Appendix 1,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Fig. </w:t>
      </w:r>
      <w:r>
        <w:rPr>
          <w:rFonts w:ascii="Times New Roman" w:hAnsi="Times New Roman" w:cs="Times New Roman"/>
          <w:color w:val="000000"/>
          <w:lang w:val="en-US"/>
        </w:rPr>
        <w:t>A1</w:t>
      </w:r>
      <w:r w:rsidRPr="00F50BC5">
        <w:rPr>
          <w:rFonts w:ascii="Times New Roman" w:hAnsi="Times New Roman" w:cs="Times New Roman"/>
          <w:color w:val="000000"/>
          <w:lang w:val="en-US"/>
        </w:rPr>
        <w:t>).</w:t>
      </w:r>
      <w:r w:rsidR="0013551E">
        <w:rPr>
          <w:rFonts w:ascii="Times New Roman" w:hAnsi="Times New Roman" w:cs="Times New Roman"/>
          <w:color w:val="000000"/>
          <w:lang w:val="en-US"/>
        </w:rPr>
        <w:t xml:space="preserve"> No juveniles (individuals </w:t>
      </w:r>
      <w:r w:rsidR="0013551E" w:rsidRPr="0013551E">
        <w:rPr>
          <w:rFonts w:ascii="Times New Roman" w:hAnsi="Times New Roman" w:cs="Times New Roman"/>
          <w:color w:val="000000"/>
          <w:u w:val="single"/>
          <w:lang w:val="en-US"/>
        </w:rPr>
        <w:sym w:font="Symbol" w:char="F03C"/>
      </w:r>
      <w:r w:rsidR="0013551E">
        <w:rPr>
          <w:rFonts w:ascii="Times New Roman" w:hAnsi="Times New Roman" w:cs="Times New Roman"/>
          <w:color w:val="000000"/>
          <w:lang w:val="en-US"/>
        </w:rPr>
        <w:t xml:space="preserve"> 1.5 mm) were infected in any treatment. </w:t>
      </w:r>
    </w:p>
    <w:p w14:paraId="141B7DBF" w14:textId="77777777" w:rsidR="00502A67" w:rsidRPr="00F50BC5" w:rsidRDefault="00502A67" w:rsidP="00502A67">
      <w:pPr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color w:val="000000"/>
          <w:lang w:val="en-US"/>
        </w:rPr>
        <w:t xml:space="preserve">The prevalence and abundance of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M. poulini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in </w:t>
      </w:r>
      <w:r>
        <w:rPr>
          <w:rFonts w:ascii="Times New Roman" w:hAnsi="Times New Roman" w:cs="Times New Roman"/>
          <w:i/>
          <w:color w:val="000000"/>
          <w:lang w:val="en-US"/>
        </w:rPr>
        <w:t xml:space="preserve">P. excavatum </w:t>
      </w:r>
      <w:r w:rsidRPr="00F50BC5">
        <w:rPr>
          <w:rFonts w:ascii="Times New Roman" w:hAnsi="Times New Roman" w:cs="Times New Roman"/>
          <w:color w:val="000000"/>
          <w:lang w:val="en-US"/>
        </w:rPr>
        <w:t>did not vary over time in either the low (abundance, 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2, 85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1.0,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0.36;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5.5,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0.08</w:t>
      </w:r>
      <w:r>
        <w:rPr>
          <w:rFonts w:ascii="Times New Roman" w:hAnsi="Times New Roman" w:cs="Times New Roman"/>
          <w:color w:val="000000"/>
          <w:lang w:val="en-US"/>
        </w:rPr>
        <w:t>; Fig. 3</w:t>
      </w:r>
      <w:r w:rsidRPr="00F50BC5">
        <w:rPr>
          <w:rFonts w:ascii="Times New Roman" w:hAnsi="Times New Roman" w:cs="Times New Roman"/>
          <w:color w:val="000000"/>
          <w:lang w:val="en-US"/>
        </w:rPr>
        <w:t>) or high exposure treatment (abundance, 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2, 83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0.80,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0.45;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2.5,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0.29</w:t>
      </w:r>
      <w:r>
        <w:rPr>
          <w:rFonts w:ascii="Times New Roman" w:hAnsi="Times New Roman" w:cs="Times New Roman"/>
          <w:color w:val="000000"/>
          <w:lang w:val="en-US"/>
        </w:rPr>
        <w:t>; Fig. 3</w:t>
      </w:r>
      <w:r w:rsidRPr="00F50BC5">
        <w:rPr>
          <w:rFonts w:ascii="Times New Roman" w:hAnsi="Times New Roman" w:cs="Times New Roman"/>
          <w:color w:val="000000"/>
          <w:lang w:val="en-US"/>
        </w:rPr>
        <w:t>), although the prevalence tended to decrease in the low exposure treatment.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F50BC5">
        <w:rPr>
          <w:rFonts w:ascii="Times New Roman" w:hAnsi="Times New Roman" w:cs="Times New Roman"/>
          <w:bCs/>
          <w:color w:val="000000" w:themeColor="text1"/>
          <w:lang w:val="en-US"/>
        </w:rPr>
        <w:t xml:space="preserve">The </w:t>
      </w:r>
      <w:r w:rsidRPr="00F50BC5">
        <w:rPr>
          <w:rFonts w:ascii="Times New Roman" w:hAnsi="Times New Roman" w:cs="Times New Roman"/>
          <w:bCs/>
          <w:lang w:val="en-US"/>
        </w:rPr>
        <w:t xml:space="preserve">mean abundance of </w:t>
      </w:r>
      <w:r w:rsidRPr="00F50BC5">
        <w:rPr>
          <w:rFonts w:ascii="Times New Roman" w:hAnsi="Times New Roman" w:cs="Times New Roman"/>
          <w:bCs/>
          <w:i/>
          <w:lang w:val="en-US"/>
        </w:rPr>
        <w:t>C. parvum</w:t>
      </w:r>
      <w:r w:rsidRPr="00F50BC5">
        <w:rPr>
          <w:rFonts w:ascii="Times New Roman" w:hAnsi="Times New Roman" w:cs="Times New Roman"/>
          <w:bCs/>
          <w:lang w:val="en-US"/>
        </w:rPr>
        <w:t xml:space="preserve"> did not vary between weeks in the low exposure treatment (</w:t>
      </w:r>
      <w:r w:rsidRPr="00F50BC5">
        <w:rPr>
          <w:rFonts w:ascii="Times New Roman" w:hAnsi="Times New Roman" w:cs="Times New Roman"/>
          <w:color w:val="000000"/>
          <w:lang w:val="en-US"/>
        </w:rPr>
        <w:t>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2,85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0.044,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0.96) but it varied in the high exposure treatment (F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2,83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4.0,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0.022), with the abundance being the highest in week 3 and lowest in week 6 (</w:t>
      </w:r>
      <w:r>
        <w:rPr>
          <w:rFonts w:ascii="Times New Roman" w:hAnsi="Times New Roman" w:cs="Times New Roman"/>
          <w:color w:val="000000"/>
          <w:lang w:val="en-US"/>
        </w:rPr>
        <w:t xml:space="preserve">Supplementary material </w:t>
      </w: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Appendix 1, </w:t>
      </w:r>
      <w:r w:rsidRPr="00F50BC5">
        <w:rPr>
          <w:rFonts w:ascii="Times New Roman" w:hAnsi="Times New Roman" w:cs="Times New Roman"/>
          <w:color w:val="000000"/>
          <w:lang w:val="en-US"/>
        </w:rPr>
        <w:t>Fig.</w:t>
      </w:r>
      <w:r>
        <w:rPr>
          <w:rFonts w:ascii="Times New Roman" w:hAnsi="Times New Roman" w:cs="Times New Roman"/>
          <w:color w:val="000000"/>
          <w:lang w:val="en-US"/>
        </w:rPr>
        <w:t xml:space="preserve"> A1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). The prevalence showed similar trends with no difference </w:t>
      </w:r>
      <w:r w:rsidRPr="00F50BC5">
        <w:rPr>
          <w:rFonts w:ascii="Times New Roman" w:hAnsi="Times New Roman" w:cs="Times New Roman"/>
          <w:color w:val="000000" w:themeColor="text1"/>
          <w:lang w:val="en-US"/>
        </w:rPr>
        <w:t xml:space="preserve">observed </w:t>
      </w:r>
      <w:r w:rsidRPr="00F50BC5">
        <w:rPr>
          <w:rFonts w:ascii="Times New Roman" w:hAnsi="Times New Roman" w:cs="Times New Roman"/>
          <w:color w:val="000000"/>
          <w:lang w:val="en-US"/>
        </w:rPr>
        <w:t>in the low exposure treatment (χ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0.59,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0.75) but a trend towards some variation in the high exposure treatment (</w:t>
      </w:r>
      <w:r w:rsidRPr="00F50BC5">
        <w:rPr>
          <w:rFonts w:ascii="Times New Roman" w:hAnsi="Times New Roman" w:cs="Times New Roman"/>
          <w:color w:val="000000"/>
          <w:lang w:val="en-US"/>
        </w:rPr>
        <w:t>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5.0,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0.08).  </w:t>
      </w:r>
    </w:p>
    <w:p w14:paraId="7DB3B26B" w14:textId="77777777" w:rsidR="00502A67" w:rsidRDefault="00502A67" w:rsidP="00502A67">
      <w:pPr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F50BC5">
        <w:rPr>
          <w:rFonts w:ascii="Times New Roman" w:hAnsi="Times New Roman" w:cs="Times New Roman"/>
          <w:bCs/>
          <w:lang w:val="en-US"/>
        </w:rPr>
        <w:t xml:space="preserve">The abundance and prevalence of </w:t>
      </w:r>
      <w:r w:rsidRPr="00F50BC5">
        <w:rPr>
          <w:rFonts w:ascii="Times New Roman" w:hAnsi="Times New Roman" w:cs="Times New Roman"/>
          <w:bCs/>
          <w:i/>
          <w:lang w:val="en-US"/>
        </w:rPr>
        <w:t>M. poulini</w:t>
      </w:r>
      <w:r w:rsidRPr="00F50BC5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 xml:space="preserve">in </w:t>
      </w:r>
      <w:r>
        <w:rPr>
          <w:rFonts w:ascii="Times New Roman" w:hAnsi="Times New Roman" w:cs="Times New Roman"/>
          <w:bCs/>
          <w:i/>
          <w:lang w:val="en-US"/>
        </w:rPr>
        <w:t xml:space="preserve">A. annectens </w:t>
      </w:r>
      <w:r w:rsidRPr="00F50BC5">
        <w:rPr>
          <w:rFonts w:ascii="Times New Roman" w:hAnsi="Times New Roman" w:cs="Times New Roman"/>
          <w:bCs/>
          <w:lang w:val="en-US"/>
        </w:rPr>
        <w:t>remained consistent in the low exposure treatment (</w:t>
      </w:r>
      <w:r w:rsidRPr="00F50BC5">
        <w:rPr>
          <w:rFonts w:ascii="Times New Roman" w:hAnsi="Times New Roman" w:cs="Times New Roman"/>
          <w:color w:val="000000"/>
          <w:lang w:val="en-US"/>
        </w:rPr>
        <w:t>abundance, 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2, 126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3.0,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0.06;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4.2,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0.12</w:t>
      </w:r>
      <w:r>
        <w:rPr>
          <w:rFonts w:ascii="Times New Roman" w:hAnsi="Times New Roman" w:cs="Times New Roman"/>
          <w:color w:val="000000"/>
          <w:lang w:val="en-US"/>
        </w:rPr>
        <w:t>; Fig. 3)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.  In the high exposure treatment, the abundance and prevalence of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 xml:space="preserve">M. poulini </w:t>
      </w:r>
      <w:r w:rsidRPr="00F50BC5">
        <w:rPr>
          <w:rFonts w:ascii="Times New Roman" w:hAnsi="Times New Roman" w:cs="Times New Roman"/>
          <w:color w:val="000000"/>
          <w:lang w:val="en-US"/>
        </w:rPr>
        <w:t>increased over time (abundance, F</w:t>
      </w:r>
      <w:r w:rsidRPr="00F50BC5">
        <w:rPr>
          <w:rFonts w:ascii="Times New Roman" w:hAnsi="Times New Roman" w:cs="Times New Roman"/>
          <w:color w:val="000000"/>
          <w:vertAlign w:val="subscript"/>
          <w:lang w:val="en-US"/>
        </w:rPr>
        <w:t xml:space="preserve">2, 93 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= 4.3, </w:t>
      </w:r>
      <w:r w:rsidRPr="00F50BC5">
        <w:rPr>
          <w:rFonts w:ascii="Times New Roman" w:hAnsi="Times New Roman" w:cs="Times New Roman"/>
          <w:i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0.02; prevalence, χ</w:t>
      </w:r>
      <w:r w:rsidRPr="00F50BC5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color w:val="000000"/>
          <w:lang w:val="en-US"/>
        </w:rPr>
        <w:t xml:space="preserve"> = 14.5, </w:t>
      </w:r>
      <w:r w:rsidRPr="00F50BC5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F50BC5">
        <w:rPr>
          <w:rFonts w:ascii="Times New Roman" w:hAnsi="Times New Roman" w:cs="Times New Roman"/>
          <w:bCs/>
          <w:color w:val="000000"/>
          <w:lang w:val="en-US"/>
        </w:rPr>
        <w:t xml:space="preserve"> = 0.007</w:t>
      </w:r>
      <w:r>
        <w:rPr>
          <w:rFonts w:ascii="Times New Roman" w:hAnsi="Times New Roman" w:cs="Times New Roman"/>
          <w:color w:val="000000"/>
          <w:lang w:val="en-US"/>
        </w:rPr>
        <w:t>; Fig. 3</w:t>
      </w:r>
      <w:r w:rsidRPr="00F50BC5">
        <w:rPr>
          <w:rFonts w:ascii="Times New Roman" w:hAnsi="Times New Roman" w:cs="Times New Roman"/>
          <w:color w:val="000000"/>
          <w:lang w:val="en-US"/>
        </w:rPr>
        <w:t>).</w:t>
      </w:r>
    </w:p>
    <w:p w14:paraId="71D0AF40" w14:textId="77777777" w:rsidR="00502A67" w:rsidRDefault="00502A67" w:rsidP="00502A67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DE0182B" w14:textId="77777777" w:rsidR="00502A67" w:rsidRPr="00F50BC5" w:rsidRDefault="00502A67" w:rsidP="00502A67">
      <w:pPr>
        <w:spacing w:line="480" w:lineRule="auto"/>
        <w:rPr>
          <w:rFonts w:ascii="Times New Roman" w:hAnsi="Times New Roman" w:cs="Times New Roman"/>
          <w:bCs/>
          <w:i/>
          <w:lang w:val="en-US"/>
        </w:rPr>
      </w:pPr>
      <w:r w:rsidRPr="00F50BC5">
        <w:rPr>
          <w:rFonts w:ascii="Times New Roman" w:hAnsi="Times New Roman" w:cs="Times New Roman"/>
          <w:bCs/>
          <w:i/>
          <w:lang w:val="en-US"/>
        </w:rPr>
        <w:t>Multispecies infections</w:t>
      </w:r>
    </w:p>
    <w:p w14:paraId="490C1571" w14:textId="77777777" w:rsidR="00502A67" w:rsidRPr="00F50BC5" w:rsidRDefault="00502A67" w:rsidP="00502A67">
      <w:pPr>
        <w:spacing w:line="480" w:lineRule="auto"/>
        <w:ind w:firstLine="720"/>
        <w:rPr>
          <w:rFonts w:ascii="Times New Roman" w:hAnsi="Times New Roman" w:cs="Times New Roman"/>
          <w:bCs/>
          <w:lang w:val="en-US"/>
        </w:rPr>
      </w:pPr>
      <w:r w:rsidRPr="00F50BC5">
        <w:rPr>
          <w:rFonts w:ascii="Times New Roman" w:hAnsi="Times New Roman" w:cs="Times New Roman"/>
          <w:lang w:val="en-US"/>
        </w:rPr>
        <w:t xml:space="preserve">Multiple infections were found in both amphipod species; </w:t>
      </w:r>
      <w:r w:rsidRPr="00F50BC5">
        <w:rPr>
          <w:rFonts w:ascii="Times New Roman" w:hAnsi="Times New Roman" w:cs="Times New Roman"/>
          <w:bCs/>
          <w:i/>
          <w:lang w:val="en-US"/>
        </w:rPr>
        <w:t>C. parvum</w:t>
      </w:r>
      <w:r w:rsidRPr="00F50BC5">
        <w:rPr>
          <w:rFonts w:ascii="Times New Roman" w:hAnsi="Times New Roman" w:cs="Times New Roman"/>
          <w:bCs/>
          <w:lang w:val="en-US"/>
        </w:rPr>
        <w:t xml:space="preserve"> and </w:t>
      </w:r>
      <w:r w:rsidRPr="00F50BC5">
        <w:rPr>
          <w:rFonts w:ascii="Times New Roman" w:hAnsi="Times New Roman" w:cs="Times New Roman"/>
          <w:bCs/>
          <w:i/>
          <w:lang w:val="en-US"/>
        </w:rPr>
        <w:t xml:space="preserve">M. poulini </w:t>
      </w:r>
      <w:r w:rsidRPr="00F50BC5">
        <w:rPr>
          <w:rFonts w:ascii="Times New Roman" w:hAnsi="Times New Roman" w:cs="Times New Roman"/>
          <w:bCs/>
          <w:lang w:val="en-US"/>
        </w:rPr>
        <w:t xml:space="preserve">co-infecting 1.0% of </w:t>
      </w:r>
      <w:r w:rsidRPr="00F50BC5">
        <w:rPr>
          <w:rFonts w:ascii="Times New Roman" w:hAnsi="Times New Roman" w:cs="Times New Roman"/>
          <w:i/>
          <w:lang w:val="en-US"/>
        </w:rPr>
        <w:t xml:space="preserve">P. fluviatilis </w:t>
      </w:r>
      <w:r w:rsidRPr="00F50BC5">
        <w:rPr>
          <w:rFonts w:ascii="Times New Roman" w:hAnsi="Times New Roman" w:cs="Times New Roman"/>
          <w:bCs/>
          <w:lang w:val="en-US"/>
        </w:rPr>
        <w:t xml:space="preserve">and 13% of </w:t>
      </w:r>
      <w:r w:rsidRPr="00F50BC5">
        <w:rPr>
          <w:rFonts w:ascii="Times New Roman" w:hAnsi="Times New Roman" w:cs="Times New Roman"/>
          <w:i/>
          <w:lang w:val="en-US"/>
        </w:rPr>
        <w:t>P. excavatum</w:t>
      </w:r>
      <w:r>
        <w:rPr>
          <w:rFonts w:ascii="Times New Roman" w:hAnsi="Times New Roman" w:cs="Times New Roman"/>
          <w:lang w:val="en-US"/>
        </w:rPr>
        <w:t xml:space="preserve"> across all three sampling dates</w:t>
      </w:r>
      <w:r w:rsidRPr="00F50BC5">
        <w:rPr>
          <w:rFonts w:ascii="Times New Roman" w:hAnsi="Times New Roman" w:cs="Times New Roman"/>
          <w:lang w:val="en-US"/>
        </w:rPr>
        <w:t xml:space="preserve">. Co-infections of </w:t>
      </w:r>
      <w:r w:rsidRPr="00F50BC5">
        <w:rPr>
          <w:rFonts w:ascii="Times New Roman" w:hAnsi="Times New Roman" w:cs="Times New Roman"/>
          <w:i/>
          <w:lang w:val="en-US"/>
        </w:rPr>
        <w:t xml:space="preserve">A. </w:t>
      </w:r>
      <w:proofErr w:type="spellStart"/>
      <w:r w:rsidRPr="00F50BC5">
        <w:rPr>
          <w:rFonts w:ascii="Times New Roman" w:hAnsi="Times New Roman" w:cs="Times New Roman"/>
          <w:i/>
          <w:lang w:val="en-US"/>
        </w:rPr>
        <w:t>galaxii</w:t>
      </w:r>
      <w:proofErr w:type="spellEnd"/>
      <w:r w:rsidRPr="00F50BC5">
        <w:rPr>
          <w:rFonts w:ascii="Times New Roman" w:hAnsi="Times New Roman" w:cs="Times New Roman"/>
          <w:lang w:val="en-US"/>
        </w:rPr>
        <w:t xml:space="preserve"> and </w:t>
      </w:r>
      <w:r w:rsidRPr="00F50BC5">
        <w:rPr>
          <w:rFonts w:ascii="Times New Roman" w:hAnsi="Times New Roman" w:cs="Times New Roman"/>
          <w:i/>
          <w:lang w:val="en-US"/>
        </w:rPr>
        <w:t>M. </w:t>
      </w:r>
      <w:r w:rsidRPr="00F50BC5">
        <w:rPr>
          <w:rFonts w:ascii="Times New Roman" w:hAnsi="Times New Roman" w:cs="Times New Roman"/>
          <w:i/>
          <w:color w:val="000000" w:themeColor="text1"/>
          <w:lang w:val="en-US"/>
        </w:rPr>
        <w:t>poulini</w:t>
      </w:r>
      <w:r w:rsidRPr="00F50BC5">
        <w:rPr>
          <w:rFonts w:ascii="Times New Roman" w:hAnsi="Times New Roman" w:cs="Times New Roman"/>
          <w:color w:val="000000" w:themeColor="text1"/>
          <w:lang w:val="en-US"/>
        </w:rPr>
        <w:t xml:space="preserve"> occurred in 0.1% of </w:t>
      </w:r>
      <w:r w:rsidRPr="00F50BC5">
        <w:rPr>
          <w:rFonts w:ascii="Times New Roman" w:hAnsi="Times New Roman" w:cs="Times New Roman"/>
          <w:i/>
          <w:color w:val="000000" w:themeColor="text1"/>
          <w:lang w:val="en-US"/>
        </w:rPr>
        <w:t>P. fluviatilis</w:t>
      </w:r>
      <w:r w:rsidRPr="00F50BC5">
        <w:rPr>
          <w:rFonts w:ascii="Times New Roman" w:hAnsi="Times New Roman" w:cs="Times New Roman"/>
          <w:color w:val="000000" w:themeColor="text1"/>
          <w:lang w:val="en-US"/>
        </w:rPr>
        <w:t xml:space="preserve"> whereas co-infections of </w:t>
      </w:r>
      <w:r w:rsidRPr="00F50BC5">
        <w:rPr>
          <w:rFonts w:ascii="Times New Roman" w:hAnsi="Times New Roman" w:cs="Times New Roman"/>
          <w:i/>
          <w:color w:val="000000" w:themeColor="text1"/>
          <w:lang w:val="en-US"/>
        </w:rPr>
        <w:t xml:space="preserve">A. </w:t>
      </w:r>
      <w:proofErr w:type="spellStart"/>
      <w:r w:rsidRPr="00F50BC5">
        <w:rPr>
          <w:rFonts w:ascii="Times New Roman" w:hAnsi="Times New Roman" w:cs="Times New Roman"/>
          <w:i/>
          <w:color w:val="000000" w:themeColor="text1"/>
          <w:lang w:val="en-US"/>
        </w:rPr>
        <w:t>galaxii</w:t>
      </w:r>
      <w:proofErr w:type="spellEnd"/>
      <w:r w:rsidRPr="00F50BC5">
        <w:rPr>
          <w:rFonts w:ascii="Times New Roman" w:hAnsi="Times New Roman" w:cs="Times New Roman"/>
          <w:color w:val="000000" w:themeColor="text1"/>
          <w:lang w:val="en-US"/>
        </w:rPr>
        <w:t xml:space="preserve"> and </w:t>
      </w:r>
      <w:r w:rsidRPr="00F50BC5">
        <w:rPr>
          <w:rFonts w:ascii="Times New Roman" w:hAnsi="Times New Roman" w:cs="Times New Roman"/>
          <w:i/>
          <w:color w:val="000000" w:themeColor="text1"/>
          <w:lang w:val="en-US"/>
        </w:rPr>
        <w:t>C. parvum</w:t>
      </w:r>
      <w:r w:rsidRPr="00F50BC5">
        <w:rPr>
          <w:rFonts w:ascii="Times New Roman" w:hAnsi="Times New Roman" w:cs="Times New Roman"/>
          <w:color w:val="000000" w:themeColor="text1"/>
          <w:lang w:val="en-US"/>
        </w:rPr>
        <w:t xml:space="preserve"> only were seen in </w:t>
      </w:r>
      <w:r w:rsidRPr="00F50BC5">
        <w:rPr>
          <w:rFonts w:ascii="Times New Roman" w:hAnsi="Times New Roman" w:cs="Times New Roman"/>
          <w:lang w:val="en-US"/>
        </w:rPr>
        <w:t>0.03% of individuals.</w:t>
      </w:r>
      <w:r w:rsidRPr="00F50BC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F50BC5">
        <w:rPr>
          <w:rFonts w:ascii="Times New Roman" w:hAnsi="Times New Roman" w:cs="Times New Roman"/>
          <w:bCs/>
          <w:i/>
          <w:lang w:val="en-US"/>
        </w:rPr>
        <w:t>Maritrema</w:t>
      </w:r>
      <w:proofErr w:type="spellEnd"/>
      <w:r w:rsidRPr="00F50BC5">
        <w:rPr>
          <w:rFonts w:ascii="Times New Roman" w:hAnsi="Times New Roman" w:cs="Times New Roman"/>
          <w:bCs/>
          <w:i/>
          <w:lang w:val="en-US"/>
        </w:rPr>
        <w:t xml:space="preserve"> poulini </w:t>
      </w:r>
      <w:r w:rsidRPr="00F50BC5">
        <w:rPr>
          <w:rFonts w:ascii="Times New Roman" w:hAnsi="Times New Roman" w:cs="Times New Roman"/>
          <w:bCs/>
          <w:lang w:val="en-US"/>
        </w:rPr>
        <w:t xml:space="preserve">and </w:t>
      </w:r>
      <w:r w:rsidRPr="00F50BC5">
        <w:rPr>
          <w:rFonts w:ascii="Times New Roman" w:hAnsi="Times New Roman" w:cs="Times New Roman"/>
          <w:bCs/>
          <w:i/>
          <w:lang w:val="en-US"/>
        </w:rPr>
        <w:t xml:space="preserve">H. spinigera </w:t>
      </w:r>
      <w:r w:rsidRPr="00F50BC5">
        <w:rPr>
          <w:rFonts w:ascii="Times New Roman" w:hAnsi="Times New Roman" w:cs="Times New Roman"/>
          <w:bCs/>
          <w:lang w:val="en-US"/>
        </w:rPr>
        <w:t xml:space="preserve">were found co-infecting one of </w:t>
      </w:r>
      <w:r w:rsidRPr="00F50BC5">
        <w:rPr>
          <w:rFonts w:ascii="Times New Roman" w:hAnsi="Times New Roman" w:cs="Times New Roman"/>
          <w:i/>
          <w:lang w:val="en-US"/>
        </w:rPr>
        <w:t xml:space="preserve">P. excavatum </w:t>
      </w:r>
      <w:r w:rsidRPr="00F50BC5">
        <w:rPr>
          <w:rFonts w:ascii="Times New Roman" w:hAnsi="Times New Roman" w:cs="Times New Roman"/>
          <w:lang w:val="en-US"/>
        </w:rPr>
        <w:t>(0.6%)</w:t>
      </w:r>
      <w:r w:rsidRPr="00F50BC5">
        <w:rPr>
          <w:rFonts w:ascii="Times New Roman" w:hAnsi="Times New Roman" w:cs="Times New Roman"/>
          <w:i/>
          <w:lang w:val="en-US"/>
        </w:rPr>
        <w:t>.</w:t>
      </w:r>
      <w:r w:rsidRPr="00F50BC5">
        <w:rPr>
          <w:rFonts w:ascii="Times New Roman" w:hAnsi="Times New Roman" w:cs="Times New Roman"/>
          <w:bCs/>
          <w:i/>
          <w:lang w:val="en-US"/>
        </w:rPr>
        <w:t xml:space="preserve"> </w:t>
      </w:r>
      <w:r w:rsidRPr="00F50BC5">
        <w:rPr>
          <w:rFonts w:ascii="Times New Roman" w:hAnsi="Times New Roman" w:cs="Times New Roman"/>
          <w:bCs/>
          <w:lang w:val="en-US"/>
        </w:rPr>
        <w:t xml:space="preserve">Additionally, one </w:t>
      </w:r>
      <w:r w:rsidRPr="00F50BC5">
        <w:rPr>
          <w:rFonts w:ascii="Times New Roman" w:hAnsi="Times New Roman" w:cs="Times New Roman"/>
          <w:i/>
          <w:lang w:val="en-US"/>
        </w:rPr>
        <w:t xml:space="preserve">P. excavatum </w:t>
      </w:r>
      <w:r w:rsidRPr="00F50BC5">
        <w:rPr>
          <w:rFonts w:ascii="Times New Roman" w:hAnsi="Times New Roman" w:cs="Times New Roman"/>
          <w:lang w:val="en-US"/>
        </w:rPr>
        <w:t>(0.6%) was infected with three parasite species (</w:t>
      </w:r>
      <w:r w:rsidRPr="00F50BC5">
        <w:rPr>
          <w:rFonts w:ascii="Times New Roman" w:hAnsi="Times New Roman" w:cs="Times New Roman"/>
          <w:bCs/>
          <w:i/>
          <w:lang w:val="en-US"/>
        </w:rPr>
        <w:t>C. parvum,</w:t>
      </w:r>
      <w:r w:rsidRPr="00F50BC5">
        <w:rPr>
          <w:rFonts w:ascii="Times New Roman" w:hAnsi="Times New Roman" w:cs="Times New Roman"/>
          <w:bCs/>
          <w:lang w:val="en-US"/>
        </w:rPr>
        <w:t xml:space="preserve"> </w:t>
      </w:r>
      <w:r w:rsidRPr="00F50BC5">
        <w:rPr>
          <w:rFonts w:ascii="Times New Roman" w:hAnsi="Times New Roman" w:cs="Times New Roman"/>
          <w:bCs/>
          <w:i/>
          <w:lang w:val="en-US"/>
        </w:rPr>
        <w:t xml:space="preserve">M. poulini, </w:t>
      </w:r>
      <w:r w:rsidRPr="00F50BC5">
        <w:rPr>
          <w:rFonts w:ascii="Times New Roman" w:hAnsi="Times New Roman" w:cs="Times New Roman"/>
          <w:bCs/>
          <w:lang w:val="en-US"/>
        </w:rPr>
        <w:t xml:space="preserve">and </w:t>
      </w:r>
      <w:r w:rsidRPr="00F50BC5">
        <w:rPr>
          <w:rFonts w:ascii="Times New Roman" w:hAnsi="Times New Roman" w:cs="Times New Roman"/>
          <w:bCs/>
          <w:i/>
          <w:lang w:val="en-US"/>
        </w:rPr>
        <w:t>H. spinigera</w:t>
      </w:r>
      <w:r w:rsidRPr="00F50BC5">
        <w:rPr>
          <w:rFonts w:ascii="Times New Roman" w:hAnsi="Times New Roman" w:cs="Times New Roman"/>
          <w:bCs/>
          <w:lang w:val="en-US"/>
        </w:rPr>
        <w:t>).</w:t>
      </w:r>
    </w:p>
    <w:p w14:paraId="6F9F7893" w14:textId="77777777" w:rsidR="00502A67" w:rsidRPr="00F50BC5" w:rsidRDefault="00502A67" w:rsidP="00502A67">
      <w:pPr>
        <w:spacing w:line="480" w:lineRule="auto"/>
        <w:ind w:firstLine="720"/>
        <w:rPr>
          <w:rFonts w:ascii="Times New Roman" w:hAnsi="Times New Roman" w:cs="Times New Roman"/>
          <w:bCs/>
          <w:lang w:val="en-US"/>
        </w:rPr>
      </w:pPr>
      <w:r w:rsidRPr="00F50BC5">
        <w:rPr>
          <w:rFonts w:ascii="Times New Roman" w:hAnsi="Times New Roman" w:cs="Times New Roman"/>
          <w:bCs/>
          <w:lang w:val="en-US"/>
        </w:rPr>
        <w:t xml:space="preserve">The prevalence of co-infection by both </w:t>
      </w:r>
      <w:r w:rsidRPr="00F50BC5">
        <w:rPr>
          <w:rFonts w:ascii="Times New Roman" w:hAnsi="Times New Roman" w:cs="Times New Roman"/>
          <w:bCs/>
          <w:i/>
          <w:lang w:val="en-US"/>
        </w:rPr>
        <w:t>M. poulini</w:t>
      </w:r>
      <w:r w:rsidRPr="00F50BC5">
        <w:rPr>
          <w:rFonts w:ascii="Times New Roman" w:hAnsi="Times New Roman" w:cs="Times New Roman"/>
          <w:bCs/>
          <w:lang w:val="en-US"/>
        </w:rPr>
        <w:t xml:space="preserve"> and </w:t>
      </w:r>
      <w:r w:rsidRPr="00F50BC5">
        <w:rPr>
          <w:rFonts w:ascii="Times New Roman" w:hAnsi="Times New Roman" w:cs="Times New Roman"/>
          <w:bCs/>
          <w:i/>
          <w:lang w:val="en-US"/>
        </w:rPr>
        <w:t>C. parvum</w:t>
      </w:r>
      <w:r w:rsidRPr="00F50BC5">
        <w:rPr>
          <w:rFonts w:ascii="Times New Roman" w:hAnsi="Times New Roman" w:cs="Times New Roman"/>
          <w:bCs/>
          <w:lang w:val="en-US"/>
        </w:rPr>
        <w:t xml:space="preserve"> in </w:t>
      </w:r>
      <w:r w:rsidRPr="00F50BC5">
        <w:rPr>
          <w:rFonts w:ascii="Times New Roman" w:hAnsi="Times New Roman" w:cs="Times New Roman"/>
          <w:i/>
          <w:lang w:val="en-US"/>
        </w:rPr>
        <w:t xml:space="preserve">P. fluviatilis </w:t>
      </w:r>
      <w:r w:rsidRPr="00F50BC5">
        <w:rPr>
          <w:rFonts w:ascii="Times New Roman" w:hAnsi="Times New Roman" w:cs="Times New Roman"/>
          <w:bCs/>
          <w:lang w:val="en-US"/>
        </w:rPr>
        <w:t xml:space="preserve">decreased over time in the high exposure treatment (Contingency analysis, </w:t>
      </w:r>
      <w:r w:rsidRPr="00F50BC5">
        <w:rPr>
          <w:rFonts w:ascii="Times New Roman" w:hAnsi="Times New Roman" w:cs="Times New Roman"/>
          <w:bCs/>
          <w:lang w:val="en-US"/>
        </w:rPr>
        <w:sym w:font="Symbol" w:char="F063"/>
      </w:r>
      <w:r w:rsidRPr="00F50BC5">
        <w:rPr>
          <w:rFonts w:ascii="Times New Roman" w:hAnsi="Times New Roman" w:cs="Times New Roman"/>
          <w:bCs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bCs/>
          <w:lang w:val="en-US"/>
        </w:rPr>
        <w:t xml:space="preserve"> = 35.3, </w:t>
      </w:r>
      <w:r w:rsidRPr="00F50BC5">
        <w:rPr>
          <w:rFonts w:ascii="Times New Roman" w:hAnsi="Times New Roman" w:cs="Times New Roman"/>
          <w:bCs/>
          <w:i/>
          <w:lang w:val="en-US"/>
        </w:rPr>
        <w:t>P</w:t>
      </w:r>
      <w:r w:rsidRPr="00F50BC5">
        <w:rPr>
          <w:rFonts w:ascii="Times New Roman" w:hAnsi="Times New Roman" w:cs="Times New Roman"/>
          <w:bCs/>
          <w:lang w:val="en-US"/>
        </w:rPr>
        <w:t xml:space="preserve"> &lt; 0.0001), but stayed consistent in the low exposure treatment (</w:t>
      </w:r>
      <w:r w:rsidRPr="00F50BC5">
        <w:rPr>
          <w:rFonts w:ascii="Times New Roman" w:hAnsi="Times New Roman" w:cs="Times New Roman"/>
          <w:bCs/>
          <w:lang w:val="en-US"/>
        </w:rPr>
        <w:sym w:font="Symbol" w:char="F063"/>
      </w:r>
      <w:r w:rsidRPr="00F50BC5">
        <w:rPr>
          <w:rFonts w:ascii="Times New Roman" w:hAnsi="Times New Roman" w:cs="Times New Roman"/>
          <w:bCs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bCs/>
          <w:lang w:val="en-US"/>
        </w:rPr>
        <w:t xml:space="preserve"> = 4.1, </w:t>
      </w:r>
      <w:r w:rsidRPr="00F50BC5">
        <w:rPr>
          <w:rFonts w:ascii="Times New Roman" w:hAnsi="Times New Roman" w:cs="Times New Roman"/>
          <w:bCs/>
          <w:i/>
          <w:lang w:val="en-US"/>
        </w:rPr>
        <w:t>P</w:t>
      </w:r>
      <w:r w:rsidRPr="00F50BC5">
        <w:rPr>
          <w:rFonts w:ascii="Times New Roman" w:hAnsi="Times New Roman" w:cs="Times New Roman"/>
          <w:bCs/>
          <w:lang w:val="en-US"/>
        </w:rPr>
        <w:t xml:space="preserve"> = 0.13).  </w:t>
      </w:r>
      <w:r w:rsidRPr="00F50BC5">
        <w:rPr>
          <w:rFonts w:ascii="Times New Roman" w:hAnsi="Times New Roman" w:cs="Times New Roman"/>
          <w:lang w:val="en-US"/>
        </w:rPr>
        <w:t xml:space="preserve">The number of multispecies infections in </w:t>
      </w:r>
      <w:r w:rsidRPr="00F50BC5">
        <w:rPr>
          <w:rFonts w:ascii="Times New Roman" w:hAnsi="Times New Roman" w:cs="Times New Roman"/>
          <w:i/>
          <w:lang w:val="en-US"/>
        </w:rPr>
        <w:t xml:space="preserve">P. fluviatilis </w:t>
      </w:r>
      <w:r w:rsidRPr="00F50BC5">
        <w:rPr>
          <w:rFonts w:ascii="Times New Roman" w:hAnsi="Times New Roman" w:cs="Times New Roman"/>
          <w:lang w:val="en-US"/>
        </w:rPr>
        <w:t xml:space="preserve">was higher in the high exposure treatment during week 3 and 6, but they did not differ in week 9 (Table 2). </w:t>
      </w:r>
    </w:p>
    <w:p w14:paraId="53E18827" w14:textId="7C47077B" w:rsidR="00502A67" w:rsidRDefault="00502A67" w:rsidP="00502A67">
      <w:pPr>
        <w:spacing w:line="480" w:lineRule="auto"/>
        <w:rPr>
          <w:rFonts w:ascii="Times New Roman" w:hAnsi="Times New Roman" w:cs="Times New Roman"/>
          <w:lang w:val="en-US"/>
        </w:rPr>
      </w:pPr>
      <w:r w:rsidRPr="00F50BC5">
        <w:rPr>
          <w:rFonts w:ascii="Times New Roman" w:hAnsi="Times New Roman" w:cs="Times New Roman"/>
          <w:b/>
          <w:lang w:val="en-US"/>
        </w:rPr>
        <w:tab/>
      </w:r>
      <w:r w:rsidRPr="00F50BC5">
        <w:rPr>
          <w:rFonts w:ascii="Times New Roman" w:hAnsi="Times New Roman" w:cs="Times New Roman"/>
          <w:lang w:val="en-US"/>
        </w:rPr>
        <w:t xml:space="preserve">Co-infections by </w:t>
      </w:r>
      <w:r w:rsidRPr="00F50BC5">
        <w:rPr>
          <w:rFonts w:ascii="Times New Roman" w:hAnsi="Times New Roman" w:cs="Times New Roman"/>
          <w:i/>
          <w:lang w:val="en-US"/>
        </w:rPr>
        <w:t>M. poulini</w:t>
      </w:r>
      <w:r w:rsidRPr="00F50BC5">
        <w:rPr>
          <w:rFonts w:ascii="Times New Roman" w:hAnsi="Times New Roman" w:cs="Times New Roman"/>
          <w:lang w:val="en-US"/>
        </w:rPr>
        <w:t xml:space="preserve"> and </w:t>
      </w:r>
      <w:r w:rsidRPr="00F50BC5">
        <w:rPr>
          <w:rFonts w:ascii="Times New Roman" w:hAnsi="Times New Roman" w:cs="Times New Roman"/>
          <w:i/>
          <w:lang w:val="en-US"/>
        </w:rPr>
        <w:t>C. parvum</w:t>
      </w:r>
      <w:r w:rsidRPr="00F50BC5">
        <w:rPr>
          <w:rFonts w:ascii="Times New Roman" w:hAnsi="Times New Roman" w:cs="Times New Roman"/>
          <w:lang w:val="en-US"/>
        </w:rPr>
        <w:t xml:space="preserve"> in </w:t>
      </w:r>
      <w:r w:rsidRPr="00F50BC5">
        <w:rPr>
          <w:rFonts w:ascii="Times New Roman" w:hAnsi="Times New Roman" w:cs="Times New Roman"/>
          <w:i/>
          <w:lang w:val="en-US"/>
        </w:rPr>
        <w:t>P. excavatum</w:t>
      </w:r>
      <w:r w:rsidRPr="00F50BC5">
        <w:rPr>
          <w:rFonts w:ascii="Times New Roman" w:hAnsi="Times New Roman" w:cs="Times New Roman"/>
          <w:lang w:val="en-US"/>
        </w:rPr>
        <w:t xml:space="preserve"> was highest in the high exposure treatment in week 3 but decreased in week 6 and week 9 (</w:t>
      </w:r>
      <w:r w:rsidRPr="00F50BC5">
        <w:rPr>
          <w:rFonts w:ascii="Times New Roman" w:hAnsi="Times New Roman" w:cs="Times New Roman"/>
          <w:bCs/>
          <w:lang w:val="en-US"/>
        </w:rPr>
        <w:t xml:space="preserve">Contingency analysis, </w:t>
      </w:r>
      <w:r w:rsidRPr="00F50BC5">
        <w:rPr>
          <w:rFonts w:ascii="Times New Roman" w:hAnsi="Times New Roman" w:cs="Times New Roman"/>
          <w:bCs/>
          <w:lang w:val="en-US"/>
        </w:rPr>
        <w:sym w:font="Symbol" w:char="F063"/>
      </w:r>
      <w:r w:rsidRPr="00F50BC5">
        <w:rPr>
          <w:rFonts w:ascii="Times New Roman" w:hAnsi="Times New Roman" w:cs="Times New Roman"/>
          <w:bCs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bCs/>
          <w:lang w:val="en-US"/>
        </w:rPr>
        <w:t xml:space="preserve"> = 5.8, </w:t>
      </w:r>
      <w:r w:rsidRPr="00F50BC5">
        <w:rPr>
          <w:rFonts w:ascii="Times New Roman" w:hAnsi="Times New Roman" w:cs="Times New Roman"/>
          <w:bCs/>
          <w:i/>
          <w:lang w:val="en-US"/>
        </w:rPr>
        <w:t>P</w:t>
      </w:r>
      <w:r w:rsidRPr="00F50BC5">
        <w:rPr>
          <w:rFonts w:ascii="Times New Roman" w:hAnsi="Times New Roman" w:cs="Times New Roman"/>
          <w:bCs/>
          <w:lang w:val="en-US"/>
        </w:rPr>
        <w:t xml:space="preserve"> = 0.046). Conversely, infections by both species stayed consistent across sampling </w:t>
      </w:r>
      <w:r w:rsidRPr="00F50BC5">
        <w:rPr>
          <w:rFonts w:ascii="Times New Roman" w:hAnsi="Times New Roman" w:cs="Times New Roman"/>
          <w:bCs/>
          <w:lang w:val="en-US"/>
        </w:rPr>
        <w:lastRenderedPageBreak/>
        <w:t xml:space="preserve">weeks in the low exposure treatment (Contingency analysis, </w:t>
      </w:r>
      <w:r w:rsidRPr="00F50BC5">
        <w:rPr>
          <w:rFonts w:ascii="Times New Roman" w:hAnsi="Times New Roman" w:cs="Times New Roman"/>
          <w:bCs/>
          <w:lang w:val="en-US"/>
        </w:rPr>
        <w:sym w:font="Symbol" w:char="F063"/>
      </w:r>
      <w:r w:rsidRPr="00F50BC5">
        <w:rPr>
          <w:rFonts w:ascii="Times New Roman" w:hAnsi="Times New Roman" w:cs="Times New Roman"/>
          <w:bCs/>
          <w:vertAlign w:val="superscript"/>
          <w:lang w:val="en-US"/>
        </w:rPr>
        <w:t>2</w:t>
      </w:r>
      <w:r w:rsidRPr="00F50BC5">
        <w:rPr>
          <w:rFonts w:ascii="Times New Roman" w:hAnsi="Times New Roman" w:cs="Times New Roman"/>
          <w:bCs/>
          <w:lang w:val="en-US"/>
        </w:rPr>
        <w:t xml:space="preserve"> = 0.59, </w:t>
      </w:r>
      <w:r w:rsidRPr="00F50BC5">
        <w:rPr>
          <w:rFonts w:ascii="Times New Roman" w:hAnsi="Times New Roman" w:cs="Times New Roman"/>
          <w:bCs/>
          <w:i/>
          <w:lang w:val="en-US"/>
        </w:rPr>
        <w:t>P</w:t>
      </w:r>
      <w:r w:rsidRPr="00F50BC5">
        <w:rPr>
          <w:rFonts w:ascii="Times New Roman" w:hAnsi="Times New Roman" w:cs="Times New Roman"/>
          <w:bCs/>
          <w:lang w:val="en-US"/>
        </w:rPr>
        <w:t xml:space="preserve"> = 0.74). Multiple species infections did not differ between low and high exposure treatments at any sampling period (Table 2</w:t>
      </w:r>
      <w:r w:rsidRPr="00F50BC5">
        <w:rPr>
          <w:rFonts w:ascii="Times New Roman" w:hAnsi="Times New Roman" w:cs="Times New Roman"/>
          <w:lang w:val="en-US"/>
        </w:rPr>
        <w:t xml:space="preserve">). </w:t>
      </w:r>
    </w:p>
    <w:p w14:paraId="4BF6F52A" w14:textId="0F8AB843" w:rsidR="00EA2019" w:rsidRDefault="00EA2019" w:rsidP="00502A67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7CBA5C6" w14:textId="3AA3890D" w:rsidR="00EA2019" w:rsidRDefault="00EA2019" w:rsidP="00502A67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2ECD95AF" w14:textId="1FF42BE0" w:rsidR="00EA2019" w:rsidRDefault="00EA2019" w:rsidP="00502A67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7543E6EB" w14:textId="48FECE91" w:rsidR="00EA2019" w:rsidRDefault="00EA2019" w:rsidP="00502A67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C63948A" w14:textId="63B94E2A" w:rsidR="00502A67" w:rsidRPr="00FD3C7E" w:rsidRDefault="00FD3C7E" w:rsidP="00FD3C7E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EB8F667" wp14:editId="4722BA93">
            <wp:extent cx="5426939" cy="78480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Fig 1_revision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39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4727" w14:textId="6F27EF29" w:rsidR="00F93E73" w:rsidRPr="00EA2019" w:rsidRDefault="00502A67">
      <w:pPr>
        <w:rPr>
          <w:rFonts w:ascii="Times New Roman" w:hAnsi="Times New Roman" w:cs="Times New Roman"/>
          <w:sz w:val="22"/>
          <w:lang w:val="en-US"/>
        </w:rPr>
      </w:pPr>
      <w:r>
        <w:rPr>
          <w:rFonts w:ascii="Times New Roman" w:hAnsi="Times New Roman" w:cs="Times New Roman"/>
          <w:b/>
          <w:sz w:val="22"/>
          <w:lang w:val="en-US"/>
        </w:rPr>
        <w:t xml:space="preserve">Supplementary </w:t>
      </w:r>
      <w:r w:rsidRPr="00F50BC5">
        <w:rPr>
          <w:rFonts w:ascii="Times New Roman" w:hAnsi="Times New Roman" w:cs="Times New Roman"/>
          <w:b/>
          <w:sz w:val="22"/>
          <w:lang w:val="en-US"/>
        </w:rPr>
        <w:t xml:space="preserve">Figure </w:t>
      </w:r>
      <w:r w:rsidR="00E8105E">
        <w:rPr>
          <w:rFonts w:ascii="Times New Roman" w:hAnsi="Times New Roman" w:cs="Times New Roman"/>
          <w:b/>
          <w:sz w:val="22"/>
          <w:lang w:val="en-US"/>
        </w:rPr>
        <w:t>S</w:t>
      </w:r>
      <w:r>
        <w:rPr>
          <w:rFonts w:ascii="Times New Roman" w:hAnsi="Times New Roman" w:cs="Times New Roman"/>
          <w:b/>
          <w:sz w:val="22"/>
          <w:lang w:val="en-US"/>
        </w:rPr>
        <w:t>1</w:t>
      </w:r>
      <w:r w:rsidRPr="00F50BC5">
        <w:rPr>
          <w:rFonts w:ascii="Times New Roman" w:hAnsi="Times New Roman" w:cs="Times New Roman"/>
          <w:sz w:val="22"/>
          <w:lang w:val="en-US"/>
        </w:rPr>
        <w:t xml:space="preserve">. Mean abundance of </w:t>
      </w:r>
      <w:proofErr w:type="spellStart"/>
      <w:r w:rsidRPr="00F50BC5">
        <w:rPr>
          <w:rFonts w:ascii="Times New Roman" w:hAnsi="Times New Roman" w:cs="Times New Roman"/>
          <w:i/>
          <w:sz w:val="22"/>
          <w:lang w:val="en-US"/>
        </w:rPr>
        <w:t>Coitocaecum</w:t>
      </w:r>
      <w:proofErr w:type="spellEnd"/>
      <w:r w:rsidRPr="00F50BC5">
        <w:rPr>
          <w:rFonts w:ascii="Times New Roman" w:hAnsi="Times New Roman" w:cs="Times New Roman"/>
          <w:i/>
          <w:sz w:val="22"/>
          <w:lang w:val="en-US"/>
        </w:rPr>
        <w:t xml:space="preserve"> parvum </w:t>
      </w:r>
      <w:r w:rsidRPr="00F50BC5">
        <w:rPr>
          <w:rFonts w:ascii="Times New Roman" w:hAnsi="Times New Roman" w:cs="Times New Roman"/>
          <w:sz w:val="22"/>
          <w:lang w:val="en-US"/>
        </w:rPr>
        <w:t xml:space="preserve">in two host species, </w:t>
      </w:r>
      <w:r w:rsidRPr="00F50BC5">
        <w:rPr>
          <w:rFonts w:ascii="Times New Roman" w:hAnsi="Times New Roman" w:cs="Times New Roman"/>
          <w:i/>
          <w:sz w:val="22"/>
          <w:lang w:val="en-US"/>
        </w:rPr>
        <w:t xml:space="preserve">Paracalliope fluviatilis, </w:t>
      </w:r>
      <w:r w:rsidRPr="00F50BC5">
        <w:rPr>
          <w:rFonts w:ascii="Times New Roman" w:hAnsi="Times New Roman" w:cs="Times New Roman"/>
          <w:sz w:val="22"/>
          <w:lang w:val="en-US"/>
        </w:rPr>
        <w:t xml:space="preserve">and </w:t>
      </w:r>
      <w:r w:rsidRPr="00F50BC5">
        <w:rPr>
          <w:rFonts w:ascii="Times New Roman" w:hAnsi="Times New Roman" w:cs="Times New Roman"/>
          <w:i/>
          <w:sz w:val="22"/>
          <w:lang w:val="en-US"/>
        </w:rPr>
        <w:t xml:space="preserve">Paracorophium excavatum, </w:t>
      </w:r>
      <w:r w:rsidRPr="00F50BC5">
        <w:rPr>
          <w:rFonts w:ascii="Times New Roman" w:hAnsi="Times New Roman" w:cs="Times New Roman"/>
          <w:sz w:val="22"/>
          <w:lang w:val="en-US"/>
        </w:rPr>
        <w:t>in both low and high treatments through the sampling periods (a) week 3, (b) week 6, and (c) week 9. Stars represent a significant difference (</w:t>
      </w:r>
      <w:r w:rsidRPr="00F50BC5">
        <w:rPr>
          <w:rFonts w:ascii="Times New Roman" w:hAnsi="Times New Roman" w:cs="Times New Roman"/>
          <w:i/>
          <w:sz w:val="22"/>
          <w:lang w:val="en-US"/>
        </w:rPr>
        <w:t>P</w:t>
      </w:r>
      <w:r w:rsidRPr="00F50BC5">
        <w:rPr>
          <w:rFonts w:ascii="Times New Roman" w:hAnsi="Times New Roman" w:cs="Times New Roman"/>
          <w:sz w:val="22"/>
          <w:lang w:val="en-US"/>
        </w:rPr>
        <w:t xml:space="preserve"> &lt; 0.05) between the two treatment groups. </w:t>
      </w:r>
      <w:r w:rsidRPr="00502A67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Sample size of 6 mesocosms per treatment per sampling </w:t>
      </w:r>
      <w:r w:rsidRPr="00F50BC5">
        <w:rPr>
          <w:rFonts w:ascii="Times New Roman" w:hAnsi="Times New Roman" w:cs="Times New Roman"/>
          <w:sz w:val="22"/>
          <w:lang w:val="en-US"/>
        </w:rPr>
        <w:t xml:space="preserve">period. </w:t>
      </w:r>
      <w:bookmarkStart w:id="0" w:name="_GoBack"/>
      <w:bookmarkEnd w:id="0"/>
    </w:p>
    <w:sectPr w:rsidR="00F93E73" w:rsidRPr="00EA2019" w:rsidSect="00502A6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A67"/>
    <w:rsid w:val="0013551E"/>
    <w:rsid w:val="00502A67"/>
    <w:rsid w:val="00666004"/>
    <w:rsid w:val="00775E00"/>
    <w:rsid w:val="00922535"/>
    <w:rsid w:val="00D038BF"/>
    <w:rsid w:val="00D14499"/>
    <w:rsid w:val="00E8105E"/>
    <w:rsid w:val="00EA2019"/>
    <w:rsid w:val="00F612C5"/>
    <w:rsid w:val="00F93E73"/>
    <w:rsid w:val="00FD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0C3F0"/>
  <w15:chartTrackingRefBased/>
  <w15:docId w15:val="{AAF000C5-1A87-AD49-A9EF-4BF75515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2A67"/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2A67"/>
    <w:pPr>
      <w:keepNext/>
      <w:keepLines/>
      <w:pageBreakBefore/>
      <w:outlineLvl w:val="0"/>
    </w:pPr>
    <w:rPr>
      <w:rFonts w:ascii="Optima" w:eastAsia="Calibri" w:hAnsi="Optima" w:cs="Times New Roman"/>
      <w:b/>
      <w:bCs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02A67"/>
    <w:rPr>
      <w:rFonts w:ascii="Optima" w:eastAsia="Calibri" w:hAnsi="Optima" w:cs="Times New Roman"/>
      <w:b/>
      <w:bCs/>
      <w:sz w:val="32"/>
      <w:szCs w:val="3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02A67"/>
  </w:style>
  <w:style w:type="paragraph" w:styleId="BalloonText">
    <w:name w:val="Balloon Text"/>
    <w:basedOn w:val="Normal"/>
    <w:link w:val="BalloonTextChar"/>
    <w:uiPriority w:val="99"/>
    <w:semiHidden/>
    <w:unhideWhenUsed/>
    <w:rsid w:val="00502A6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A67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ABE88-0836-424C-9338-8B450100F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893</Words>
  <Characters>5096</Characters>
  <Application>Microsoft Office Word</Application>
  <DocSecurity>0</DocSecurity>
  <Lines>42</Lines>
  <Paragraphs>11</Paragraphs>
  <ScaleCrop>false</ScaleCrop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Olwyn Friesen</dc:creator>
  <cp:keywords/>
  <dc:description/>
  <cp:lastModifiedBy>Olwyn Friesen</cp:lastModifiedBy>
  <cp:revision>5</cp:revision>
  <dcterms:created xsi:type="dcterms:W3CDTF">2019-06-20T15:15:00Z</dcterms:created>
  <dcterms:modified xsi:type="dcterms:W3CDTF">2019-09-13T17:15:00Z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http://www.zotero.org/styles/apa-old-doi-prefix</vt:lpwstr>
  </property>
  <property fmtid="{D5CDD505-2E9C-101B-9397-08002B2CF9AE}" pid="5" name="Mendeley Recent Style Name 1_1">
    <vt:lpwstr>American Psychological Association 6th edition ("doi:" DOI prefix)</vt:lpwstr>
  </property>
  <property fmtid="{D5CDD505-2E9C-101B-9397-08002B2CF9AE}" pid="6" name="Mendeley Recent Style Id 2_1">
    <vt:lpwstr>http://csl.mendeley.com/styles/4655971/apa-old-doi-prefix</vt:lpwstr>
  </property>
  <property fmtid="{D5CDD505-2E9C-101B-9397-08002B2CF9AE}" pid="7" name="Mendeley Recent Style Name 2_1">
    <vt:lpwstr>American Psychological Association 6th edition ("doi:" DOI prefix) - Olwyn Friesen, M.Sc., B.Sc (hons)</vt:lpwstr>
  </property>
  <property fmtid="{D5CDD505-2E9C-101B-9397-08002B2CF9AE}" pid="8" name="Mendeley Recent Style Id 3_1">
    <vt:lpwstr>https://csl.mendeley.com/styles/4655971/apa-old-doi-prefix</vt:lpwstr>
  </property>
  <property fmtid="{D5CDD505-2E9C-101B-9397-08002B2CF9AE}" pid="9" name="Mendeley Recent Style Name 3_1">
    <vt:lpwstr>American Psychological Association 6th edition ("doi:" DOI prefix) - Olwyn Friesen, M.Sc., B.Sc (hons)</vt:lpwstr>
  </property>
  <property fmtid="{D5CDD505-2E9C-101B-9397-08002B2CF9AE}" pid="10" name="Mendeley Recent Style Id 4_1">
    <vt:lpwstr>http://www.zotero.org/styles/freshwater-biology</vt:lpwstr>
  </property>
  <property fmtid="{D5CDD505-2E9C-101B-9397-08002B2CF9AE}" pid="11" name="Mendeley Recent Style Name 4_1">
    <vt:lpwstr>Freshwater Biology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http://www.zotero.org/styles/journal-of-animal-ecology</vt:lpwstr>
  </property>
  <property fmtid="{D5CDD505-2E9C-101B-9397-08002B2CF9AE}" pid="15" name="Mendeley Recent Style Name 6_1">
    <vt:lpwstr>Journal of Animal Ecology</vt:lpwstr>
  </property>
  <property fmtid="{D5CDD505-2E9C-101B-9397-08002B2CF9AE}" pid="16" name="Mendeley Recent Style Id 7_1">
    <vt:lpwstr>http://csl.mendeley.com/styles/20448741/minimal-grant-proposals</vt:lpwstr>
  </property>
  <property fmtid="{D5CDD505-2E9C-101B-9397-08002B2CF9AE}" pid="17" name="Mendeley Recent Style Name 7_1">
    <vt:lpwstr>Minimal style for grant proposals</vt:lpwstr>
  </property>
  <property fmtid="{D5CDD505-2E9C-101B-9397-08002B2CF9AE}" pid="18" name="Mendeley Recent Style Id 8_1">
    <vt:lpwstr>http://www.zotero.org/styles/science</vt:lpwstr>
  </property>
  <property fmtid="{D5CDD505-2E9C-101B-9397-08002B2CF9AE}" pid="19" name="Mendeley Recent Style Name 8_1">
    <vt:lpwstr>Science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