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92" w:rsidRPr="007A73FE" w:rsidRDefault="00D47A92" w:rsidP="001926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D47A92">
        <w:rPr>
          <w:rFonts w:ascii="Times New Roman" w:eastAsia="Arial" w:hAnsi="Times New Roman" w:cs="Times New Roman"/>
          <w:b/>
          <w:color w:val="000000"/>
        </w:rPr>
        <w:t>Table S3</w:t>
      </w:r>
      <w:r w:rsidRPr="00D47A92">
        <w:rPr>
          <w:rFonts w:ascii="Times New Roman" w:eastAsia="Arial" w:hAnsi="Times New Roman" w:cs="Times New Roman"/>
          <w:color w:val="000000"/>
        </w:rPr>
        <w:t xml:space="preserve"> - Binary logistic regression analysis of susceptibility to </w:t>
      </w:r>
      <w:proofErr w:type="spellStart"/>
      <w:r w:rsidRPr="00D47A92">
        <w:rPr>
          <w:rFonts w:ascii="Times New Roman" w:eastAsia="Arial" w:hAnsi="Times New Roman" w:cs="Times New Roman"/>
          <w:i/>
          <w:color w:val="000000"/>
        </w:rPr>
        <w:t>Gamasodes</w:t>
      </w:r>
      <w:proofErr w:type="spellEnd"/>
      <w:r w:rsidRPr="00D47A92">
        <w:rPr>
          <w:rFonts w:ascii="Times New Roman" w:eastAsia="Arial" w:hAnsi="Times New Roman" w:cs="Times New Roman"/>
          <w:color w:val="000000"/>
        </w:rPr>
        <w:t xml:space="preserve"> mites for 10 UAS-GAL4 lines and respective controls (for each analysis in the table, the RNAi target line is provided first and the control is provided second; the name of the RNAi target is provided in parentheses). Infested flies were coded as 0, and </w:t>
      </w:r>
      <w:proofErr w:type="spellStart"/>
      <w:r w:rsidRPr="00D47A92">
        <w:rPr>
          <w:rFonts w:ascii="Times New Roman" w:eastAsia="Arial" w:hAnsi="Times New Roman" w:cs="Times New Roman"/>
          <w:color w:val="000000"/>
        </w:rPr>
        <w:t>uninfested</w:t>
      </w:r>
      <w:proofErr w:type="spellEnd"/>
      <w:r w:rsidRPr="00D47A92">
        <w:rPr>
          <w:rFonts w:ascii="Times New Roman" w:eastAsia="Arial" w:hAnsi="Times New Roman" w:cs="Times New Roman"/>
          <w:color w:val="000000"/>
        </w:rPr>
        <w:t xml:space="preserve"> flies as 1. Line and sex were treated as categorical terms. The regression coefficient (B), a Wald chi-square statistic and associated </w:t>
      </w:r>
      <w:r w:rsidRPr="00D47A92">
        <w:rPr>
          <w:rFonts w:ascii="Times New Roman" w:eastAsia="Arial" w:hAnsi="Times New Roman" w:cs="Times New Roman"/>
          <w:i/>
          <w:color w:val="000000"/>
        </w:rPr>
        <w:t xml:space="preserve">p </w:t>
      </w:r>
      <w:r w:rsidRPr="00D47A92">
        <w:rPr>
          <w:rFonts w:ascii="Times New Roman" w:eastAsia="Arial" w:hAnsi="Times New Roman" w:cs="Times New Roman"/>
          <w:color w:val="000000"/>
        </w:rPr>
        <w:t xml:space="preserve">value are provided for each analysis, along with the odds ratio and associated 95% confidence interval. </w:t>
      </w:r>
    </w:p>
    <w:p w:rsidR="00D47A92" w:rsidRPr="007A73FE" w:rsidRDefault="00D47A92" w:rsidP="00192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956"/>
        <w:gridCol w:w="936"/>
        <w:gridCol w:w="996"/>
        <w:gridCol w:w="536"/>
        <w:gridCol w:w="1012"/>
        <w:gridCol w:w="1450"/>
        <w:gridCol w:w="901"/>
        <w:gridCol w:w="1029"/>
      </w:tblGrid>
      <w:tr w:rsidR="000B6DE1" w:rsidRPr="007A73FE" w:rsidTr="007A73FE">
        <w:tc>
          <w:tcPr>
            <w:tcW w:w="1323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Predictor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S.E.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Wald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proofErr w:type="spellStart"/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P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OR</w:t>
            </w:r>
          </w:p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(odds ratio)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95% C.I. for OR</w:t>
            </w:r>
          </w:p>
        </w:tc>
      </w:tr>
      <w:tr w:rsidR="000B6DE1" w:rsidRPr="007A73FE" w:rsidTr="007A73FE">
        <w:tc>
          <w:tcPr>
            <w:tcW w:w="13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Lower</w:t>
            </w: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</w:tcPr>
          <w:p w:rsidR="00C36C6E" w:rsidRPr="00C65647" w:rsidRDefault="00C36C6E" w:rsidP="002774CA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C65647">
              <w:rPr>
                <w:rFonts w:ascii="Times New Roman" w:eastAsia="Arial" w:hAnsi="Times New Roman" w:cs="Times New Roman"/>
                <w:b/>
                <w:bCs/>
                <w:color w:val="000000"/>
              </w:rPr>
              <w:t>Upper</w:t>
            </w:r>
          </w:p>
        </w:tc>
      </w:tr>
      <w:tr w:rsidR="007A73FE" w:rsidRPr="00040BD9" w:rsidTr="007A73FE">
        <w:tc>
          <w:tcPr>
            <w:tcW w:w="9139" w:type="dxa"/>
            <w:gridSpan w:val="9"/>
            <w:tcBorders>
              <w:top w:val="single" w:sz="8" w:space="0" w:color="auto"/>
            </w:tcBorders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1. P{TRiP.GLV21081}attP2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}attP2 (CG11539)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-1.774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0. 357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24.681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&lt;0.001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0.170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0.084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0.342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-0.091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0.318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0.082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0.775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0.913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0.490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 xml:space="preserve">1.703 </w:t>
            </w:r>
          </w:p>
        </w:tc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2. P{TRiP.JF01946}attP2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}attP2 (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bmm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-1.573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0.326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23.236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&lt;0.001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0.207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0.109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0.393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0.232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0.305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0.578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0.447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0.793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0.436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1.442</w:t>
            </w:r>
          </w:p>
        </w:tc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3. P{TRiP.HMC04066}attP2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}attP2 (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TotA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0.700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0.314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4.956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0.026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2.013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1.087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3.727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0.531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0.312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2.908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0.088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1.701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0.924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3.133</w:t>
            </w:r>
          </w:p>
        </w:tc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4. P{TRiP.HMC06168}attP40 vs. 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}attP40 (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TotZ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0.504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0.287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3.092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0.079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1.656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0.944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2.905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0.311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0.285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1.190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0.275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1.365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0.780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2.388</w:t>
            </w:r>
          </w:p>
        </w:tc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5. P{TRiP.HMC03362}attP40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}attP40 (PGI)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0.839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0.272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9.482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0.002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2.313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1.356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3.944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-0.970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0.272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12.682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&lt;0.001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0.379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0.222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0.647</w:t>
            </w:r>
          </w:p>
        </w:tc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6. P{TRiP.HMC05755}attP40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}attP40 (CG30287)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-0.345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0.264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1.712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0.191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0.708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0.423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1.187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0.617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0.264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5.474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0.019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1.853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1.105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3.108</w:t>
            </w:r>
          </w:p>
        </w:tc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7. P{TRiP.HMS00629}attP2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}attP40 (Lsd2)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-0.508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0.262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3.765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ED7D31"/>
              </w:rPr>
            </w:pPr>
            <w:r w:rsidRPr="00B3211F">
              <w:rPr>
                <w:rFonts w:ascii="Times New Roman" w:eastAsia="Arial" w:hAnsi="Times New Roman" w:cs="Times New Roman"/>
                <w:color w:val="ED7D31"/>
              </w:rPr>
              <w:t>0.052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0.602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0.360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1.005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-0.541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0.262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4.280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0.039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0.582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0.348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0.972</w:t>
            </w:r>
          </w:p>
        </w:tc>
        <w:bookmarkStart w:id="0" w:name="_GoBack"/>
        <w:bookmarkEnd w:id="0"/>
      </w:tr>
      <w:tr w:rsidR="007A73FE" w:rsidRPr="00040BD9" w:rsidTr="007A73FE">
        <w:tc>
          <w:tcPr>
            <w:tcW w:w="9139" w:type="dxa"/>
            <w:gridSpan w:val="9"/>
          </w:tcPr>
          <w:p w:rsidR="00C36C6E" w:rsidRPr="00040BD9" w:rsidRDefault="00C36C6E" w:rsidP="002774CA">
            <w:pPr>
              <w:spacing w:before="16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lastRenderedPageBreak/>
              <w:t>8. P{TRiP.HMS05387}attP40 vs. P{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}attP40 (</w:t>
            </w:r>
            <w:proofErr w:type="spellStart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mrj</w:t>
            </w:r>
            <w:proofErr w:type="spellEnd"/>
            <w:r w:rsidRPr="00040BD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A73FE" w:rsidRPr="007A73FE" w:rsidTr="007A73FE">
        <w:tc>
          <w:tcPr>
            <w:tcW w:w="1323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Treatment</w:t>
            </w:r>
          </w:p>
        </w:tc>
        <w:tc>
          <w:tcPr>
            <w:tcW w:w="95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-0.613</w:t>
            </w:r>
          </w:p>
        </w:tc>
        <w:tc>
          <w:tcPr>
            <w:tcW w:w="9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0.263</w:t>
            </w:r>
          </w:p>
        </w:tc>
        <w:tc>
          <w:tcPr>
            <w:tcW w:w="99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5.424</w:t>
            </w:r>
          </w:p>
        </w:tc>
        <w:tc>
          <w:tcPr>
            <w:tcW w:w="536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bottom w:val="nil"/>
            </w:tcBorders>
          </w:tcPr>
          <w:p w:rsidR="00D47A92" w:rsidRPr="00B3211F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FF0000"/>
              </w:rPr>
            </w:pPr>
            <w:r w:rsidRPr="00B3211F">
              <w:rPr>
                <w:rFonts w:ascii="Times New Roman" w:eastAsia="Arial" w:hAnsi="Times New Roman" w:cs="Times New Roman"/>
                <w:color w:val="FF0000"/>
              </w:rPr>
              <w:t>0.020</w:t>
            </w:r>
          </w:p>
        </w:tc>
        <w:tc>
          <w:tcPr>
            <w:tcW w:w="1450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0.542</w:t>
            </w:r>
          </w:p>
        </w:tc>
        <w:tc>
          <w:tcPr>
            <w:tcW w:w="901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0.324</w:t>
            </w:r>
          </w:p>
        </w:tc>
        <w:tc>
          <w:tcPr>
            <w:tcW w:w="1029" w:type="dxa"/>
            <w:tcBorders>
              <w:bottom w:val="nil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0.908</w:t>
            </w:r>
          </w:p>
        </w:tc>
      </w:tr>
      <w:tr w:rsidR="007A73FE" w:rsidRPr="007A73FE" w:rsidTr="007A73FE">
        <w:tc>
          <w:tcPr>
            <w:tcW w:w="1323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Sex</w:t>
            </w:r>
          </w:p>
        </w:tc>
        <w:tc>
          <w:tcPr>
            <w:tcW w:w="95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-0.207</w:t>
            </w:r>
          </w:p>
        </w:tc>
        <w:tc>
          <w:tcPr>
            <w:tcW w:w="9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0.263</w:t>
            </w:r>
          </w:p>
        </w:tc>
        <w:tc>
          <w:tcPr>
            <w:tcW w:w="99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0.620</w:t>
            </w:r>
          </w:p>
        </w:tc>
        <w:tc>
          <w:tcPr>
            <w:tcW w:w="536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12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0.431</w:t>
            </w:r>
          </w:p>
        </w:tc>
        <w:tc>
          <w:tcPr>
            <w:tcW w:w="1450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0.813</w:t>
            </w:r>
          </w:p>
        </w:tc>
        <w:tc>
          <w:tcPr>
            <w:tcW w:w="901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0.486</w:t>
            </w:r>
          </w:p>
        </w:tc>
        <w:tc>
          <w:tcPr>
            <w:tcW w:w="1029" w:type="dxa"/>
            <w:tcBorders>
              <w:top w:val="nil"/>
              <w:bottom w:val="dashed" w:sz="12" w:space="0" w:color="auto"/>
            </w:tcBorders>
          </w:tcPr>
          <w:p w:rsidR="00D47A92" w:rsidRPr="007A73FE" w:rsidRDefault="00D47A92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A73FE">
              <w:rPr>
                <w:rFonts w:ascii="Times New Roman" w:eastAsia="Arial" w:hAnsi="Times New Roman" w:cs="Times New Roman"/>
                <w:color w:val="000000"/>
              </w:rPr>
              <w:t>1.361</w:t>
            </w:r>
          </w:p>
        </w:tc>
      </w:tr>
      <w:tr w:rsidR="007A73FE" w:rsidRPr="007A73FE" w:rsidTr="007A73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9" w:type="dxa"/>
            <w:gridSpan w:val="9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 xml:space="preserve">9. </w:t>
            </w:r>
            <w:r w:rsidRPr="007A73FE">
              <w:rPr>
                <w:rFonts w:ascii="Times New Roman" w:eastAsia="Times New Roman" w:hAnsi="Times New Roman" w:cs="Times New Roman"/>
                <w:b/>
              </w:rPr>
              <w:t>P{TRiP.</w:t>
            </w:r>
            <w:r w:rsidRPr="002774CA">
              <w:rPr>
                <w:rFonts w:ascii="Times New Roman" w:eastAsia="Arial" w:hAnsi="Times New Roman" w:cs="Times New Roman"/>
                <w:b/>
                <w:bCs/>
                <w:color w:val="000000"/>
              </w:rPr>
              <w:t>HMS05794</w:t>
            </w:r>
            <w:r w:rsidRPr="007A73FE">
              <w:rPr>
                <w:rFonts w:ascii="Times New Roman" w:eastAsia="Times New Roman" w:hAnsi="Times New Roman" w:cs="Times New Roman"/>
                <w:b/>
              </w:rPr>
              <w:t>}attP40u7 vs. P{</w:t>
            </w:r>
            <w:proofErr w:type="spellStart"/>
            <w:r w:rsidRPr="007A73FE">
              <w:rPr>
                <w:rFonts w:ascii="Times New Roman" w:eastAsia="Times New Roman" w:hAnsi="Times New Roman" w:cs="Times New Roman"/>
                <w:b/>
              </w:rPr>
              <w:t>CaryP</w:t>
            </w:r>
            <w:proofErr w:type="spellEnd"/>
            <w:r w:rsidRPr="007A73FE">
              <w:rPr>
                <w:rFonts w:ascii="Times New Roman" w:eastAsia="Times New Roman" w:hAnsi="Times New Roman" w:cs="Times New Roman"/>
                <w:b/>
              </w:rPr>
              <w:t>}attP40 (CG18815)</w:t>
            </w:r>
          </w:p>
        </w:tc>
      </w:tr>
      <w:tr w:rsidR="007A73FE" w:rsidRPr="007A73FE" w:rsidTr="007A73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Treatment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-0.880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0.264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11.098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B3211F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3211F">
              <w:rPr>
                <w:rFonts w:ascii="Times New Roman" w:eastAsia="Times New Roman" w:hAnsi="Times New Roman" w:cs="Times New Roman"/>
                <w:color w:val="FF0000"/>
              </w:rPr>
              <w:t>0.001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0.415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0.247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0.696</w:t>
            </w:r>
          </w:p>
        </w:tc>
      </w:tr>
      <w:tr w:rsidR="007A73FE" w:rsidRPr="007A73FE" w:rsidTr="007A73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956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-0.207</w:t>
            </w:r>
          </w:p>
        </w:tc>
        <w:tc>
          <w:tcPr>
            <w:tcW w:w="936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0.263</w:t>
            </w:r>
          </w:p>
        </w:tc>
        <w:tc>
          <w:tcPr>
            <w:tcW w:w="996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0.620</w:t>
            </w:r>
          </w:p>
        </w:tc>
        <w:tc>
          <w:tcPr>
            <w:tcW w:w="536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0.431</w:t>
            </w:r>
          </w:p>
        </w:tc>
        <w:tc>
          <w:tcPr>
            <w:tcW w:w="1450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0.813</w:t>
            </w:r>
          </w:p>
        </w:tc>
        <w:tc>
          <w:tcPr>
            <w:tcW w:w="901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0.486</w:t>
            </w:r>
          </w:p>
        </w:tc>
        <w:tc>
          <w:tcPr>
            <w:tcW w:w="1029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1.361</w:t>
            </w:r>
          </w:p>
        </w:tc>
      </w:tr>
      <w:tr w:rsidR="007A73FE" w:rsidRPr="007A73FE" w:rsidTr="007A73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9" w:type="dxa"/>
            <w:gridSpan w:val="9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before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 xml:space="preserve">10. </w:t>
            </w:r>
            <w:r w:rsidRPr="007A73FE">
              <w:rPr>
                <w:rFonts w:ascii="Times New Roman" w:eastAsia="Times New Roman" w:hAnsi="Times New Roman" w:cs="Times New Roman"/>
                <w:b/>
              </w:rPr>
              <w:t>P{TRiP.HMS00549}attP2 vs. P{</w:t>
            </w:r>
            <w:proofErr w:type="spellStart"/>
            <w:r w:rsidRPr="002774CA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CaryP</w:t>
            </w:r>
            <w:proofErr w:type="spellEnd"/>
            <w:r w:rsidRPr="007A73FE">
              <w:rPr>
                <w:rFonts w:ascii="Times New Roman" w:eastAsia="Times New Roman" w:hAnsi="Times New Roman" w:cs="Times New Roman"/>
                <w:b/>
              </w:rPr>
              <w:t>}attP2 (ILP6)</w:t>
            </w:r>
          </w:p>
        </w:tc>
      </w:tr>
      <w:tr w:rsidR="007A73FE" w:rsidRPr="007A73FE" w:rsidTr="007A73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Treatment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-0.461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0.266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3.014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B3211F" w:rsidRDefault="001C5079" w:rsidP="002774C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ED7D31"/>
              </w:rPr>
            </w:pPr>
            <w:r w:rsidRPr="00B3211F">
              <w:rPr>
                <w:rFonts w:ascii="Times New Roman" w:eastAsia="Arial" w:hAnsi="Times New Roman" w:cs="Times New Roman"/>
                <w:color w:val="ED7D31"/>
              </w:rPr>
              <w:t>0.083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0.631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0.375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1.061</w:t>
            </w:r>
          </w:p>
        </w:tc>
      </w:tr>
      <w:tr w:rsidR="007A73FE" w:rsidRPr="007A73FE" w:rsidTr="007A73F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1.002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0.266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14.202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B3211F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3211F">
              <w:rPr>
                <w:rFonts w:ascii="Times New Roman" w:eastAsia="Times New Roman" w:hAnsi="Times New Roman" w:cs="Times New Roman"/>
                <w:color w:val="FF0000"/>
              </w:rPr>
              <w:t>&lt;0.001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73FE">
              <w:rPr>
                <w:rFonts w:ascii="Times New Roman" w:eastAsia="Times New Roman" w:hAnsi="Times New Roman" w:cs="Times New Roman"/>
              </w:rPr>
              <w:t>2.723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1.617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5079" w:rsidRPr="007A73FE" w:rsidRDefault="001C5079" w:rsidP="002774C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A73FE">
              <w:rPr>
                <w:rFonts w:ascii="Times New Roman" w:eastAsia="Times New Roman" w:hAnsi="Times New Roman" w:cs="Times New Roman"/>
                <w:color w:val="000000"/>
              </w:rPr>
              <w:t>4.584</w:t>
            </w:r>
          </w:p>
        </w:tc>
      </w:tr>
    </w:tbl>
    <w:p w:rsidR="00E561D5" w:rsidRDefault="000B6DE1" w:rsidP="002774CA">
      <w:pPr>
        <w:spacing w:line="360" w:lineRule="auto"/>
        <w:rPr>
          <w:rFonts w:ascii="Times New Roman" w:eastAsia="Times New Roman" w:hAnsi="Times New Roman" w:cs="Times New Roman"/>
        </w:rPr>
      </w:pPr>
      <w:r w:rsidRPr="007A73FE">
        <w:rPr>
          <w:rFonts w:ascii="Times New Roman" w:eastAsia="Times New Roman" w:hAnsi="Times New Roman" w:cs="Times New Roman"/>
          <w:i/>
        </w:rPr>
        <w:t>N</w:t>
      </w:r>
      <w:r w:rsidR="004E7092" w:rsidRPr="007A73FE">
        <w:rPr>
          <w:rFonts w:ascii="Times New Roman" w:eastAsia="Times New Roman" w:hAnsi="Times New Roman" w:cs="Times New Roman"/>
          <w:i/>
        </w:rPr>
        <w:t xml:space="preserve">ote: </w:t>
      </w:r>
      <w:r w:rsidR="004E7092" w:rsidRPr="007A73FE">
        <w:rPr>
          <w:rFonts w:ascii="Times New Roman" w:eastAsia="Times New Roman" w:hAnsi="Times New Roman" w:cs="Times New Roman"/>
        </w:rPr>
        <w:t xml:space="preserve">Infected files coded as ‘0’ and uninfected coded as ‘1’ . </w:t>
      </w:r>
      <w:r w:rsidR="004E7092" w:rsidRPr="007A73FE">
        <w:rPr>
          <w:rFonts w:ascii="Times New Roman" w:eastAsia="Times New Roman" w:hAnsi="Times New Roman" w:cs="Times New Roman"/>
          <w:i/>
        </w:rPr>
        <w:t xml:space="preserve">P </w:t>
      </w:r>
      <w:r w:rsidR="004E7092" w:rsidRPr="007A73FE">
        <w:rPr>
          <w:rFonts w:ascii="Times New Roman" w:eastAsia="Times New Roman" w:hAnsi="Times New Roman" w:cs="Times New Roman"/>
        </w:rPr>
        <w:t xml:space="preserve">values in between 1.0 to 0.05 considered as trend. </w:t>
      </w:r>
    </w:p>
    <w:p w:rsidR="00B3211F" w:rsidRPr="007A73FE" w:rsidRDefault="00B3211F" w:rsidP="002774CA">
      <w:pPr>
        <w:spacing w:line="360" w:lineRule="auto"/>
        <w:rPr>
          <w:rFonts w:ascii="Times New Roman" w:eastAsia="Times New Roman" w:hAnsi="Times New Roman" w:cs="Times New Roman"/>
        </w:rPr>
      </w:pPr>
    </w:p>
    <w:sectPr w:rsidR="00B3211F" w:rsidRPr="007A73FE" w:rsidSect="000B6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C2" w:rsidRDefault="00C454C2" w:rsidP="009A2D66">
      <w:r>
        <w:separator/>
      </w:r>
    </w:p>
  </w:endnote>
  <w:endnote w:type="continuationSeparator" w:id="0">
    <w:p w:rsidR="00C454C2" w:rsidRDefault="00C454C2" w:rsidP="009A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6" w:rsidRDefault="009A2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6" w:rsidRDefault="009A2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6" w:rsidRDefault="009A2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C2" w:rsidRDefault="00C454C2" w:rsidP="009A2D66">
      <w:r>
        <w:separator/>
      </w:r>
    </w:p>
  </w:footnote>
  <w:footnote w:type="continuationSeparator" w:id="0">
    <w:p w:rsidR="00C454C2" w:rsidRDefault="00C454C2" w:rsidP="009A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6" w:rsidRDefault="009A2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6" w:rsidRDefault="009A2D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6" w:rsidRDefault="009A2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5"/>
    <w:rsid w:val="00040BD9"/>
    <w:rsid w:val="000B6DE1"/>
    <w:rsid w:val="000F2B82"/>
    <w:rsid w:val="0019261A"/>
    <w:rsid w:val="001C5079"/>
    <w:rsid w:val="001F0931"/>
    <w:rsid w:val="00231E7F"/>
    <w:rsid w:val="002774CA"/>
    <w:rsid w:val="004E7092"/>
    <w:rsid w:val="006F13BD"/>
    <w:rsid w:val="0073383C"/>
    <w:rsid w:val="007A73FE"/>
    <w:rsid w:val="008D6339"/>
    <w:rsid w:val="009A2D66"/>
    <w:rsid w:val="00B3211F"/>
    <w:rsid w:val="00C36C6E"/>
    <w:rsid w:val="00C454C2"/>
    <w:rsid w:val="00C65647"/>
    <w:rsid w:val="00D47A92"/>
    <w:rsid w:val="00E561D5"/>
    <w:rsid w:val="00F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D0A0"/>
  <w15:docId w15:val="{C5C04F8C-3B86-7347-869F-9C9E5855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D0FB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2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66"/>
  </w:style>
  <w:style w:type="paragraph" w:styleId="Footer">
    <w:name w:val="footer"/>
    <w:basedOn w:val="Normal"/>
    <w:link w:val="FooterChar"/>
    <w:uiPriority w:val="99"/>
    <w:unhideWhenUsed/>
    <w:rsid w:val="009A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66"/>
  </w:style>
  <w:style w:type="table" w:styleId="TableGrid">
    <w:name w:val="Table Grid"/>
    <w:basedOn w:val="TableNormal"/>
    <w:uiPriority w:val="3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3uPoe/O2rk0GztbGSv3/xzxbig==">AMUW2mUfNPW5qVSusy1SufzMTDo2KeVYX3VqvQo6f3qsKpZF0d5CGgzNpsbx5FtL1ne7OZOFnDnjDYIbr14qtdCUcBwg3nLngr458LX/xpKsCjzs0Ty+CAMM7QOjJUI89HnCbLcpmTxa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Bose, Joy (bosejy)</dc:creator>
  <cp:lastModifiedBy>Alison Sage</cp:lastModifiedBy>
  <cp:revision>13</cp:revision>
  <dcterms:created xsi:type="dcterms:W3CDTF">2019-12-27T20:45:00Z</dcterms:created>
  <dcterms:modified xsi:type="dcterms:W3CDTF">2020-06-01T17:14:00Z</dcterms:modified>
</cp:coreProperties>
</file>