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33" w:rsidRPr="00ED1B74" w:rsidRDefault="00972B33" w:rsidP="00972B33">
      <w:pPr>
        <w:widowControl w:val="0"/>
        <w:suppressLineNumbers/>
        <w:spacing w:after="0" w:line="48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0" w:name="_GoBack"/>
      <w:bookmarkEnd w:id="0"/>
      <w:r w:rsidRPr="00ED1B74">
        <w:rPr>
          <w:rFonts w:ascii="Times New Roman" w:eastAsia="Cambria" w:hAnsi="Times New Roman" w:cs="Times New Roman"/>
          <w:b/>
          <w:bCs/>
          <w:sz w:val="24"/>
          <w:szCs w:val="24"/>
        </w:rPr>
        <w:t>Fig. S1.</w:t>
      </w:r>
      <w:r w:rsidRPr="00ED1B74">
        <w:rPr>
          <w:rFonts w:ascii="Times New Roman" w:eastAsia="Cambria" w:hAnsi="Times New Roman" w:cs="Times New Roman"/>
          <w:sz w:val="24"/>
          <w:szCs w:val="24"/>
        </w:rPr>
        <w:t xml:space="preserve"> Phylogenetic hypotheses obtained using Bayesian inference and maximum likelihood performed with 18S </w:t>
      </w:r>
      <w:proofErr w:type="spellStart"/>
      <w:r w:rsidRPr="00ED1B74">
        <w:rPr>
          <w:rFonts w:ascii="Times New Roman" w:eastAsia="Cambria" w:hAnsi="Times New Roman" w:cs="Times New Roman"/>
          <w:sz w:val="24"/>
          <w:szCs w:val="24"/>
        </w:rPr>
        <w:t>rRNA</w:t>
      </w:r>
      <w:proofErr w:type="spellEnd"/>
      <w:r w:rsidRPr="00ED1B74">
        <w:rPr>
          <w:rFonts w:ascii="Times New Roman" w:eastAsia="Cambria" w:hAnsi="Times New Roman" w:cs="Times New Roman"/>
          <w:sz w:val="24"/>
          <w:szCs w:val="24"/>
        </w:rPr>
        <w:t xml:space="preserve"> fragments of (A) up to 1000 </w:t>
      </w:r>
      <w:proofErr w:type="spellStart"/>
      <w:r w:rsidRPr="00ED1B74">
        <w:rPr>
          <w:rFonts w:ascii="Times New Roman" w:eastAsia="Cambria" w:hAnsi="Times New Roman" w:cs="Times New Roman"/>
          <w:sz w:val="24"/>
          <w:szCs w:val="24"/>
        </w:rPr>
        <w:t>bp</w:t>
      </w:r>
      <w:proofErr w:type="spellEnd"/>
      <w:r w:rsidRPr="00ED1B74">
        <w:rPr>
          <w:rFonts w:ascii="Times New Roman" w:eastAsia="Cambria" w:hAnsi="Times New Roman" w:cs="Times New Roman"/>
          <w:sz w:val="24"/>
          <w:szCs w:val="24"/>
        </w:rPr>
        <w:t xml:space="preserve">, and (B) 585 </w:t>
      </w:r>
      <w:proofErr w:type="spellStart"/>
      <w:r w:rsidRPr="00ED1B74">
        <w:rPr>
          <w:rFonts w:ascii="Times New Roman" w:eastAsia="Cambria" w:hAnsi="Times New Roman" w:cs="Times New Roman"/>
          <w:sz w:val="24"/>
          <w:szCs w:val="24"/>
        </w:rPr>
        <w:t>bp</w:t>
      </w:r>
      <w:proofErr w:type="spellEnd"/>
      <w:r w:rsidRPr="00ED1B74">
        <w:rPr>
          <w:rFonts w:ascii="Times New Roman" w:eastAsia="Cambria" w:hAnsi="Times New Roman" w:cs="Times New Roman"/>
          <w:sz w:val="24"/>
          <w:szCs w:val="24"/>
        </w:rPr>
        <w:t xml:space="preserve"> sequences. The lineages obtained in this study are highlighted in bold font. Branches </w:t>
      </w:r>
      <w:proofErr w:type="spellStart"/>
      <w:r w:rsidRPr="00ED1B74">
        <w:rPr>
          <w:rFonts w:ascii="Times New Roman" w:eastAsia="Cambria" w:hAnsi="Times New Roman" w:cs="Times New Roman"/>
          <w:sz w:val="24"/>
          <w:szCs w:val="24"/>
        </w:rPr>
        <w:t>color</w:t>
      </w:r>
      <w:proofErr w:type="spellEnd"/>
      <w:r w:rsidRPr="00ED1B74">
        <w:rPr>
          <w:rFonts w:ascii="Times New Roman" w:eastAsia="Cambria" w:hAnsi="Times New Roman" w:cs="Times New Roman"/>
          <w:sz w:val="24"/>
          <w:szCs w:val="24"/>
        </w:rPr>
        <w:t xml:space="preserve"> indicates the parasite genus as follows: green for </w:t>
      </w:r>
      <w:proofErr w:type="spellStart"/>
      <w:r w:rsidRPr="00ED1B74">
        <w:rPr>
          <w:rFonts w:ascii="Times New Roman" w:eastAsia="Cambria" w:hAnsi="Times New Roman" w:cs="Times New Roman"/>
          <w:i/>
          <w:iCs/>
          <w:sz w:val="24"/>
          <w:szCs w:val="24"/>
        </w:rPr>
        <w:t>Hepatozoon</w:t>
      </w:r>
      <w:proofErr w:type="spellEnd"/>
      <w:r w:rsidRPr="00ED1B74">
        <w:rPr>
          <w:rFonts w:ascii="Times New Roman" w:eastAsia="Cambria" w:hAnsi="Times New Roman" w:cs="Times New Roman"/>
          <w:sz w:val="24"/>
          <w:szCs w:val="24"/>
        </w:rPr>
        <w:t xml:space="preserve"> sp., blue for </w:t>
      </w:r>
      <w:proofErr w:type="spellStart"/>
      <w:r w:rsidRPr="00ED1B74">
        <w:rPr>
          <w:rFonts w:ascii="Times New Roman" w:eastAsia="Cambria" w:hAnsi="Times New Roman" w:cs="Times New Roman"/>
          <w:i/>
          <w:iCs/>
          <w:sz w:val="24"/>
          <w:szCs w:val="24"/>
        </w:rPr>
        <w:t>Hemolivia</w:t>
      </w:r>
      <w:proofErr w:type="spellEnd"/>
      <w:r w:rsidRPr="00ED1B74">
        <w:rPr>
          <w:rFonts w:ascii="Times New Roman" w:eastAsia="Cambria" w:hAnsi="Times New Roman" w:cs="Times New Roman"/>
          <w:sz w:val="24"/>
          <w:szCs w:val="24"/>
        </w:rPr>
        <w:t xml:space="preserve"> sp., purple for </w:t>
      </w:r>
      <w:proofErr w:type="spellStart"/>
      <w:r w:rsidRPr="00ED1B74">
        <w:rPr>
          <w:rFonts w:ascii="Times New Roman" w:eastAsia="Cambria" w:hAnsi="Times New Roman" w:cs="Times New Roman"/>
          <w:i/>
          <w:iCs/>
          <w:sz w:val="24"/>
          <w:szCs w:val="24"/>
        </w:rPr>
        <w:t>Karyolysus</w:t>
      </w:r>
      <w:proofErr w:type="spellEnd"/>
      <w:r w:rsidRPr="00ED1B74">
        <w:rPr>
          <w:rFonts w:ascii="Times New Roman" w:eastAsia="Cambria" w:hAnsi="Times New Roman" w:cs="Times New Roman"/>
          <w:sz w:val="24"/>
          <w:szCs w:val="24"/>
        </w:rPr>
        <w:t xml:space="preserve"> sp., red for </w:t>
      </w:r>
      <w:proofErr w:type="spellStart"/>
      <w:r w:rsidRPr="00ED1B74">
        <w:rPr>
          <w:rFonts w:ascii="Times New Roman" w:eastAsia="Cambria" w:hAnsi="Times New Roman" w:cs="Times New Roman"/>
          <w:i/>
          <w:iCs/>
          <w:sz w:val="24"/>
          <w:szCs w:val="24"/>
        </w:rPr>
        <w:t>Haemogregarina</w:t>
      </w:r>
      <w:proofErr w:type="spellEnd"/>
      <w:r w:rsidRPr="00ED1B74">
        <w:rPr>
          <w:rFonts w:ascii="Times New Roman" w:eastAsia="Cambria" w:hAnsi="Times New Roman" w:cs="Times New Roman"/>
          <w:sz w:val="24"/>
          <w:szCs w:val="24"/>
        </w:rPr>
        <w:t xml:space="preserve"> and grey for the outgroup (</w:t>
      </w:r>
      <w:proofErr w:type="spellStart"/>
      <w:r w:rsidRPr="00ED1B74">
        <w:rPr>
          <w:rFonts w:ascii="Times New Roman" w:eastAsia="Cambria" w:hAnsi="Times New Roman" w:cs="Times New Roman"/>
          <w:i/>
          <w:iCs/>
          <w:sz w:val="24"/>
          <w:szCs w:val="24"/>
        </w:rPr>
        <w:t>Dactylosoma</w:t>
      </w:r>
      <w:proofErr w:type="spellEnd"/>
      <w:r w:rsidRPr="00ED1B74">
        <w:rPr>
          <w:rFonts w:ascii="Times New Roman" w:eastAsia="Cambria" w:hAnsi="Times New Roman" w:cs="Times New Roman"/>
          <w:sz w:val="24"/>
          <w:szCs w:val="24"/>
        </w:rPr>
        <w:t xml:space="preserve"> sp.). The silhouettes located near the clade nodes indicate the host from which the parasites were isolated: a frog for amphibians, a lizard for reptiles, a turtle for turtles and tortoises, and a bear for mammals. Bootstrap values and posterior probabilities are shown above the nodes. Nodal supports below 80/0.8 are not shown. The branch lengths are proportional to the amount of change. Scale bars indicating substitutions per site are provided.</w:t>
      </w:r>
    </w:p>
    <w:p w:rsidR="00972B33" w:rsidRDefault="00972B33"/>
    <w:sectPr w:rsidR="00972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3"/>
    <w:rsid w:val="002C31EC"/>
    <w:rsid w:val="002E01EA"/>
    <w:rsid w:val="00972B33"/>
    <w:rsid w:val="00DE6A23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E842"/>
  <w15:chartTrackingRefBased/>
  <w15:docId w15:val="{25F6761C-D286-4F8D-9B1C-BFD5AC7C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2021-01-26T17:53:00Z</dcterms:created>
  <dcterms:modified xsi:type="dcterms:W3CDTF">2021-01-26T17:54:00Z</dcterms:modified>
</cp:coreProperties>
</file>