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618" w:rsidRPr="001240FA" w:rsidRDefault="00DF7618" w:rsidP="00DF7618">
      <w:pPr>
        <w:widowControl w:val="0"/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0FA"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  <w:t xml:space="preserve">Supplementary file 1: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Experimental design scheme. </w:t>
      </w:r>
      <w:r w:rsidRPr="001240FA">
        <w:rPr>
          <w:rFonts w:ascii="Times New Roman" w:hAnsi="Times New Roman" w:cs="Times New Roman"/>
          <w:sz w:val="24"/>
          <w:szCs w:val="24"/>
        </w:rPr>
        <w:t>Goats were randomly allocated with five goats per group and were then vaccinated/immunized (</w:t>
      </w:r>
      <w:r w:rsidRPr="001240FA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inline distT="0" distB="0" distL="0" distR="0" wp14:anchorId="676BB0C2" wp14:editId="2968DE1E">
                <wp:extent cx="45719" cy="45719"/>
                <wp:effectExtent l="38100" t="57150" r="31115" b="12065"/>
                <wp:docPr id="25" name="Isosceles Triangle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D34F75-DA7E-4BC8-AD12-39A7A5C36B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triangle">
                          <a:avLst/>
                        </a:prstGeom>
                        <a:solidFill>
                          <a:srgbClr val="CC66FF"/>
                        </a:solidFill>
                        <a:ln w="44450"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inline>
            </w:drawing>
          </mc:Choice>
          <mc:Fallback>
            <w:pict>
              <v:shapetype w14:anchorId="2D8F0E5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4" o:spid="_x0000_s1026" type="#_x0000_t5" style="width:3.6pt;height: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" fillcolor="#c6f" strokecolor="#c6f" strokeweight="3.5pt">
                <w10:anchorlock/>
              </v:shape>
            </w:pict>
          </mc:Fallback>
        </mc:AlternateContent>
      </w:r>
      <w:r w:rsidRPr="001240FA">
        <w:rPr>
          <w:rFonts w:ascii="Times New Roman" w:hAnsi="Times New Roman" w:cs="Times New Roman"/>
          <w:sz w:val="24"/>
          <w:szCs w:val="24"/>
        </w:rPr>
        <w:t>), challenged (</w:t>
      </w:r>
      <w:r w:rsidRPr="001240FA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inline distT="0" distB="0" distL="0" distR="0" wp14:anchorId="371DDDFF" wp14:editId="0FDA42DA">
                <wp:extent cx="88710" cy="92255"/>
                <wp:effectExtent l="0" t="0" r="26035" b="22225"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376648-C057-41B5-A6A6-1D24996708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0" cy="9225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inline>
            </w:drawing>
          </mc:Choice>
          <mc:Fallback>
            <w:pict>
              <v:rect w14:anchorId="11F84413" id="Rectangle 5" o:spid="_x0000_s1026" style="width:7pt;height: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" fillcolor="#4472c4 [3208]" strokecolor="#4472c4 [3208]" strokeweight="1pt">
                <w10:anchorlock/>
              </v:rect>
            </w:pict>
          </mc:Fallback>
        </mc:AlternateContent>
      </w:r>
      <w:r w:rsidRPr="001240FA">
        <w:rPr>
          <w:rFonts w:ascii="Times New Roman" w:hAnsi="Times New Roman" w:cs="Times New Roman"/>
          <w:sz w:val="24"/>
          <w:szCs w:val="24"/>
        </w:rPr>
        <w:t>), and bleed (</w:t>
      </w:r>
      <w:r w:rsidRPr="001240FA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inline distT="0" distB="0" distL="0" distR="0" wp14:anchorId="4343560C" wp14:editId="0948F4B0">
                <wp:extent cx="108907" cy="108907"/>
                <wp:effectExtent l="0" t="0" r="24765" b="24765"/>
                <wp:docPr id="45" name="Flowchart: Connector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821511-7252-4206-AAC7-4743792E67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7" cy="108907"/>
                        </a:xfrm>
                        <a:prstGeom prst="flowChartConnector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inline>
            </w:drawing>
          </mc:Choice>
          <mc:Fallback>
            <w:pict>
              <v:shapetype w14:anchorId="796AB4B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44" o:spid="_x0000_s1026" type="#_x0000_t120" style="width:8.6pt;height: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" fillcolor="#ed7d31 [3205]" strokecolor="#ed7d31 [3205]" strokeweight="1pt">
                <v:stroke joinstyle="miter"/>
                <w10:anchorlock/>
              </v:shape>
            </w:pict>
          </mc:Fallback>
        </mc:AlternateContent>
      </w:r>
      <w:r w:rsidRPr="001240FA">
        <w:rPr>
          <w:rFonts w:ascii="Times New Roman" w:hAnsi="Times New Roman" w:cs="Times New Roman"/>
          <w:sz w:val="24"/>
          <w:szCs w:val="24"/>
        </w:rPr>
        <w:t>) at different time points. The study was carried out in compliance with the experimental design of Trials 1 (A) and 2 (B).</w:t>
      </w:r>
    </w:p>
    <w:p w:rsidR="00DF7618" w:rsidRPr="001240FA" w:rsidRDefault="00DF7618" w:rsidP="00DF7618">
      <w:pPr>
        <w:widowControl w:val="0"/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0FA"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  <w:t xml:space="preserve">Supplementary file 2: 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Mucosal antigen-specific IgA and total IgG and </w:t>
      </w:r>
      <w:proofErr w:type="spellStart"/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>IgE</w:t>
      </w:r>
      <w:proofErr w:type="spellEnd"/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 productions.</w:t>
      </w:r>
      <w:r w:rsidRPr="001240FA">
        <w:rPr>
          <w:rFonts w:ascii="Times New Roman" w:eastAsiaTheme="minorHAnsi" w:hAnsi="Times New Roman" w:cs="Times New Roman"/>
          <w:sz w:val="24"/>
        </w:rPr>
        <w:t xml:space="preserve"> A: Mucosal anti-rHcADRM1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lgA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levels in Trial 1. B: Mucosal anti-rHcADRM1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lgA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levels in Trial 2. C: Total mucosal IgG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productions in </w:t>
      </w:r>
      <w:r w:rsidRPr="001240FA">
        <w:rPr>
          <w:rFonts w:ascii="Times New Roman" w:eastAsiaTheme="minorHAnsi" w:hAnsi="Times New Roman" w:cs="Times New Roman"/>
          <w:sz w:val="24"/>
        </w:rPr>
        <w:t xml:space="preserve">Trial 1. D: Total mucosal IgG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productions in </w:t>
      </w:r>
      <w:r w:rsidRPr="001240FA">
        <w:rPr>
          <w:rFonts w:ascii="Times New Roman" w:eastAsiaTheme="minorHAnsi" w:hAnsi="Times New Roman" w:cs="Times New Roman"/>
          <w:sz w:val="24"/>
        </w:rPr>
        <w:t>Trial 2</w:t>
      </w:r>
      <w:r w:rsidRPr="001240FA">
        <w:rPr>
          <w:rFonts w:ascii="Times New Roman" w:hAnsi="Times New Roman" w:cs="Times New Roman"/>
          <w:sz w:val="24"/>
          <w:szCs w:val="24"/>
        </w:rPr>
        <w:t>. E</w:t>
      </w:r>
      <w:r w:rsidRPr="001240FA">
        <w:rPr>
          <w:rFonts w:ascii="Times New Roman" w:eastAsiaTheme="minorHAnsi" w:hAnsi="Times New Roman" w:cs="Times New Roman"/>
          <w:sz w:val="24"/>
        </w:rPr>
        <w:t xml:space="preserve">: Total mucosal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IgE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productions in </w:t>
      </w:r>
      <w:r w:rsidRPr="001240FA">
        <w:rPr>
          <w:rFonts w:ascii="Times New Roman" w:eastAsiaTheme="minorHAnsi" w:hAnsi="Times New Roman" w:cs="Times New Roman"/>
          <w:sz w:val="24"/>
        </w:rPr>
        <w:t xml:space="preserve">Trial 1. F: Total mucosal IgG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productions in </w:t>
      </w:r>
      <w:r w:rsidRPr="001240FA">
        <w:rPr>
          <w:rFonts w:ascii="Times New Roman" w:eastAsiaTheme="minorHAnsi" w:hAnsi="Times New Roman" w:cs="Times New Roman"/>
          <w:sz w:val="24"/>
        </w:rPr>
        <w:t>Trial 2.</w:t>
      </w:r>
      <w:r w:rsidRPr="001240FA">
        <w:rPr>
          <w:rFonts w:ascii="Times New Roman" w:hAnsi="Times New Roman" w:cs="Times New Roman"/>
          <w:sz w:val="24"/>
          <w:szCs w:val="24"/>
        </w:rPr>
        <w:t xml:space="preserve"> </w:t>
      </w:r>
      <w:r w:rsidRPr="001240FA">
        <w:rPr>
          <w:rFonts w:ascii="Times New Roman" w:eastAsiaTheme="minorHAnsi" w:hAnsi="Times New Roman" w:cs="Times New Roman"/>
          <w:sz w:val="24"/>
        </w:rPr>
        <w:t>Mucosal antibody</w:t>
      </w:r>
      <w:r w:rsidRPr="001240FA" w:rsidDel="00DD12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40FA">
        <w:rPr>
          <w:rFonts w:ascii="Times New Roman" w:hAnsi="Times New Roman" w:cs="Times New Roman"/>
          <w:bCs/>
          <w:sz w:val="24"/>
          <w:szCs w:val="24"/>
        </w:rPr>
        <w:t xml:space="preserve">levels were denoted as </w:t>
      </w:r>
      <w:r w:rsidRPr="001240FA">
        <w:rPr>
          <w:rFonts w:ascii="Times New Roman" w:hAnsi="Times New Roman" w:cs="Times New Roman"/>
          <w:sz w:val="24"/>
        </w:rPr>
        <w:t>minimum to maximum</w:t>
      </w:r>
      <w:r w:rsidRPr="001240FA">
        <w:rPr>
          <w:rFonts w:ascii="Times New Roman" w:eastAsia="WarnockPro-Semibold" w:hAnsi="Times New Roman" w:cs="Times New Roman"/>
          <w:iCs/>
          <w:sz w:val="24"/>
        </w:rPr>
        <w:t xml:space="preserve"> (</w:t>
      </w:r>
      <w:r w:rsidRPr="001240FA">
        <w:rPr>
          <w:rFonts w:ascii="Times New Roman" w:hAnsi="Times New Roman" w:cs="Times New Roman"/>
          <w:bCs/>
          <w:sz w:val="24"/>
          <w:szCs w:val="24"/>
        </w:rPr>
        <w:t>n = 5 for each group</w:t>
      </w:r>
      <w:r w:rsidRPr="001240FA">
        <w:rPr>
          <w:rFonts w:ascii="Times New Roman" w:eastAsia="WarnockPro-Semibold" w:hAnsi="Times New Roman" w:cs="Times New Roman"/>
          <w:iCs/>
          <w:sz w:val="24"/>
        </w:rPr>
        <w:t>).</w:t>
      </w:r>
      <w:r w:rsidRPr="001240FA">
        <w:rPr>
          <w:rFonts w:ascii="Times New Roman" w:eastAsiaTheme="minorHAnsi" w:hAnsi="Times New Roman" w:cs="Times New Roman"/>
          <w:sz w:val="24"/>
        </w:rPr>
        <w:t xml:space="preserve"> </w:t>
      </w:r>
    </w:p>
    <w:p w:rsidR="00DF7618" w:rsidRPr="001240FA" w:rsidRDefault="00DF7618" w:rsidP="00DF7618">
      <w:pPr>
        <w:widowControl w:val="0"/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1240FA"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  <w:t xml:space="preserve">Supplementary file 3: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>V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ariation in </w:t>
      </w:r>
      <w:r w:rsidRPr="001240FA">
        <w:rPr>
          <w:rFonts w:ascii="Times New Roman" w:hAnsi="Times New Roman" w:cs="Times New Roman"/>
          <w:sz w:val="24"/>
          <w:szCs w:val="24"/>
        </w:rPr>
        <w:t xml:space="preserve">serum </w:t>
      </w:r>
      <w:r w:rsidRPr="001240FA">
        <w:rPr>
          <w:rFonts w:ascii="Times New Roman" w:eastAsiaTheme="minorHAnsi" w:hAnsi="Times New Roman" w:cs="Times New Roman"/>
          <w:sz w:val="24"/>
        </w:rPr>
        <w:t xml:space="preserve">IgA and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IgE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levels throughout the study. The 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kinetics of </w:t>
      </w:r>
      <w:r w:rsidRPr="001240FA">
        <w:rPr>
          <w:rFonts w:ascii="Times New Roman" w:eastAsiaTheme="minorHAnsi" w:hAnsi="Times New Roman" w:cs="Times New Roman"/>
          <w:sz w:val="24"/>
        </w:rPr>
        <w:t xml:space="preserve">IgA and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IgE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levels in the circulation were assessed throughout all time points in Trials 1 (A and C) and 2 (B and D). No differences were observed in serum IgA and </w:t>
      </w:r>
      <w:proofErr w:type="spellStart"/>
      <w:r w:rsidRPr="001240FA">
        <w:rPr>
          <w:rFonts w:ascii="Times New Roman" w:eastAsiaTheme="minorHAnsi" w:hAnsi="Times New Roman" w:cs="Times New Roman"/>
          <w:sz w:val="24"/>
        </w:rPr>
        <w:t>IgE</w:t>
      </w:r>
      <w:proofErr w:type="spellEnd"/>
      <w:r w:rsidRPr="001240FA">
        <w:rPr>
          <w:rFonts w:ascii="Times New Roman" w:eastAsiaTheme="minorHAnsi" w:hAnsi="Times New Roman" w:cs="Times New Roman"/>
          <w:sz w:val="24"/>
        </w:rPr>
        <w:t xml:space="preserve"> levels at each time point among the groups in both trials. Serum antibody levels in each group were shown as </w:t>
      </w:r>
      <w:r w:rsidRPr="001240FA">
        <w:rPr>
          <w:rFonts w:ascii="Times New Roman" w:hAnsi="Times New Roman" w:cs="Times New Roman"/>
          <w:sz w:val="24"/>
        </w:rPr>
        <w:t xml:space="preserve">mean ± SD (n = 5). </w:t>
      </w:r>
    </w:p>
    <w:p w:rsidR="00DF7618" w:rsidRPr="001240FA" w:rsidRDefault="00DF7618" w:rsidP="00DF7618">
      <w:pPr>
        <w:widowControl w:val="0"/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hAnsi="Times New Roman" w:cs="Times New Roman"/>
          <w:sz w:val="24"/>
        </w:rPr>
      </w:pPr>
      <w:r w:rsidRPr="001240FA"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  <w:t xml:space="preserve">Supplementary file 4: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 xml:space="preserve">The 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kinetics of other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 xml:space="preserve">hematological parameters. 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Red blood cells, basophils,  monocytes, lymphocytes, neutrophils, and white blood cells showed no change across the groups throughout all time points in both Trials 1 (A, B, C, D, E, and F) and 2 (G, H, I, J, K, and L). The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 xml:space="preserve">hematological parameters in each group </w:t>
      </w:r>
      <w:r w:rsidRPr="001240FA">
        <w:rPr>
          <w:rFonts w:ascii="Times New Roman" w:hAnsi="Times New Roman" w:cs="Times New Roman"/>
          <w:sz w:val="24"/>
        </w:rPr>
        <w:t xml:space="preserve">(n = 5)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 xml:space="preserve">were presented as </w:t>
      </w:r>
      <w:r w:rsidRPr="001240FA">
        <w:rPr>
          <w:rFonts w:ascii="Times New Roman" w:hAnsi="Times New Roman" w:cs="Times New Roman"/>
          <w:sz w:val="24"/>
        </w:rPr>
        <w:t>mean ± SD.</w:t>
      </w:r>
    </w:p>
    <w:p w:rsidR="00DF7618" w:rsidRPr="001240FA" w:rsidRDefault="00DF7618" w:rsidP="00DF7618">
      <w:pPr>
        <w:widowControl w:val="0"/>
        <w:autoSpaceDE w:val="0"/>
        <w:autoSpaceDN w:val="0"/>
        <w:adjustRightInd w:val="0"/>
        <w:snapToGrid w:val="0"/>
        <w:spacing w:after="0" w:line="480" w:lineRule="auto"/>
        <w:jc w:val="both"/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</w:pPr>
      <w:r w:rsidRPr="001240FA">
        <w:rPr>
          <w:rFonts w:ascii="Times New Roman" w:eastAsia="WarnockPro-Semibold" w:hAnsi="Times New Roman" w:cs="Times New Roman"/>
          <w:b/>
          <w:bCs/>
          <w:iCs/>
          <w:sz w:val="24"/>
          <w:szCs w:val="24"/>
        </w:rPr>
        <w:t xml:space="preserve">Supplementary file 5: </w:t>
      </w:r>
      <w:r w:rsidRPr="001240FA">
        <w:rPr>
          <w:rFonts w:ascii="Times New Roman" w:eastAsia="PMingLiU" w:hAnsi="Times New Roman" w:cs="Times New Roman"/>
          <w:sz w:val="24"/>
          <w:lang w:eastAsia="zh-TW"/>
        </w:rPr>
        <w:t>V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ariation in </w:t>
      </w:r>
      <w:r w:rsidRPr="001240FA">
        <w:rPr>
          <w:rFonts w:ascii="Times New Roman" w:hAnsi="Times New Roman" w:cs="Times New Roman"/>
          <w:sz w:val="24"/>
          <w:szCs w:val="24"/>
        </w:rPr>
        <w:t>serum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 IL-2, IL-10, TNF-α, and TGF-β1</w:t>
      </w:r>
      <w:r w:rsidRPr="001240FA">
        <w:rPr>
          <w:rFonts w:ascii="Times New Roman" w:hAnsi="Times New Roman" w:cs="Times New Roman"/>
          <w:sz w:val="24"/>
          <w:szCs w:val="24"/>
        </w:rPr>
        <w:t xml:space="preserve"> </w:t>
      </w:r>
      <w:r w:rsidRPr="001240FA">
        <w:rPr>
          <w:rFonts w:ascii="Times New Roman" w:eastAsiaTheme="minorHAnsi" w:hAnsi="Times New Roman" w:cs="Times New Roman"/>
          <w:sz w:val="24"/>
        </w:rPr>
        <w:t xml:space="preserve">levels throughout the study. All the groups did not differ significantly in </w:t>
      </w:r>
      <w:r w:rsidRPr="001240FA">
        <w:rPr>
          <w:rFonts w:ascii="Times New Roman" w:hAnsi="Times New Roman" w:cs="Times New Roman"/>
          <w:sz w:val="24"/>
          <w:szCs w:val="24"/>
        </w:rPr>
        <w:t>serum</w:t>
      </w:r>
      <w:r w:rsidRPr="001240FA">
        <w:rPr>
          <w:rFonts w:ascii="Times New Roman" w:eastAsia="WarnockPro-Semibold" w:hAnsi="Times New Roman" w:cs="Times New Roman"/>
          <w:iCs/>
          <w:sz w:val="24"/>
          <w:szCs w:val="24"/>
        </w:rPr>
        <w:t xml:space="preserve"> IL-2 (A and E), IL-10 (B and F), TNF-α (C and G), and TGF-β1</w:t>
      </w:r>
      <w:r w:rsidRPr="001240FA">
        <w:rPr>
          <w:rFonts w:ascii="Times New Roman" w:hAnsi="Times New Roman" w:cs="Times New Roman"/>
          <w:sz w:val="24"/>
          <w:szCs w:val="24"/>
        </w:rPr>
        <w:t xml:space="preserve"> (D and H) </w:t>
      </w:r>
      <w:r w:rsidRPr="001240FA">
        <w:rPr>
          <w:rFonts w:ascii="Times New Roman" w:eastAsiaTheme="minorHAnsi" w:hAnsi="Times New Roman" w:cs="Times New Roman"/>
          <w:sz w:val="24"/>
        </w:rPr>
        <w:t xml:space="preserve">levels throughout all time points in Trials 1 or 2. Cytokine levels in each group </w:t>
      </w:r>
      <w:r w:rsidRPr="001240FA">
        <w:rPr>
          <w:rFonts w:ascii="Times New Roman" w:hAnsi="Times New Roman" w:cs="Times New Roman"/>
          <w:sz w:val="24"/>
        </w:rPr>
        <w:t>(</w:t>
      </w:r>
      <w:r w:rsidRPr="001240FA">
        <w:rPr>
          <w:rFonts w:ascii="Times New Roman" w:eastAsia="WarnockPro-Semibold" w:hAnsi="Times New Roman" w:cs="Times New Roman"/>
          <w:iCs/>
          <w:sz w:val="24"/>
        </w:rPr>
        <w:t>group size n = 5</w:t>
      </w:r>
      <w:r w:rsidRPr="001240FA">
        <w:rPr>
          <w:rFonts w:ascii="Times New Roman" w:hAnsi="Times New Roman" w:cs="Times New Roman"/>
          <w:sz w:val="24"/>
        </w:rPr>
        <w:t>)</w:t>
      </w:r>
      <w:r w:rsidRPr="001240FA">
        <w:rPr>
          <w:rFonts w:ascii="Times New Roman" w:eastAsiaTheme="minorHAnsi" w:hAnsi="Times New Roman" w:cs="Times New Roman"/>
          <w:sz w:val="24"/>
        </w:rPr>
        <w:t xml:space="preserve"> were presented as </w:t>
      </w:r>
      <w:r w:rsidRPr="001240FA">
        <w:rPr>
          <w:rFonts w:ascii="Times New Roman" w:hAnsi="Times New Roman" w:cs="Times New Roman"/>
          <w:sz w:val="24"/>
        </w:rPr>
        <w:t>mean ± SD.</w:t>
      </w:r>
    </w:p>
    <w:p w:rsidR="00F1764B" w:rsidRDefault="00F1764B">
      <w:bookmarkStart w:id="0" w:name="_GoBack"/>
      <w:bookmarkEnd w:id="0"/>
    </w:p>
    <w:sectPr w:rsidR="00F17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arnockPro-Semibold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18"/>
    <w:rsid w:val="002C31EC"/>
    <w:rsid w:val="002E01EA"/>
    <w:rsid w:val="00DE6A23"/>
    <w:rsid w:val="00DF7618"/>
    <w:rsid w:val="00F1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65041C-C0E0-40F0-A564-4925D04C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618"/>
    <w:rPr>
      <w:rFonts w:eastAsiaTheme="minorEastAsia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2021-06-24T13:01:00Z</dcterms:created>
  <dcterms:modified xsi:type="dcterms:W3CDTF">2021-06-24T13:02:00Z</dcterms:modified>
</cp:coreProperties>
</file>