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82" w:rsidRPr="00606517" w:rsidRDefault="00205582" w:rsidP="00205582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06517">
        <w:rPr>
          <w:rFonts w:ascii="Times New Roman" w:hAnsi="Times New Roman" w:cs="Times New Roman"/>
          <w:sz w:val="28"/>
          <w:szCs w:val="28"/>
          <w:lang w:val="en-GB"/>
        </w:rPr>
        <w:t>Supp</w:t>
      </w:r>
      <w:r w:rsidR="00DF777E">
        <w:rPr>
          <w:rFonts w:ascii="Times New Roman" w:hAnsi="Times New Roman" w:cs="Times New Roman"/>
          <w:sz w:val="28"/>
          <w:szCs w:val="28"/>
          <w:lang w:val="en-GB"/>
        </w:rPr>
        <w:t>lementary Information - Chemotact</w:t>
      </w:r>
      <w:r w:rsidRPr="00606517">
        <w:rPr>
          <w:rFonts w:ascii="Times New Roman" w:hAnsi="Times New Roman" w:cs="Times New Roman"/>
          <w:sz w:val="28"/>
          <w:szCs w:val="28"/>
          <w:lang w:val="en-GB"/>
        </w:rPr>
        <w:t xml:space="preserve">ic and temperature-dependent responses of the </w:t>
      </w:r>
      <w:proofErr w:type="spellStart"/>
      <w:r w:rsidRPr="00606517">
        <w:rPr>
          <w:rFonts w:ascii="Times New Roman" w:hAnsi="Times New Roman" w:cs="Times New Roman"/>
          <w:sz w:val="28"/>
          <w:szCs w:val="28"/>
          <w:lang w:val="en-GB"/>
        </w:rPr>
        <w:t>Strongyloidoidea</w:t>
      </w:r>
      <w:proofErr w:type="spellEnd"/>
      <w:r w:rsidRPr="00606517">
        <w:rPr>
          <w:rFonts w:ascii="Times New Roman" w:hAnsi="Times New Roman" w:cs="Times New Roman"/>
          <w:sz w:val="28"/>
          <w:szCs w:val="28"/>
          <w:lang w:val="en-GB"/>
        </w:rPr>
        <w:t xml:space="preserve"> superfamily of nematodes</w:t>
      </w:r>
    </w:p>
    <w:p w:rsidR="00205582" w:rsidRPr="00606517" w:rsidRDefault="00205582" w:rsidP="00205582">
      <w:pPr>
        <w:spacing w:line="480" w:lineRule="auto"/>
        <w:rPr>
          <w:rFonts w:ascii="Times New Roman" w:hAnsi="Times New Roman" w:cs="Times New Roman"/>
          <w:lang w:val="en-GB"/>
        </w:rPr>
      </w:pPr>
    </w:p>
    <w:p w:rsidR="00606517" w:rsidRPr="002909F8" w:rsidRDefault="00606517" w:rsidP="00606517">
      <w:pPr>
        <w:spacing w:line="480" w:lineRule="auto"/>
        <w:rPr>
          <w:rFonts w:ascii="Times New Roman" w:hAnsi="Times New Roman" w:cs="Times New Roman"/>
          <w:lang w:val="en-GB"/>
        </w:rPr>
      </w:pPr>
      <w:r w:rsidRPr="002909F8">
        <w:rPr>
          <w:rFonts w:ascii="Times New Roman" w:hAnsi="Times New Roman" w:cs="Times New Roman"/>
          <w:lang w:val="en-GB"/>
        </w:rPr>
        <w:t>Alex Dulovic</w:t>
      </w:r>
      <w:r w:rsidRPr="002909F8">
        <w:rPr>
          <w:rFonts w:ascii="Times New Roman" w:hAnsi="Times New Roman" w:cs="Times New Roman"/>
          <w:vertAlign w:val="superscript"/>
          <w:lang w:val="en-GB"/>
        </w:rPr>
        <w:t>1</w:t>
      </w:r>
      <w:proofErr w:type="gramStart"/>
      <w:r w:rsidRPr="002909F8">
        <w:rPr>
          <w:rFonts w:ascii="Times New Roman" w:hAnsi="Times New Roman" w:cs="Times New Roman"/>
          <w:vertAlign w:val="superscript"/>
          <w:lang w:val="en-GB"/>
        </w:rPr>
        <w:t>,2</w:t>
      </w:r>
      <w:proofErr w:type="gramEnd"/>
      <w:r w:rsidRPr="002909F8">
        <w:rPr>
          <w:rFonts w:ascii="Times New Roman" w:hAnsi="Times New Roman" w:cs="Times New Roman"/>
          <w:lang w:val="en-GB"/>
        </w:rPr>
        <w:t>*, Mat Norman</w:t>
      </w:r>
      <w:r w:rsidRPr="002909F8">
        <w:rPr>
          <w:rFonts w:ascii="Times New Roman" w:hAnsi="Times New Roman" w:cs="Times New Roman"/>
          <w:vertAlign w:val="superscript"/>
          <w:lang w:val="en-GB"/>
        </w:rPr>
        <w:t>1,3</w:t>
      </w:r>
      <w:r w:rsidRPr="002909F8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909F8">
        <w:rPr>
          <w:rFonts w:ascii="Times New Roman" w:hAnsi="Times New Roman" w:cs="Times New Roman"/>
          <w:lang w:val="en-GB"/>
        </w:rPr>
        <w:t>Dorothee</w:t>
      </w:r>
      <w:proofErr w:type="spellEnd"/>
      <w:r w:rsidRPr="002909F8">
        <w:rPr>
          <w:rFonts w:ascii="Times New Roman" w:hAnsi="Times New Roman" w:cs="Times New Roman"/>
          <w:lang w:val="en-GB"/>
        </w:rPr>
        <w:t xml:space="preserve"> Harbecke</w:t>
      </w:r>
      <w:r w:rsidRPr="002909F8">
        <w:rPr>
          <w:rFonts w:ascii="Times New Roman" w:hAnsi="Times New Roman" w:cs="Times New Roman"/>
          <w:vertAlign w:val="superscript"/>
          <w:lang w:val="en-GB"/>
        </w:rPr>
        <w:t>1</w:t>
      </w:r>
      <w:r w:rsidRPr="002909F8">
        <w:rPr>
          <w:rFonts w:ascii="Times New Roman" w:hAnsi="Times New Roman" w:cs="Times New Roman"/>
          <w:lang w:val="en-GB"/>
        </w:rPr>
        <w:t xml:space="preserve"> and Adrian Streit</w:t>
      </w:r>
      <w:r w:rsidRPr="002909F8">
        <w:rPr>
          <w:rFonts w:ascii="Times New Roman" w:hAnsi="Times New Roman" w:cs="Times New Roman"/>
          <w:vertAlign w:val="superscript"/>
          <w:lang w:val="en-GB"/>
        </w:rPr>
        <w:t>1</w:t>
      </w:r>
    </w:p>
    <w:p w:rsidR="00606517" w:rsidRPr="002909F8" w:rsidRDefault="00606517" w:rsidP="00606517">
      <w:pPr>
        <w:tabs>
          <w:tab w:val="left" w:pos="7635"/>
        </w:tabs>
        <w:spacing w:line="480" w:lineRule="auto"/>
        <w:rPr>
          <w:rFonts w:ascii="Times New Roman" w:hAnsi="Times New Roman" w:cs="Times New Roman"/>
          <w:lang w:val="en-GB"/>
        </w:rPr>
      </w:pPr>
      <w:r w:rsidRPr="002909F8">
        <w:rPr>
          <w:rFonts w:ascii="Times New Roman" w:hAnsi="Times New Roman" w:cs="Times New Roman"/>
          <w:vertAlign w:val="superscript"/>
          <w:lang w:val="en-GB"/>
        </w:rPr>
        <w:t>1</w:t>
      </w:r>
      <w:r w:rsidRPr="002909F8">
        <w:rPr>
          <w:rFonts w:ascii="Times New Roman" w:hAnsi="Times New Roman" w:cs="Times New Roman"/>
          <w:lang w:val="en-GB"/>
        </w:rPr>
        <w:t xml:space="preserve">Max Planck Institute for Developmental Biology, </w:t>
      </w:r>
      <w:proofErr w:type="spellStart"/>
      <w:r w:rsidRPr="002909F8">
        <w:rPr>
          <w:rFonts w:ascii="Times New Roman" w:hAnsi="Times New Roman" w:cs="Times New Roman"/>
          <w:lang w:val="en-GB"/>
        </w:rPr>
        <w:t>Tübingen</w:t>
      </w:r>
      <w:proofErr w:type="spellEnd"/>
      <w:r w:rsidRPr="002909F8">
        <w:rPr>
          <w:rFonts w:ascii="Times New Roman" w:hAnsi="Times New Roman" w:cs="Times New Roman"/>
          <w:lang w:val="en-GB"/>
        </w:rPr>
        <w:t>, Baden Württemberg, Germany</w:t>
      </w:r>
      <w:r>
        <w:rPr>
          <w:rFonts w:ascii="Times New Roman" w:hAnsi="Times New Roman" w:cs="Times New Roman"/>
          <w:lang w:val="en-GB"/>
        </w:rPr>
        <w:t xml:space="preserve">; </w:t>
      </w:r>
      <w:r w:rsidRPr="002909F8">
        <w:rPr>
          <w:rFonts w:ascii="Times New Roman" w:hAnsi="Times New Roman" w:cs="Times New Roman"/>
          <w:vertAlign w:val="superscript"/>
          <w:lang w:val="en-GB"/>
        </w:rPr>
        <w:t>2</w:t>
      </w:r>
      <w:r w:rsidRPr="002909F8">
        <w:rPr>
          <w:rFonts w:ascii="Times New Roman" w:hAnsi="Times New Roman" w:cs="Times New Roman"/>
          <w:lang w:val="en-GB"/>
        </w:rPr>
        <w:t xml:space="preserve">Present Address: NMI Natural and Medical Sciences Institute at the University of </w:t>
      </w:r>
      <w:proofErr w:type="spellStart"/>
      <w:r w:rsidRPr="002909F8">
        <w:rPr>
          <w:rFonts w:ascii="Times New Roman" w:hAnsi="Times New Roman" w:cs="Times New Roman"/>
          <w:lang w:val="en-GB"/>
        </w:rPr>
        <w:t>Tübingen</w:t>
      </w:r>
      <w:proofErr w:type="spellEnd"/>
      <w:r w:rsidRPr="002909F8">
        <w:rPr>
          <w:rFonts w:ascii="Times New Roman" w:hAnsi="Times New Roman" w:cs="Times New Roman"/>
          <w:lang w:val="en-GB"/>
        </w:rPr>
        <w:t>, Baden Württemberg, Germany</w:t>
      </w:r>
      <w:r>
        <w:rPr>
          <w:rFonts w:ascii="Times New Roman" w:hAnsi="Times New Roman" w:cs="Times New Roman"/>
          <w:lang w:val="en-GB"/>
        </w:rPr>
        <w:t xml:space="preserve">; </w:t>
      </w:r>
      <w:r w:rsidRPr="002909F8">
        <w:rPr>
          <w:rFonts w:ascii="Times New Roman" w:hAnsi="Times New Roman" w:cs="Times New Roman"/>
          <w:vertAlign w:val="superscript"/>
          <w:lang w:val="en-GB"/>
        </w:rPr>
        <w:t>3</w:t>
      </w:r>
      <w:r w:rsidRPr="002909F8">
        <w:rPr>
          <w:rFonts w:ascii="Times New Roman" w:hAnsi="Times New Roman" w:cs="Times New Roman"/>
          <w:lang w:val="en-GB"/>
        </w:rPr>
        <w:t>Present Address: UBC Faculty of Medicine, Vancouver, British Columbia, Canada</w:t>
      </w:r>
    </w:p>
    <w:p w:rsidR="00606517" w:rsidRPr="002909F8" w:rsidRDefault="00606517" w:rsidP="00606517">
      <w:pPr>
        <w:tabs>
          <w:tab w:val="left" w:pos="7635"/>
        </w:tabs>
        <w:spacing w:line="480" w:lineRule="auto"/>
        <w:rPr>
          <w:rFonts w:ascii="Times New Roman" w:hAnsi="Times New Roman" w:cs="Times New Roman"/>
          <w:lang w:val="en-GB"/>
        </w:rPr>
      </w:pPr>
    </w:p>
    <w:p w:rsidR="00606517" w:rsidRPr="002909F8" w:rsidRDefault="00606517" w:rsidP="00606517">
      <w:pPr>
        <w:tabs>
          <w:tab w:val="left" w:pos="7635"/>
        </w:tabs>
        <w:spacing w:line="480" w:lineRule="auto"/>
        <w:rPr>
          <w:rFonts w:ascii="Times New Roman" w:hAnsi="Times New Roman" w:cs="Times New Roman"/>
          <w:lang w:val="en-GB"/>
        </w:rPr>
      </w:pPr>
      <w:r w:rsidRPr="002909F8">
        <w:rPr>
          <w:rFonts w:ascii="Times New Roman" w:hAnsi="Times New Roman" w:cs="Times New Roman"/>
          <w:b/>
          <w:lang w:val="en-GB"/>
        </w:rPr>
        <w:t>* Author for correspondence:</w:t>
      </w:r>
      <w:r>
        <w:rPr>
          <w:rFonts w:ascii="Times New Roman" w:hAnsi="Times New Roman" w:cs="Times New Roman"/>
          <w:lang w:val="en-GB"/>
        </w:rPr>
        <w:t xml:space="preserve"> Alex Dulovic, E</w:t>
      </w:r>
      <w:r w:rsidRPr="002909F8">
        <w:rPr>
          <w:rFonts w:ascii="Times New Roman" w:hAnsi="Times New Roman" w:cs="Times New Roman"/>
          <w:lang w:val="en-GB"/>
        </w:rPr>
        <w:t>mail: alex.dulovic@nmi.de</w:t>
      </w:r>
    </w:p>
    <w:p w:rsidR="00606517" w:rsidRDefault="00606517" w:rsidP="0060651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lang w:val="en-US"/>
        </w:rPr>
        <w:lastRenderedPageBreak/>
        <w:t xml:space="preserve">S1 Figure - Illustration of plate set up for all </w:t>
      </w:r>
      <w:proofErr w:type="spellStart"/>
      <w:r w:rsidRPr="00606517">
        <w:rPr>
          <w:rFonts w:ascii="Times New Roman" w:hAnsi="Times New Roman" w:cs="Times New Roman"/>
          <w:lang w:val="en-US"/>
        </w:rPr>
        <w:t>chemotaxic</w:t>
      </w:r>
      <w:proofErr w:type="spellEnd"/>
      <w:r w:rsidRPr="00606517">
        <w:rPr>
          <w:rFonts w:ascii="Times New Roman" w:hAnsi="Times New Roman" w:cs="Times New Roman"/>
          <w:lang w:val="en-US"/>
        </w:rPr>
        <w:t xml:space="preserve"> assays </w:t>
      </w: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5080</wp:posOffset>
            </wp:positionV>
            <wp:extent cx="3506400" cy="3380400"/>
            <wp:effectExtent l="0" t="0" r="0" b="0"/>
            <wp:wrapTight wrapText="bothSides">
              <wp:wrapPolygon edited="0">
                <wp:start x="8803" y="0"/>
                <wp:lineTo x="7746" y="122"/>
                <wp:lineTo x="4108" y="1704"/>
                <wp:lineTo x="2113" y="3896"/>
                <wp:lineTo x="822" y="5843"/>
                <wp:lineTo x="117" y="7791"/>
                <wp:lineTo x="0" y="8887"/>
                <wp:lineTo x="0" y="12539"/>
                <wp:lineTo x="117" y="13634"/>
                <wp:lineTo x="822" y="15582"/>
                <wp:lineTo x="1995" y="17530"/>
                <wp:lineTo x="3991" y="19478"/>
                <wp:lineTo x="4108" y="19843"/>
                <wp:lineTo x="7981" y="21426"/>
                <wp:lineTo x="8803" y="21426"/>
                <wp:lineTo x="12676" y="21426"/>
                <wp:lineTo x="13498" y="21426"/>
                <wp:lineTo x="17371" y="19843"/>
                <wp:lineTo x="17488" y="19478"/>
                <wp:lineTo x="19483" y="17530"/>
                <wp:lineTo x="20657" y="15582"/>
                <wp:lineTo x="21361" y="13634"/>
                <wp:lineTo x="21479" y="12417"/>
                <wp:lineTo x="21479" y="8887"/>
                <wp:lineTo x="21361" y="7791"/>
                <wp:lineTo x="20657" y="5843"/>
                <wp:lineTo x="19366" y="3896"/>
                <wp:lineTo x="17371" y="1704"/>
                <wp:lineTo x="13732" y="122"/>
                <wp:lineTo x="12676" y="0"/>
                <wp:lineTo x="8803" y="0"/>
              </wp:wrapPolygon>
            </wp:wrapTight>
            <wp:docPr id="2" name="Grafik 2" descr="C:\Users\DulovicAlex\Documents\DA Old PC documents\Old MPI Manuscripts\Parasitology Chemosensation\S2 F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lovicAlex\Documents\DA Old PC documents\Old MPI Manuscripts\Parasitology Chemosensation\S2 F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00" cy="33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lang w:val="en-US"/>
        </w:rPr>
        <w:t xml:space="preserve">Basic set up used in all assays. Worms are spotted in the </w:t>
      </w:r>
      <w:proofErr w:type="spellStart"/>
      <w:r w:rsidRPr="00606517">
        <w:rPr>
          <w:rFonts w:ascii="Times New Roman" w:hAnsi="Times New Roman" w:cs="Times New Roman"/>
          <w:lang w:val="en-US"/>
        </w:rPr>
        <w:t>centre</w:t>
      </w:r>
      <w:proofErr w:type="spellEnd"/>
      <w:r w:rsidRPr="00606517">
        <w:rPr>
          <w:rFonts w:ascii="Times New Roman" w:hAnsi="Times New Roman" w:cs="Times New Roman"/>
          <w:lang w:val="en-US"/>
        </w:rPr>
        <w:t xml:space="preserve"> circle and allowed to crawl towards either </w:t>
      </w:r>
      <w:proofErr w:type="spellStart"/>
      <w:r w:rsidRPr="00606517">
        <w:rPr>
          <w:rFonts w:ascii="Times New Roman" w:hAnsi="Times New Roman" w:cs="Times New Roman"/>
          <w:lang w:val="en-US"/>
        </w:rPr>
        <w:t>odoroant</w:t>
      </w:r>
      <w:proofErr w:type="spellEnd"/>
      <w:r w:rsidRPr="00606517">
        <w:rPr>
          <w:rFonts w:ascii="Times New Roman" w:hAnsi="Times New Roman" w:cs="Times New Roman"/>
          <w:lang w:val="en-US"/>
        </w:rPr>
        <w:t xml:space="preserve">. Only those within the odorant scoring zones are counted. </w:t>
      </w:r>
      <w:r w:rsidRPr="00606517">
        <w:rPr>
          <w:rFonts w:ascii="Times New Roman" w:hAnsi="Times New Roman" w:cs="Times New Roman"/>
          <w:lang w:val="en-US"/>
        </w:rPr>
        <w:br w:type="page"/>
      </w:r>
    </w:p>
    <w:p w:rsidR="00BA1B8E" w:rsidRPr="00606517" w:rsidRDefault="00205582">
      <w:pPr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lang w:val="en-US"/>
        </w:rPr>
        <w:lastRenderedPageBreak/>
        <w:t xml:space="preserve">S2 Figure – </w:t>
      </w:r>
      <w:proofErr w:type="spellStart"/>
      <w:r w:rsidRPr="00606517">
        <w:rPr>
          <w:rFonts w:ascii="Times New Roman" w:hAnsi="Times New Roman" w:cs="Times New Roman"/>
          <w:lang w:val="en-US"/>
        </w:rPr>
        <w:t>Chemoattraction</w:t>
      </w:r>
      <w:proofErr w:type="spellEnd"/>
      <w:r w:rsidRPr="00606517">
        <w:rPr>
          <w:rFonts w:ascii="Times New Roman" w:hAnsi="Times New Roman" w:cs="Times New Roman"/>
          <w:lang w:val="en-US"/>
        </w:rPr>
        <w:t>/repulsion is odorant specific and not hygroscopic</w:t>
      </w:r>
      <w:r w:rsidR="00606517" w:rsidRPr="00606517">
        <w:rPr>
          <w:rFonts w:ascii="Times New Roman" w:hAnsi="Times New Roman" w:cs="Times New Roman"/>
          <w:lang w:val="en-US"/>
        </w:rPr>
        <w:t xml:space="preserve"> or gustatory</w:t>
      </w:r>
    </w:p>
    <w:p w:rsidR="00205582" w:rsidRPr="00606517" w:rsidRDefault="00205582">
      <w:pPr>
        <w:rPr>
          <w:rFonts w:ascii="Times New Roman" w:hAnsi="Times New Roman" w:cs="Times New Roman"/>
          <w:lang w:val="en-US"/>
        </w:rPr>
      </w:pPr>
    </w:p>
    <w:p w:rsidR="00205582" w:rsidRPr="00606517" w:rsidRDefault="00205582">
      <w:pPr>
        <w:rPr>
          <w:rFonts w:ascii="Times New Roman" w:hAnsi="Times New Roman" w:cs="Times New Roman"/>
          <w:lang w:val="en-US"/>
        </w:rPr>
      </w:pPr>
    </w:p>
    <w:p w:rsidR="00205582" w:rsidRPr="00606517" w:rsidRDefault="00E925F1">
      <w:pPr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60720" cy="3730975"/>
            <wp:effectExtent l="0" t="0" r="0" b="3175"/>
            <wp:docPr id="1" name="Grafik 1" descr="C:\Users\DulovicAlex\Documents\DA Old PC documents\Old MPI Manuscripts\Parasitology Chemosensation\Revision\S2 F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ovicAlex\Documents\DA Old PC documents\Old MPI Manuscripts\Parasitology Chemosensation\Revision\S2 F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82" w:rsidRPr="00606517" w:rsidRDefault="00205582">
      <w:pPr>
        <w:rPr>
          <w:rFonts w:ascii="Times New Roman" w:hAnsi="Times New Roman" w:cs="Times New Roman"/>
          <w:lang w:val="en-GB"/>
        </w:rPr>
      </w:pPr>
    </w:p>
    <w:p w:rsidR="00205582" w:rsidRPr="00606517" w:rsidRDefault="00205582" w:rsidP="00205582">
      <w:pPr>
        <w:spacing w:line="480" w:lineRule="auto"/>
        <w:rPr>
          <w:rFonts w:ascii="Times New Roman" w:hAnsi="Times New Roman" w:cs="Times New Roman"/>
          <w:lang w:val="en-US"/>
        </w:rPr>
      </w:pPr>
      <w:proofErr w:type="gramStart"/>
      <w:r w:rsidRPr="00606517">
        <w:rPr>
          <w:rFonts w:ascii="Times New Roman" w:hAnsi="Times New Roman" w:cs="Times New Roman"/>
          <w:lang w:val="en-US"/>
        </w:rPr>
        <w:t>4</w:t>
      </w:r>
      <w:proofErr w:type="gramEnd"/>
      <w:r w:rsidRPr="00606517">
        <w:rPr>
          <w:rFonts w:ascii="Times New Roman" w:hAnsi="Times New Roman" w:cs="Times New Roman"/>
          <w:lang w:val="en-US"/>
        </w:rPr>
        <w:t xml:space="preserve"> odorants were examined to determine if changes in odorant location</w:t>
      </w:r>
      <w:r w:rsidR="00DF777E">
        <w:rPr>
          <w:rFonts w:ascii="Times New Roman" w:hAnsi="Times New Roman" w:cs="Times New Roman"/>
          <w:lang w:val="en-US"/>
        </w:rPr>
        <w:t xml:space="preserve"> resulted in changes in </w:t>
      </w:r>
      <w:proofErr w:type="spellStart"/>
      <w:r w:rsidR="00DF777E">
        <w:rPr>
          <w:rFonts w:ascii="Times New Roman" w:hAnsi="Times New Roman" w:cs="Times New Roman"/>
          <w:lang w:val="en-US"/>
        </w:rPr>
        <w:t>chemotact</w:t>
      </w:r>
      <w:r w:rsidRPr="00606517">
        <w:rPr>
          <w:rFonts w:ascii="Times New Roman" w:hAnsi="Times New Roman" w:cs="Times New Roman"/>
          <w:lang w:val="en-US"/>
        </w:rPr>
        <w:t>is</w:t>
      </w:r>
      <w:proofErr w:type="spellEnd"/>
      <w:r w:rsidRPr="00606517">
        <w:rPr>
          <w:rFonts w:ascii="Times New Roman" w:hAnsi="Times New Roman" w:cs="Times New Roman"/>
          <w:lang w:val="en-US"/>
        </w:rPr>
        <w:t xml:space="preserve">, and to exclude potential cofounders such as </w:t>
      </w:r>
      <w:proofErr w:type="spellStart"/>
      <w:r w:rsidR="00DF777E">
        <w:rPr>
          <w:rFonts w:ascii="Times New Roman" w:hAnsi="Times New Roman" w:cs="Times New Roman"/>
          <w:lang w:val="en-US"/>
        </w:rPr>
        <w:t>hygroscopy</w:t>
      </w:r>
      <w:proofErr w:type="spellEnd"/>
      <w:r w:rsidR="00DF777E">
        <w:rPr>
          <w:rFonts w:ascii="Times New Roman" w:hAnsi="Times New Roman" w:cs="Times New Roman"/>
          <w:lang w:val="en-US"/>
        </w:rPr>
        <w:t xml:space="preserve"> from causing </w:t>
      </w:r>
      <w:proofErr w:type="spellStart"/>
      <w:r w:rsidR="00DF777E">
        <w:rPr>
          <w:rFonts w:ascii="Times New Roman" w:hAnsi="Times New Roman" w:cs="Times New Roman"/>
          <w:lang w:val="en-US"/>
        </w:rPr>
        <w:t>chemotact</w:t>
      </w:r>
      <w:r w:rsidRPr="00606517">
        <w:rPr>
          <w:rFonts w:ascii="Times New Roman" w:hAnsi="Times New Roman" w:cs="Times New Roman"/>
          <w:lang w:val="en-US"/>
        </w:rPr>
        <w:t>is</w:t>
      </w:r>
      <w:proofErr w:type="spellEnd"/>
      <w:r w:rsidRPr="00606517">
        <w:rPr>
          <w:rFonts w:ascii="Times New Roman" w:hAnsi="Times New Roman" w:cs="Times New Roman"/>
          <w:lang w:val="en-US"/>
        </w:rPr>
        <w:t>.</w:t>
      </w:r>
      <w:r w:rsidR="00840FC8" w:rsidRPr="00606517">
        <w:rPr>
          <w:rFonts w:ascii="Times New Roman" w:hAnsi="Times New Roman" w:cs="Times New Roman"/>
          <w:lang w:val="en-US"/>
        </w:rPr>
        <w:t xml:space="preserve"> Odorants were spotted either on the agar (black) or on the lid of the plate (white).</w:t>
      </w:r>
      <w:r w:rsidRPr="00606517">
        <w:rPr>
          <w:rFonts w:ascii="Times New Roman" w:hAnsi="Times New Roman" w:cs="Times New Roman"/>
          <w:lang w:val="en-US"/>
        </w:rPr>
        <w:t xml:space="preserve"> </w:t>
      </w:r>
      <w:r w:rsidR="00E925F1" w:rsidRPr="00606517">
        <w:rPr>
          <w:rFonts w:ascii="Times New Roman" w:hAnsi="Times New Roman" w:cs="Times New Roman"/>
          <w:lang w:val="en-US"/>
        </w:rPr>
        <w:t xml:space="preserve">Statistical significance was determined by two-way ANOVA. </w:t>
      </w:r>
      <w:r w:rsidRPr="00606517">
        <w:rPr>
          <w:rFonts w:ascii="Times New Roman" w:hAnsi="Times New Roman" w:cs="Times New Roman"/>
          <w:lang w:val="en-US"/>
        </w:rPr>
        <w:t>Only one odorant (</w:t>
      </w:r>
      <w:r w:rsidR="00840FC8" w:rsidRPr="00606517">
        <w:rPr>
          <w:rFonts w:ascii="Times New Roman" w:hAnsi="Times New Roman" w:cs="Times New Roman"/>
          <w:lang w:val="en-US"/>
        </w:rPr>
        <w:t>urea</w:t>
      </w:r>
      <w:r w:rsidRPr="00606517">
        <w:rPr>
          <w:rFonts w:ascii="Times New Roman" w:hAnsi="Times New Roman" w:cs="Times New Roman"/>
          <w:lang w:val="en-US"/>
        </w:rPr>
        <w:t>) had a significant difference for a single species</w:t>
      </w:r>
      <w:r w:rsidR="00840FC8" w:rsidRPr="00606517">
        <w:rPr>
          <w:rFonts w:ascii="Times New Roman" w:hAnsi="Times New Roman" w:cs="Times New Roman"/>
          <w:lang w:val="en-US"/>
        </w:rPr>
        <w:t xml:space="preserve"> (p-value 0.01)</w:t>
      </w:r>
      <w:r w:rsidRPr="00606517">
        <w:rPr>
          <w:rFonts w:ascii="Times New Roman" w:hAnsi="Times New Roman" w:cs="Times New Roman"/>
          <w:lang w:val="en-US"/>
        </w:rPr>
        <w:t>.</w:t>
      </w:r>
    </w:p>
    <w:p w:rsidR="00205582" w:rsidRPr="00606517" w:rsidRDefault="00205582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lang w:val="en-US"/>
        </w:rPr>
        <w:br w:type="page"/>
      </w:r>
    </w:p>
    <w:p w:rsidR="00205582" w:rsidRPr="00606517" w:rsidRDefault="00205582" w:rsidP="00205582">
      <w:pPr>
        <w:spacing w:line="480" w:lineRule="auto"/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lang w:val="en-US"/>
        </w:rPr>
        <w:lastRenderedPageBreak/>
        <w:t>S</w:t>
      </w:r>
      <w:r w:rsidR="0009453E">
        <w:rPr>
          <w:rFonts w:ascii="Times New Roman" w:hAnsi="Times New Roman" w:cs="Times New Roman"/>
          <w:lang w:val="en-US"/>
        </w:rPr>
        <w:t>3 Figure</w:t>
      </w:r>
      <w:r w:rsidRPr="00606517">
        <w:rPr>
          <w:rFonts w:ascii="Times New Roman" w:hAnsi="Times New Roman" w:cs="Times New Roman"/>
          <w:lang w:val="en-US"/>
        </w:rPr>
        <w:t xml:space="preserve"> – </w:t>
      </w:r>
      <w:r w:rsidR="0009453E" w:rsidRPr="0009453E">
        <w:rPr>
          <w:rFonts w:ascii="Times New Roman" w:hAnsi="Times New Roman" w:cs="Times New Roman"/>
          <w:i/>
          <w:lang w:val="en-US"/>
        </w:rPr>
        <w:t>S</w:t>
      </w:r>
      <w:r w:rsidRPr="00606517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06517">
        <w:rPr>
          <w:rFonts w:ascii="Times New Roman" w:hAnsi="Times New Roman" w:cs="Times New Roman"/>
          <w:i/>
          <w:lang w:val="en-US"/>
        </w:rPr>
        <w:t>ratti</w:t>
      </w:r>
      <w:proofErr w:type="spellEnd"/>
      <w:r w:rsidR="0009453E">
        <w:rPr>
          <w:rFonts w:ascii="Times New Roman" w:hAnsi="Times New Roman" w:cs="Times New Roman"/>
          <w:i/>
          <w:lang w:val="en-US"/>
        </w:rPr>
        <w:t xml:space="preserve"> </w:t>
      </w:r>
      <w:r w:rsidR="0009453E" w:rsidRPr="0009453E">
        <w:rPr>
          <w:rFonts w:ascii="Times New Roman" w:hAnsi="Times New Roman" w:cs="Times New Roman"/>
          <w:lang w:val="en-US"/>
        </w:rPr>
        <w:t>shows no attraction to fur</w:t>
      </w:r>
    </w:p>
    <w:p w:rsidR="00205582" w:rsidRDefault="00DF777E">
      <w:pPr>
        <w:rPr>
          <w:rFonts w:ascii="Times New Roman" w:hAnsi="Times New Roman" w:cs="Times New Roman"/>
          <w:lang w:val="en-US"/>
        </w:rPr>
      </w:pPr>
      <w:r w:rsidRPr="00DF777E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4076700" cy="3009900"/>
            <wp:effectExtent l="0" t="0" r="0" b="0"/>
            <wp:docPr id="3" name="Grafik 3" descr="C:\Users\DulovicAlex\Documents\DA Old PC documents\Old MPI Manuscripts\Parasitology Chemosensation\Further Revision\text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ovicAlex\Documents\DA Old PC documents\Old MPI Manuscripts\Parasitology Chemosensation\Further Revision\text17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53E" w:rsidRPr="00606517" w:rsidRDefault="0009453E">
      <w:pPr>
        <w:rPr>
          <w:rFonts w:ascii="Times New Roman" w:hAnsi="Times New Roman" w:cs="Times New Roman"/>
          <w:lang w:val="en-US"/>
        </w:rPr>
      </w:pPr>
    </w:p>
    <w:p w:rsidR="0009453E" w:rsidRDefault="0009453E" w:rsidP="00FB7148">
      <w:pPr>
        <w:spacing w:line="480" w:lineRule="auto"/>
        <w:rPr>
          <w:rFonts w:ascii="Times New Roman" w:hAnsi="Times New Roman" w:cs="Times New Roman"/>
          <w:i/>
          <w:lang w:val="en-US"/>
        </w:rPr>
      </w:pPr>
    </w:p>
    <w:p w:rsidR="00205582" w:rsidRPr="00606517" w:rsidRDefault="00205582" w:rsidP="00FB7148">
      <w:pPr>
        <w:spacing w:line="480" w:lineRule="auto"/>
        <w:rPr>
          <w:rFonts w:ascii="Times New Roman" w:hAnsi="Times New Roman" w:cs="Times New Roman"/>
          <w:lang w:val="en-US"/>
        </w:rPr>
      </w:pPr>
      <w:r w:rsidRPr="00606517">
        <w:rPr>
          <w:rFonts w:ascii="Times New Roman" w:hAnsi="Times New Roman" w:cs="Times New Roman"/>
          <w:i/>
          <w:lang w:val="en-US"/>
        </w:rPr>
        <w:t xml:space="preserve">S. </w:t>
      </w:r>
      <w:proofErr w:type="spellStart"/>
      <w:r w:rsidRPr="00606517">
        <w:rPr>
          <w:rFonts w:ascii="Times New Roman" w:hAnsi="Times New Roman" w:cs="Times New Roman"/>
          <w:i/>
          <w:lang w:val="en-US"/>
        </w:rPr>
        <w:t>ratti</w:t>
      </w:r>
      <w:proofErr w:type="spellEnd"/>
      <w:r w:rsidRPr="00606517">
        <w:rPr>
          <w:rFonts w:ascii="Times New Roman" w:hAnsi="Times New Roman" w:cs="Times New Roman"/>
          <w:i/>
          <w:lang w:val="en-US"/>
        </w:rPr>
        <w:t xml:space="preserve"> </w:t>
      </w:r>
      <w:r w:rsidRPr="00606517">
        <w:rPr>
          <w:rFonts w:ascii="Times New Roman" w:hAnsi="Times New Roman" w:cs="Times New Roman"/>
          <w:lang w:val="en-US"/>
        </w:rPr>
        <w:t>showed no attraction to fur and showed no difference in response between host and non-host fur.</w:t>
      </w:r>
      <w:r w:rsidR="0009453E">
        <w:rPr>
          <w:rFonts w:ascii="Times New Roman" w:hAnsi="Times New Roman" w:cs="Times New Roman"/>
          <w:lang w:val="en-US"/>
        </w:rPr>
        <w:t xml:space="preserve"> Initially </w:t>
      </w:r>
      <w:r w:rsidR="0009453E" w:rsidRPr="0009453E">
        <w:rPr>
          <w:rFonts w:ascii="Times New Roman" w:hAnsi="Times New Roman" w:cs="Times New Roman"/>
          <w:i/>
          <w:lang w:val="en-US"/>
        </w:rPr>
        <w:t xml:space="preserve">S. </w:t>
      </w:r>
      <w:proofErr w:type="spellStart"/>
      <w:r w:rsidR="0009453E" w:rsidRPr="0009453E">
        <w:rPr>
          <w:rFonts w:ascii="Times New Roman" w:hAnsi="Times New Roman" w:cs="Times New Roman"/>
          <w:i/>
          <w:lang w:val="en-US"/>
        </w:rPr>
        <w:t>ratti</w:t>
      </w:r>
      <w:proofErr w:type="spellEnd"/>
      <w:r w:rsidR="0009453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9453E">
        <w:rPr>
          <w:rFonts w:ascii="Times New Roman" w:hAnsi="Times New Roman" w:cs="Times New Roman"/>
          <w:lang w:val="en-US"/>
        </w:rPr>
        <w:t>was spotted</w:t>
      </w:r>
      <w:proofErr w:type="gramEnd"/>
      <w:r w:rsidR="0009453E">
        <w:rPr>
          <w:rFonts w:ascii="Times New Roman" w:hAnsi="Times New Roman" w:cs="Times New Roman"/>
          <w:lang w:val="en-US"/>
        </w:rPr>
        <w:t xml:space="preserve"> on plates with host (rat) fur and non-host (rabbit) fur on opposite sides. Having seen that the majority of worms were attracted to neither fur, we then spotted </w:t>
      </w:r>
      <w:r w:rsidR="0009453E" w:rsidRPr="0009453E">
        <w:rPr>
          <w:rFonts w:ascii="Times New Roman" w:hAnsi="Times New Roman" w:cs="Times New Roman"/>
          <w:i/>
          <w:lang w:val="en-US"/>
        </w:rPr>
        <w:t xml:space="preserve">S. </w:t>
      </w:r>
      <w:proofErr w:type="spellStart"/>
      <w:r w:rsidR="0009453E" w:rsidRPr="0009453E">
        <w:rPr>
          <w:rFonts w:ascii="Times New Roman" w:hAnsi="Times New Roman" w:cs="Times New Roman"/>
          <w:i/>
          <w:lang w:val="en-US"/>
        </w:rPr>
        <w:t>ratti</w:t>
      </w:r>
      <w:proofErr w:type="spellEnd"/>
      <w:r w:rsidR="0009453E">
        <w:rPr>
          <w:rFonts w:ascii="Times New Roman" w:hAnsi="Times New Roman" w:cs="Times New Roman"/>
          <w:lang w:val="en-US"/>
        </w:rPr>
        <w:t xml:space="preserve"> on plates with host fur and no fur. CI indicates chemotactic index with </w:t>
      </w:r>
      <w:proofErr w:type="gramStart"/>
      <w:r w:rsidR="00DF777E">
        <w:rPr>
          <w:rFonts w:ascii="Times New Roman" w:hAnsi="Times New Roman" w:cs="Times New Roman"/>
          <w:lang w:val="en-US"/>
        </w:rPr>
        <w:t>1</w:t>
      </w:r>
      <w:proofErr w:type="gramEnd"/>
      <w:r w:rsidR="00DF777E">
        <w:rPr>
          <w:rFonts w:ascii="Times New Roman" w:hAnsi="Times New Roman" w:cs="Times New Roman"/>
          <w:lang w:val="en-US"/>
        </w:rPr>
        <w:t xml:space="preserve"> indicating strong attraction towards rat fur</w:t>
      </w:r>
      <w:r w:rsidR="0009453E">
        <w:rPr>
          <w:rFonts w:ascii="Times New Roman" w:hAnsi="Times New Roman" w:cs="Times New Roman"/>
          <w:lang w:val="en-US"/>
        </w:rPr>
        <w:t xml:space="preserve"> and -1 indicating strong </w:t>
      </w:r>
      <w:r w:rsidR="00DF777E">
        <w:rPr>
          <w:rFonts w:ascii="Times New Roman" w:hAnsi="Times New Roman" w:cs="Times New Roman"/>
          <w:lang w:val="en-US"/>
        </w:rPr>
        <w:t xml:space="preserve">attraction </w:t>
      </w:r>
      <w:r w:rsidR="0009453E">
        <w:rPr>
          <w:rFonts w:ascii="Times New Roman" w:hAnsi="Times New Roman" w:cs="Times New Roman"/>
          <w:lang w:val="en-US"/>
        </w:rPr>
        <w:t>towards rabbit/no fur.</w:t>
      </w:r>
      <w:r w:rsidR="00DF777E">
        <w:rPr>
          <w:rFonts w:ascii="Times New Roman" w:hAnsi="Times New Roman" w:cs="Times New Roman"/>
          <w:lang w:val="en-US"/>
        </w:rPr>
        <w:t xml:space="preserve"> Statistical significance was determined by Mann-Whitney U (two-sided) with *** </w:t>
      </w:r>
      <w:proofErr w:type="gramStart"/>
      <w:r w:rsidR="00DF777E">
        <w:rPr>
          <w:rFonts w:ascii="Times New Roman" w:hAnsi="Times New Roman" w:cs="Times New Roman"/>
          <w:lang w:val="en-US"/>
        </w:rPr>
        <w:t>indicating  a</w:t>
      </w:r>
      <w:proofErr w:type="gramEnd"/>
      <w:r w:rsidR="00DF777E">
        <w:rPr>
          <w:rFonts w:ascii="Times New Roman" w:hAnsi="Times New Roman" w:cs="Times New Roman"/>
          <w:lang w:val="en-US"/>
        </w:rPr>
        <w:t xml:space="preserve"> p-value &lt;0.001</w:t>
      </w:r>
    </w:p>
    <w:sectPr w:rsidR="00205582" w:rsidRPr="00606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82"/>
    <w:rsid w:val="0009453E"/>
    <w:rsid w:val="00205582"/>
    <w:rsid w:val="00542AED"/>
    <w:rsid w:val="00606517"/>
    <w:rsid w:val="00840FC8"/>
    <w:rsid w:val="00997BDF"/>
    <w:rsid w:val="00DF777E"/>
    <w:rsid w:val="00E460FD"/>
    <w:rsid w:val="00E925F1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8DC2"/>
  <w15:chartTrackingRefBased/>
  <w15:docId w15:val="{F04B5C64-44C0-4794-BDFE-CB26293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582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Dulovic</dc:creator>
  <cp:keywords/>
  <dc:description/>
  <cp:lastModifiedBy>Alex Dulovic</cp:lastModifiedBy>
  <cp:revision>4</cp:revision>
  <dcterms:created xsi:type="dcterms:W3CDTF">2021-09-07T08:56:00Z</dcterms:created>
  <dcterms:modified xsi:type="dcterms:W3CDTF">2021-09-07T09:14:00Z</dcterms:modified>
</cp:coreProperties>
</file>