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1C6" w:rsidRPr="004340F1" w:rsidRDefault="00DC71C6" w:rsidP="00DC71C6">
      <w:pPr>
        <w:widowControl w:val="0"/>
        <w:rPr>
          <w:rFonts w:eastAsia="Times New Roman" w:cs="Times New Roman"/>
          <w:b/>
          <w:bCs/>
          <w:i/>
          <w:iCs/>
          <w:color w:val="538135"/>
          <w:szCs w:val="24"/>
          <w:lang w:eastAsia="en-GB" w:bidi="en-US"/>
        </w:rPr>
      </w:pPr>
      <w:r w:rsidRPr="004340F1">
        <w:rPr>
          <w:rFonts w:eastAsia="Times New Roman" w:cs="Times New Roman"/>
          <w:b/>
          <w:bCs/>
          <w:iCs/>
          <w:szCs w:val="24"/>
          <w:lang w:eastAsia="en-GB" w:bidi="en-US"/>
        </w:rPr>
        <w:t>Supplementary Table 1:</w:t>
      </w:r>
      <w:r w:rsidRPr="004340F1">
        <w:rPr>
          <w:rFonts w:eastAsia="Times New Roman" w:cs="Times New Roman"/>
          <w:b/>
          <w:bCs/>
          <w:i/>
          <w:iCs/>
          <w:color w:val="538135"/>
          <w:szCs w:val="24"/>
          <w:lang w:eastAsia="en-GB" w:bidi="en-US"/>
        </w:rPr>
        <w:t xml:space="preserve"> </w:t>
      </w:r>
      <w:r w:rsidRPr="00F30741">
        <w:rPr>
          <w:color w:val="000000"/>
        </w:rPr>
        <w:t xml:space="preserve">Optimization of assay conditions for measurement of </w:t>
      </w:r>
      <w:r w:rsidRPr="00F30741">
        <w:rPr>
          <w:i/>
          <w:iCs/>
          <w:color w:val="000000"/>
        </w:rPr>
        <w:t>A2</w:t>
      </w:r>
      <w:r w:rsidRPr="00F30741">
        <w:rPr>
          <w:color w:val="000000"/>
        </w:rPr>
        <w:t xml:space="preserve"> and </w:t>
      </w:r>
      <w:proofErr w:type="spellStart"/>
      <w:r w:rsidRPr="00F30741">
        <w:rPr>
          <w:i/>
          <w:iCs/>
          <w:color w:val="000000"/>
        </w:rPr>
        <w:t>amastin</w:t>
      </w:r>
      <w:proofErr w:type="spellEnd"/>
      <w:r w:rsidRPr="00F30741">
        <w:rPr>
          <w:color w:val="000000"/>
        </w:rPr>
        <w:t xml:space="preserve"> in </w:t>
      </w:r>
      <w:proofErr w:type="spellStart"/>
      <w:r w:rsidRPr="00F30741">
        <w:rPr>
          <w:i/>
          <w:iCs/>
          <w:color w:val="000000"/>
        </w:rPr>
        <w:t>Leishmania</w:t>
      </w:r>
      <w:proofErr w:type="spellEnd"/>
      <w:r w:rsidRPr="00F30741">
        <w:rPr>
          <w:i/>
          <w:iCs/>
          <w:color w:val="000000"/>
        </w:rPr>
        <w:t xml:space="preserve"> </w:t>
      </w:r>
      <w:proofErr w:type="spellStart"/>
      <w:r w:rsidRPr="00F30741">
        <w:rPr>
          <w:i/>
          <w:iCs/>
          <w:color w:val="000000"/>
        </w:rPr>
        <w:t>donovani</w:t>
      </w:r>
      <w:proofErr w:type="spellEnd"/>
      <w:r w:rsidRPr="00F30741">
        <w:rPr>
          <w:color w:val="000000"/>
        </w:rPr>
        <w:t xml:space="preserve"> infected tissues.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2"/>
        <w:gridCol w:w="1602"/>
        <w:gridCol w:w="601"/>
        <w:gridCol w:w="644"/>
        <w:gridCol w:w="708"/>
        <w:gridCol w:w="709"/>
        <w:gridCol w:w="644"/>
        <w:gridCol w:w="709"/>
        <w:gridCol w:w="709"/>
        <w:gridCol w:w="709"/>
        <w:gridCol w:w="709"/>
      </w:tblGrid>
      <w:tr w:rsidR="00DC71C6" w:rsidRPr="004340F1" w:rsidTr="00330558">
        <w:tc>
          <w:tcPr>
            <w:tcW w:w="2943" w:type="dxa"/>
            <w:gridSpan w:val="2"/>
          </w:tcPr>
          <w:p w:rsidR="00DC71C6" w:rsidRPr="004340F1" w:rsidRDefault="00DC71C6" w:rsidP="00330558">
            <w:pPr>
              <w:jc w:val="center"/>
              <w:rPr>
                <w:rFonts w:cs="Times New Roman"/>
                <w:b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b/>
                <w:sz w:val="22"/>
                <w:szCs w:val="24"/>
                <w:lang w:val="en-IN"/>
              </w:rPr>
              <w:t>Annealing temperature (</w:t>
            </w:r>
            <w:r w:rsidRPr="004340F1">
              <w:rPr>
                <w:rFonts w:cs="Times New Roman"/>
                <w:b/>
                <w:sz w:val="22"/>
                <w:szCs w:val="24"/>
                <w:vertAlign w:val="superscript"/>
                <w:lang w:val="en-IN"/>
              </w:rPr>
              <w:t>◦</w:t>
            </w:r>
            <w:r w:rsidRPr="004340F1">
              <w:rPr>
                <w:rFonts w:cs="Times New Roman"/>
                <w:b/>
                <w:sz w:val="22"/>
                <w:szCs w:val="24"/>
                <w:lang w:val="en-IN"/>
              </w:rPr>
              <w:t>C)</w:t>
            </w:r>
          </w:p>
        </w:tc>
        <w:tc>
          <w:tcPr>
            <w:tcW w:w="1967" w:type="dxa"/>
            <w:gridSpan w:val="3"/>
          </w:tcPr>
          <w:p w:rsidR="00DC71C6" w:rsidRPr="004340F1" w:rsidRDefault="00DC71C6" w:rsidP="00330558">
            <w:pPr>
              <w:jc w:val="center"/>
              <w:rPr>
                <w:rFonts w:cs="Times New Roman"/>
                <w:b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b/>
                <w:sz w:val="22"/>
                <w:szCs w:val="24"/>
                <w:lang w:val="en-IN"/>
              </w:rPr>
              <w:t>58</w:t>
            </w:r>
            <w:r w:rsidRPr="004340F1">
              <w:rPr>
                <w:rFonts w:cs="Times New Roman"/>
                <w:b/>
                <w:sz w:val="22"/>
                <w:szCs w:val="24"/>
                <w:vertAlign w:val="superscript"/>
                <w:lang w:val="en-IN"/>
              </w:rPr>
              <w:t>◦</w:t>
            </w:r>
            <w:r w:rsidRPr="004340F1">
              <w:rPr>
                <w:rFonts w:cs="Times New Roman"/>
                <w:b/>
                <w:sz w:val="22"/>
                <w:szCs w:val="24"/>
                <w:lang w:val="en-IN"/>
              </w:rPr>
              <w:t>C</w:t>
            </w:r>
          </w:p>
        </w:tc>
        <w:tc>
          <w:tcPr>
            <w:tcW w:w="2086" w:type="dxa"/>
            <w:gridSpan w:val="3"/>
          </w:tcPr>
          <w:p w:rsidR="00DC71C6" w:rsidRPr="004340F1" w:rsidRDefault="00DC71C6" w:rsidP="00330558">
            <w:pPr>
              <w:jc w:val="center"/>
              <w:rPr>
                <w:rFonts w:cs="Times New Roman"/>
                <w:b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b/>
                <w:sz w:val="22"/>
                <w:szCs w:val="24"/>
                <w:lang w:val="en-IN"/>
              </w:rPr>
              <w:t>60</w:t>
            </w:r>
            <w:r w:rsidRPr="004340F1">
              <w:rPr>
                <w:rFonts w:cs="Times New Roman"/>
                <w:b/>
                <w:sz w:val="22"/>
                <w:szCs w:val="24"/>
                <w:vertAlign w:val="superscript"/>
                <w:lang w:val="en-IN"/>
              </w:rPr>
              <w:t>◦</w:t>
            </w:r>
            <w:r w:rsidRPr="004340F1">
              <w:rPr>
                <w:rFonts w:cs="Times New Roman"/>
                <w:b/>
                <w:sz w:val="22"/>
                <w:szCs w:val="24"/>
                <w:lang w:val="en-IN"/>
              </w:rPr>
              <w:t>C</w:t>
            </w:r>
          </w:p>
        </w:tc>
        <w:tc>
          <w:tcPr>
            <w:tcW w:w="2157" w:type="dxa"/>
            <w:gridSpan w:val="3"/>
          </w:tcPr>
          <w:p w:rsidR="00DC71C6" w:rsidRPr="004340F1" w:rsidRDefault="00DC71C6" w:rsidP="00330558">
            <w:pPr>
              <w:jc w:val="center"/>
              <w:rPr>
                <w:rFonts w:cs="Times New Roman"/>
                <w:b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b/>
                <w:sz w:val="22"/>
                <w:szCs w:val="24"/>
                <w:lang w:val="en-IN"/>
              </w:rPr>
              <w:t>62</w:t>
            </w:r>
            <w:r w:rsidRPr="004340F1">
              <w:rPr>
                <w:rFonts w:cs="Times New Roman"/>
                <w:b/>
                <w:sz w:val="22"/>
                <w:szCs w:val="24"/>
                <w:vertAlign w:val="superscript"/>
                <w:lang w:val="en-IN"/>
              </w:rPr>
              <w:t>◦</w:t>
            </w:r>
            <w:r w:rsidRPr="004340F1">
              <w:rPr>
                <w:rFonts w:cs="Times New Roman"/>
                <w:b/>
                <w:sz w:val="22"/>
                <w:szCs w:val="24"/>
                <w:lang w:val="en-IN"/>
              </w:rPr>
              <w:t>C</w:t>
            </w:r>
          </w:p>
        </w:tc>
      </w:tr>
      <w:tr w:rsidR="00DC71C6" w:rsidRPr="004340F1" w:rsidTr="00330558">
        <w:tc>
          <w:tcPr>
            <w:tcW w:w="2943" w:type="dxa"/>
            <w:gridSpan w:val="2"/>
          </w:tcPr>
          <w:p w:rsidR="00DC71C6" w:rsidRPr="004340F1" w:rsidRDefault="00DC71C6" w:rsidP="00330558">
            <w:pPr>
              <w:jc w:val="center"/>
              <w:rPr>
                <w:rFonts w:cs="Times New Roman"/>
                <w:b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b/>
                <w:sz w:val="22"/>
                <w:szCs w:val="24"/>
                <w:lang w:val="en-IN"/>
              </w:rPr>
              <w:t>Template (ng/µL)</w:t>
            </w:r>
          </w:p>
        </w:tc>
        <w:tc>
          <w:tcPr>
            <w:tcW w:w="601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b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b/>
                <w:sz w:val="22"/>
                <w:szCs w:val="24"/>
                <w:lang w:val="en-IN"/>
              </w:rPr>
              <w:t>25</w:t>
            </w:r>
          </w:p>
        </w:tc>
        <w:tc>
          <w:tcPr>
            <w:tcW w:w="648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b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b/>
                <w:sz w:val="22"/>
                <w:szCs w:val="24"/>
                <w:lang w:val="en-IN"/>
              </w:rPr>
              <w:t>50</w:t>
            </w:r>
          </w:p>
        </w:tc>
        <w:tc>
          <w:tcPr>
            <w:tcW w:w="718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b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b/>
                <w:sz w:val="22"/>
                <w:szCs w:val="24"/>
                <w:lang w:val="en-IN"/>
              </w:rPr>
              <w:t>100</w:t>
            </w:r>
          </w:p>
        </w:tc>
        <w:tc>
          <w:tcPr>
            <w:tcW w:w="719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b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b/>
                <w:sz w:val="22"/>
                <w:szCs w:val="24"/>
                <w:lang w:val="en-IN"/>
              </w:rPr>
              <w:t>25</w:t>
            </w:r>
          </w:p>
        </w:tc>
        <w:tc>
          <w:tcPr>
            <w:tcW w:w="648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b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b/>
                <w:sz w:val="22"/>
                <w:szCs w:val="24"/>
                <w:lang w:val="en-IN"/>
              </w:rPr>
              <w:t>50</w:t>
            </w:r>
          </w:p>
        </w:tc>
        <w:tc>
          <w:tcPr>
            <w:tcW w:w="719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b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b/>
                <w:sz w:val="22"/>
                <w:szCs w:val="24"/>
                <w:lang w:val="en-IN"/>
              </w:rPr>
              <w:t>100</w:t>
            </w:r>
          </w:p>
        </w:tc>
        <w:tc>
          <w:tcPr>
            <w:tcW w:w="719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b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b/>
                <w:sz w:val="22"/>
                <w:szCs w:val="24"/>
                <w:lang w:val="en-IN"/>
              </w:rPr>
              <w:t>25</w:t>
            </w:r>
          </w:p>
        </w:tc>
        <w:tc>
          <w:tcPr>
            <w:tcW w:w="719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b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b/>
                <w:sz w:val="22"/>
                <w:szCs w:val="24"/>
                <w:lang w:val="en-IN"/>
              </w:rPr>
              <w:t>50</w:t>
            </w:r>
          </w:p>
        </w:tc>
        <w:tc>
          <w:tcPr>
            <w:tcW w:w="719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b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b/>
                <w:sz w:val="22"/>
                <w:szCs w:val="24"/>
                <w:lang w:val="en-IN"/>
              </w:rPr>
              <w:t>100</w:t>
            </w:r>
          </w:p>
        </w:tc>
      </w:tr>
      <w:tr w:rsidR="00DC71C6" w:rsidRPr="004340F1" w:rsidTr="00330558">
        <w:tc>
          <w:tcPr>
            <w:tcW w:w="1272" w:type="dxa"/>
            <w:vMerge w:val="restart"/>
          </w:tcPr>
          <w:p w:rsidR="00DC71C6" w:rsidRPr="004340F1" w:rsidRDefault="00DC71C6" w:rsidP="00330558">
            <w:pPr>
              <w:jc w:val="center"/>
              <w:rPr>
                <w:rFonts w:cs="Times New Roman"/>
                <w:b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b/>
                <w:i/>
                <w:sz w:val="22"/>
                <w:szCs w:val="24"/>
                <w:lang w:val="en-IN"/>
              </w:rPr>
              <w:t>A2</w:t>
            </w:r>
            <w:r w:rsidRPr="004340F1">
              <w:rPr>
                <w:rFonts w:cs="Times New Roman"/>
                <w:b/>
                <w:sz w:val="22"/>
                <w:szCs w:val="24"/>
                <w:lang w:val="en-IN"/>
              </w:rPr>
              <w:t xml:space="preserve"> (copies/µL)</w:t>
            </w:r>
          </w:p>
        </w:tc>
        <w:tc>
          <w:tcPr>
            <w:tcW w:w="1671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100nM</w:t>
            </w:r>
          </w:p>
        </w:tc>
        <w:tc>
          <w:tcPr>
            <w:tcW w:w="601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2.9</w:t>
            </w:r>
          </w:p>
        </w:tc>
        <w:tc>
          <w:tcPr>
            <w:tcW w:w="648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6.7</w:t>
            </w:r>
          </w:p>
        </w:tc>
        <w:tc>
          <w:tcPr>
            <w:tcW w:w="718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1.06</w:t>
            </w:r>
          </w:p>
        </w:tc>
        <w:tc>
          <w:tcPr>
            <w:tcW w:w="719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2</w:t>
            </w:r>
          </w:p>
        </w:tc>
        <w:tc>
          <w:tcPr>
            <w:tcW w:w="648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2.2</w:t>
            </w:r>
          </w:p>
        </w:tc>
        <w:tc>
          <w:tcPr>
            <w:tcW w:w="719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0.78</w:t>
            </w:r>
          </w:p>
        </w:tc>
        <w:tc>
          <w:tcPr>
            <w:tcW w:w="719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1.01</w:t>
            </w:r>
          </w:p>
        </w:tc>
        <w:tc>
          <w:tcPr>
            <w:tcW w:w="719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3.1</w:t>
            </w:r>
          </w:p>
        </w:tc>
        <w:tc>
          <w:tcPr>
            <w:tcW w:w="719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0.94</w:t>
            </w:r>
          </w:p>
        </w:tc>
      </w:tr>
      <w:tr w:rsidR="00DC71C6" w:rsidRPr="004340F1" w:rsidTr="00330558">
        <w:tc>
          <w:tcPr>
            <w:tcW w:w="1272" w:type="dxa"/>
            <w:vMerge/>
          </w:tcPr>
          <w:p w:rsidR="00DC71C6" w:rsidRPr="004340F1" w:rsidRDefault="00DC71C6" w:rsidP="00330558">
            <w:pPr>
              <w:jc w:val="center"/>
              <w:rPr>
                <w:rFonts w:cs="Times New Roman"/>
                <w:b/>
                <w:sz w:val="22"/>
                <w:szCs w:val="24"/>
                <w:lang w:val="en-IN"/>
              </w:rPr>
            </w:pPr>
          </w:p>
        </w:tc>
        <w:tc>
          <w:tcPr>
            <w:tcW w:w="1671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250nM</w:t>
            </w:r>
          </w:p>
        </w:tc>
        <w:tc>
          <w:tcPr>
            <w:tcW w:w="601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1.6</w:t>
            </w:r>
          </w:p>
        </w:tc>
        <w:tc>
          <w:tcPr>
            <w:tcW w:w="648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4.1</w:t>
            </w:r>
          </w:p>
        </w:tc>
        <w:tc>
          <w:tcPr>
            <w:tcW w:w="718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0.97</w:t>
            </w:r>
          </w:p>
        </w:tc>
        <w:tc>
          <w:tcPr>
            <w:tcW w:w="719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0.53</w:t>
            </w:r>
          </w:p>
        </w:tc>
        <w:tc>
          <w:tcPr>
            <w:tcW w:w="648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2.4</w:t>
            </w:r>
          </w:p>
        </w:tc>
        <w:tc>
          <w:tcPr>
            <w:tcW w:w="719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0.3</w:t>
            </w:r>
          </w:p>
        </w:tc>
        <w:tc>
          <w:tcPr>
            <w:tcW w:w="719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1</w:t>
            </w:r>
          </w:p>
        </w:tc>
        <w:tc>
          <w:tcPr>
            <w:tcW w:w="719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1.11</w:t>
            </w:r>
          </w:p>
        </w:tc>
        <w:tc>
          <w:tcPr>
            <w:tcW w:w="719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0.38</w:t>
            </w:r>
          </w:p>
        </w:tc>
      </w:tr>
      <w:tr w:rsidR="00DC71C6" w:rsidRPr="004340F1" w:rsidTr="00330558">
        <w:tc>
          <w:tcPr>
            <w:tcW w:w="1272" w:type="dxa"/>
            <w:vMerge/>
          </w:tcPr>
          <w:p w:rsidR="00DC71C6" w:rsidRPr="004340F1" w:rsidRDefault="00DC71C6" w:rsidP="00330558">
            <w:pPr>
              <w:jc w:val="center"/>
              <w:rPr>
                <w:rFonts w:cs="Times New Roman"/>
                <w:b/>
                <w:sz w:val="22"/>
                <w:szCs w:val="24"/>
                <w:lang w:val="en-IN"/>
              </w:rPr>
            </w:pPr>
          </w:p>
        </w:tc>
        <w:tc>
          <w:tcPr>
            <w:tcW w:w="1671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500nM</w:t>
            </w:r>
          </w:p>
        </w:tc>
        <w:tc>
          <w:tcPr>
            <w:tcW w:w="601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1.04</w:t>
            </w:r>
          </w:p>
        </w:tc>
        <w:tc>
          <w:tcPr>
            <w:tcW w:w="648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1.6</w:t>
            </w:r>
          </w:p>
        </w:tc>
        <w:tc>
          <w:tcPr>
            <w:tcW w:w="718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0.76</w:t>
            </w:r>
          </w:p>
        </w:tc>
        <w:tc>
          <w:tcPr>
            <w:tcW w:w="719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0.49</w:t>
            </w:r>
          </w:p>
        </w:tc>
        <w:tc>
          <w:tcPr>
            <w:tcW w:w="648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1.3</w:t>
            </w:r>
          </w:p>
        </w:tc>
        <w:tc>
          <w:tcPr>
            <w:tcW w:w="719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0.54</w:t>
            </w:r>
          </w:p>
        </w:tc>
        <w:tc>
          <w:tcPr>
            <w:tcW w:w="719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0.83</w:t>
            </w:r>
          </w:p>
        </w:tc>
        <w:tc>
          <w:tcPr>
            <w:tcW w:w="719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0.84</w:t>
            </w:r>
          </w:p>
        </w:tc>
        <w:tc>
          <w:tcPr>
            <w:tcW w:w="719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0.19</w:t>
            </w:r>
          </w:p>
        </w:tc>
      </w:tr>
      <w:tr w:rsidR="00DC71C6" w:rsidRPr="004340F1" w:rsidTr="00330558">
        <w:tc>
          <w:tcPr>
            <w:tcW w:w="1272" w:type="dxa"/>
            <w:vMerge w:val="restart"/>
          </w:tcPr>
          <w:p w:rsidR="00DC71C6" w:rsidRPr="004340F1" w:rsidRDefault="00DC71C6" w:rsidP="00330558">
            <w:pPr>
              <w:jc w:val="center"/>
              <w:rPr>
                <w:rFonts w:cs="Times New Roman"/>
                <w:b/>
                <w:i/>
                <w:sz w:val="22"/>
                <w:szCs w:val="24"/>
                <w:lang w:val="en-IN"/>
              </w:rPr>
            </w:pPr>
            <w:proofErr w:type="spellStart"/>
            <w:r w:rsidRPr="004340F1">
              <w:rPr>
                <w:rFonts w:cs="Times New Roman"/>
                <w:b/>
                <w:i/>
                <w:sz w:val="22"/>
                <w:szCs w:val="24"/>
                <w:lang w:val="en-IN"/>
              </w:rPr>
              <w:t>amastin</w:t>
            </w:r>
            <w:proofErr w:type="spellEnd"/>
          </w:p>
          <w:p w:rsidR="00DC71C6" w:rsidRPr="004340F1" w:rsidRDefault="00DC71C6" w:rsidP="00330558">
            <w:pPr>
              <w:jc w:val="center"/>
              <w:rPr>
                <w:rFonts w:cs="Times New Roman"/>
                <w:b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b/>
                <w:sz w:val="22"/>
                <w:szCs w:val="24"/>
                <w:lang w:val="en-IN"/>
              </w:rPr>
              <w:t>(copies/µL)</w:t>
            </w:r>
          </w:p>
        </w:tc>
        <w:tc>
          <w:tcPr>
            <w:tcW w:w="1671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100nM</w:t>
            </w:r>
          </w:p>
        </w:tc>
        <w:tc>
          <w:tcPr>
            <w:tcW w:w="601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1.19</w:t>
            </w:r>
          </w:p>
        </w:tc>
        <w:tc>
          <w:tcPr>
            <w:tcW w:w="648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1.7</w:t>
            </w:r>
          </w:p>
        </w:tc>
        <w:tc>
          <w:tcPr>
            <w:tcW w:w="718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0.37</w:t>
            </w:r>
          </w:p>
        </w:tc>
        <w:tc>
          <w:tcPr>
            <w:tcW w:w="719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0.3</w:t>
            </w:r>
          </w:p>
        </w:tc>
        <w:tc>
          <w:tcPr>
            <w:tcW w:w="648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1.6</w:t>
            </w:r>
          </w:p>
        </w:tc>
        <w:tc>
          <w:tcPr>
            <w:tcW w:w="719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0</w:t>
            </w:r>
          </w:p>
        </w:tc>
        <w:tc>
          <w:tcPr>
            <w:tcW w:w="719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0.32</w:t>
            </w:r>
          </w:p>
        </w:tc>
        <w:tc>
          <w:tcPr>
            <w:tcW w:w="719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0.59</w:t>
            </w:r>
          </w:p>
        </w:tc>
        <w:tc>
          <w:tcPr>
            <w:tcW w:w="719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0.31</w:t>
            </w:r>
          </w:p>
        </w:tc>
      </w:tr>
      <w:tr w:rsidR="00DC71C6" w:rsidRPr="004340F1" w:rsidTr="00330558">
        <w:tc>
          <w:tcPr>
            <w:tcW w:w="1272" w:type="dxa"/>
            <w:vMerge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</w:p>
        </w:tc>
        <w:tc>
          <w:tcPr>
            <w:tcW w:w="1671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250nM</w:t>
            </w:r>
          </w:p>
        </w:tc>
        <w:tc>
          <w:tcPr>
            <w:tcW w:w="601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0.85</w:t>
            </w:r>
          </w:p>
        </w:tc>
        <w:tc>
          <w:tcPr>
            <w:tcW w:w="648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1.13</w:t>
            </w:r>
          </w:p>
        </w:tc>
        <w:tc>
          <w:tcPr>
            <w:tcW w:w="718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0.31</w:t>
            </w:r>
          </w:p>
        </w:tc>
        <w:tc>
          <w:tcPr>
            <w:tcW w:w="719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0.49</w:t>
            </w:r>
          </w:p>
        </w:tc>
        <w:tc>
          <w:tcPr>
            <w:tcW w:w="648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0.59</w:t>
            </w:r>
          </w:p>
        </w:tc>
        <w:tc>
          <w:tcPr>
            <w:tcW w:w="719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0.11</w:t>
            </w:r>
          </w:p>
        </w:tc>
        <w:tc>
          <w:tcPr>
            <w:tcW w:w="719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0.17</w:t>
            </w:r>
          </w:p>
        </w:tc>
        <w:tc>
          <w:tcPr>
            <w:tcW w:w="719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0.42</w:t>
            </w:r>
          </w:p>
        </w:tc>
        <w:tc>
          <w:tcPr>
            <w:tcW w:w="719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0</w:t>
            </w:r>
          </w:p>
        </w:tc>
      </w:tr>
      <w:tr w:rsidR="00DC71C6" w:rsidRPr="004340F1" w:rsidTr="00330558">
        <w:tc>
          <w:tcPr>
            <w:tcW w:w="1272" w:type="dxa"/>
            <w:vMerge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</w:p>
        </w:tc>
        <w:tc>
          <w:tcPr>
            <w:tcW w:w="1671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500nM</w:t>
            </w:r>
          </w:p>
        </w:tc>
        <w:tc>
          <w:tcPr>
            <w:tcW w:w="601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0.38</w:t>
            </w:r>
          </w:p>
        </w:tc>
        <w:tc>
          <w:tcPr>
            <w:tcW w:w="648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1.04</w:t>
            </w:r>
          </w:p>
        </w:tc>
        <w:tc>
          <w:tcPr>
            <w:tcW w:w="718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0.25</w:t>
            </w:r>
          </w:p>
        </w:tc>
        <w:tc>
          <w:tcPr>
            <w:tcW w:w="719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0.18</w:t>
            </w:r>
          </w:p>
        </w:tc>
        <w:tc>
          <w:tcPr>
            <w:tcW w:w="648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0.36</w:t>
            </w:r>
          </w:p>
        </w:tc>
        <w:tc>
          <w:tcPr>
            <w:tcW w:w="719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0.22</w:t>
            </w:r>
          </w:p>
        </w:tc>
        <w:tc>
          <w:tcPr>
            <w:tcW w:w="719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0.09</w:t>
            </w:r>
          </w:p>
        </w:tc>
        <w:tc>
          <w:tcPr>
            <w:tcW w:w="719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0.38</w:t>
            </w:r>
          </w:p>
        </w:tc>
        <w:tc>
          <w:tcPr>
            <w:tcW w:w="719" w:type="dxa"/>
          </w:tcPr>
          <w:p w:rsidR="00DC71C6" w:rsidRPr="004340F1" w:rsidRDefault="00DC71C6" w:rsidP="00330558">
            <w:pPr>
              <w:jc w:val="center"/>
              <w:rPr>
                <w:rFonts w:cs="Times New Roman"/>
                <w:sz w:val="22"/>
                <w:szCs w:val="24"/>
                <w:lang w:val="en-IN"/>
              </w:rPr>
            </w:pPr>
            <w:r w:rsidRPr="004340F1">
              <w:rPr>
                <w:rFonts w:cs="Times New Roman"/>
                <w:sz w:val="22"/>
                <w:szCs w:val="24"/>
                <w:lang w:val="en-IN"/>
              </w:rPr>
              <w:t>0.18</w:t>
            </w:r>
          </w:p>
        </w:tc>
      </w:tr>
    </w:tbl>
    <w:p w:rsidR="00DC71C6" w:rsidRPr="004340F1" w:rsidRDefault="00DC71C6" w:rsidP="00DC71C6">
      <w:pPr>
        <w:adjustRightInd w:val="0"/>
        <w:rPr>
          <w:color w:val="000000"/>
        </w:rPr>
      </w:pPr>
      <w:r w:rsidRPr="004340F1">
        <w:rPr>
          <w:color w:val="000000"/>
        </w:rPr>
        <w:t>For measurement of</w:t>
      </w:r>
      <w:r w:rsidRPr="004340F1">
        <w:rPr>
          <w:i/>
          <w:iCs/>
          <w:color w:val="000000"/>
        </w:rPr>
        <w:t xml:space="preserve"> A2</w:t>
      </w:r>
      <w:r w:rsidRPr="004340F1">
        <w:rPr>
          <w:color w:val="000000"/>
        </w:rPr>
        <w:t xml:space="preserve"> and </w:t>
      </w:r>
      <w:proofErr w:type="spellStart"/>
      <w:r w:rsidRPr="004340F1">
        <w:rPr>
          <w:i/>
          <w:iCs/>
          <w:color w:val="000000"/>
        </w:rPr>
        <w:t>amastin</w:t>
      </w:r>
      <w:proofErr w:type="spellEnd"/>
      <w:r w:rsidRPr="004340F1">
        <w:rPr>
          <w:iCs/>
          <w:color w:val="000000"/>
        </w:rPr>
        <w:t>,</w:t>
      </w:r>
      <w:r w:rsidRPr="004340F1">
        <w:rPr>
          <w:color w:val="000000"/>
        </w:rPr>
        <w:t xml:space="preserve"> assay optimization was performed with cDNA from hepatic tissues of </w:t>
      </w:r>
      <w:r w:rsidRPr="004340F1">
        <w:rPr>
          <w:i/>
          <w:iCs/>
          <w:color w:val="000000"/>
        </w:rPr>
        <w:t xml:space="preserve">L. </w:t>
      </w:r>
      <w:proofErr w:type="spellStart"/>
      <w:r w:rsidRPr="004340F1">
        <w:rPr>
          <w:i/>
          <w:iCs/>
          <w:color w:val="000000"/>
        </w:rPr>
        <w:t>donovani</w:t>
      </w:r>
      <w:proofErr w:type="spellEnd"/>
      <w:r w:rsidRPr="004340F1">
        <w:rPr>
          <w:color w:val="000000"/>
        </w:rPr>
        <w:t xml:space="preserve"> infected hamsters as described in Materials and methods. Data was expressed in </w:t>
      </w:r>
      <w:r w:rsidRPr="004340F1">
        <w:rPr>
          <w:rFonts w:cs="Times New Roman"/>
          <w:szCs w:val="24"/>
        </w:rPr>
        <w:t>copies/µL as</w:t>
      </w:r>
      <w:r w:rsidRPr="004340F1">
        <w:rPr>
          <w:color w:val="000000"/>
        </w:rPr>
        <w:t xml:space="preserve"> generated by </w:t>
      </w:r>
      <w:proofErr w:type="spellStart"/>
      <w:r w:rsidRPr="004340F1">
        <w:rPr>
          <w:color w:val="000000"/>
        </w:rPr>
        <w:t>BioRad</w:t>
      </w:r>
      <w:proofErr w:type="spellEnd"/>
      <w:r w:rsidRPr="004340F1">
        <w:rPr>
          <w:color w:val="000000"/>
        </w:rPr>
        <w:t xml:space="preserve"> </w:t>
      </w:r>
      <w:proofErr w:type="spellStart"/>
      <w:r w:rsidRPr="004340F1">
        <w:rPr>
          <w:color w:val="000000"/>
        </w:rPr>
        <w:t>QuantaSoft</w:t>
      </w:r>
      <w:proofErr w:type="spellEnd"/>
      <w:r w:rsidRPr="004340F1">
        <w:rPr>
          <w:color w:val="000000"/>
        </w:rPr>
        <w:t xml:space="preserve"> software version 1.7.4.</w:t>
      </w:r>
    </w:p>
    <w:p w:rsidR="00DC71C6" w:rsidRPr="004340F1" w:rsidRDefault="00DC71C6" w:rsidP="00DC71C6">
      <w:pPr>
        <w:rPr>
          <w:color w:val="000000"/>
        </w:rPr>
      </w:pPr>
    </w:p>
    <w:p w:rsidR="00F1764B" w:rsidRDefault="00F1764B"/>
    <w:sectPr w:rsidR="00F176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1C6"/>
    <w:rsid w:val="002C31EC"/>
    <w:rsid w:val="002E01EA"/>
    <w:rsid w:val="004A7D42"/>
    <w:rsid w:val="00DC71C6"/>
    <w:rsid w:val="00DE6A23"/>
    <w:rsid w:val="00F1764B"/>
    <w:rsid w:val="00F30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023FCD-9400-416E-8C09-6B6BE8F98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71C6"/>
    <w:pPr>
      <w:spacing w:after="0" w:line="480" w:lineRule="auto"/>
      <w:jc w:val="both"/>
    </w:pPr>
    <w:rPr>
      <w:rFonts w:ascii="Times New Roman" w:eastAsia="Calibri" w:hAnsi="Times New Roman" w:cs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rgbClr val="FF0000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Sage</dc:creator>
  <cp:keywords/>
  <dc:description/>
  <cp:lastModifiedBy>Alison Sage</cp:lastModifiedBy>
  <cp:revision>2</cp:revision>
  <dcterms:created xsi:type="dcterms:W3CDTF">2022-04-29T15:09:00Z</dcterms:created>
  <dcterms:modified xsi:type="dcterms:W3CDTF">2022-04-29T15:45:00Z</dcterms:modified>
</cp:coreProperties>
</file>